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Supplemental Figure source results for “</w:t>
      </w:r>
      <w:bookmarkStart w:id="0" w:name="_Hlk520452181"/>
      <w:r>
        <w:rPr>
          <w:rFonts w:hint="eastAsia" w:ascii="Times" w:hAnsi="Times" w:eastAsia="宋体" w:cs="Times New Roman"/>
          <w:b/>
          <w:bCs/>
          <w:kern w:val="0"/>
          <w:sz w:val="24"/>
          <w:rtl w:val="0"/>
          <w:cs w:val="0"/>
          <w:lang w:val="en-US" w:eastAsia="zh-CN"/>
        </w:rPr>
        <w:t xml:space="preserve">The spatiotemporal matching pattern of Ezrin/Periaxin involved in myoblast differentiation and fusion and 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</w:rPr>
        <w:t>Charcot-Marie-Tooth</w:t>
      </w: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</w:rPr>
        <w:t>-associated</w:t>
      </w: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</w:rPr>
        <w:t>muscle atrophy</w:t>
      </w:r>
      <w:bookmarkEnd w:id="0"/>
      <w:bookmarkStart w:id="1" w:name="_GoBack"/>
      <w:bookmarkEnd w:id="1"/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”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Style w:val="7"/>
          <w:rFonts w:hint="default"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Figure 2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eastAsia="zh-CN"/>
        </w:rPr>
        <w:t>Ezrin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</w:rPr>
        <w:t xml:space="preserve"> was specifically expressed in myoblasts and their skeletal muscle fibers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eastAsia="zh-CN"/>
        </w:rPr>
        <w:t>Ezrin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expression was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detected by Western 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blotting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at 0, 2, 4 and 6 days after myoblast differentiation. A quantitative assay for Ezrin 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expression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was performed 2, 4 and 6 days after myoblast differentiation. Three independent experiments were performed, n=3, </w:t>
      </w: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</w:rPr>
        <w:t>*P&lt;0.05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vs. 0 days; </w:t>
      </w: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</w:rPr>
        <w:t>#P&lt;0.05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vs. 2 days; </w:t>
      </w: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</w:rPr>
        <w:t>&amp;P&lt;0.05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vs. 4 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days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2F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for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Ezrin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:</w:t>
      </w:r>
    </w:p>
    <w:p>
      <w:r>
        <w:drawing>
          <wp:inline distT="0" distB="0" distL="0" distR="0">
            <wp:extent cx="5274310" cy="3984625"/>
            <wp:effectExtent l="0" t="0" r="2540" b="0"/>
            <wp:docPr id="2" name="对象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1" name="组合 0"/>
                    <a:cNvGrpSpPr/>
                  </a:nvGrpSpPr>
                  <a:grpSpPr>
                    <a:xfrm>
                      <a:off x="0" y="0"/>
                      <a:ext cx="6550660" cy="4949190"/>
                      <a:chOff x="2579370" y="833755"/>
                      <a:chExt cx="6550660" cy="4949190"/>
                    </a:xfrm>
                  </a:grpSpPr>
                  <a:grpSp>
                    <a:nvGrpSpPr>
                      <a:cNvPr id="2" name="组合 1"/>
                      <a:cNvGrpSpPr/>
                    </a:nvGrpSpPr>
                    <a:grpSpPr>
                      <a:xfrm>
                        <a:off x="2579370" y="833755"/>
                        <a:ext cx="6550660" cy="4949190"/>
                        <a:chOff x="-548" y="861"/>
                        <a:chExt cx="10316" cy="7794"/>
                      </a:xfrm>
                    </a:grpSpPr>
                    <a:pic>
                      <a:nvPicPr>
                        <a:cNvPr id="4" name="图片 3" descr="WPS图片"/>
                        <a:cNvPicPr>
                          <a:picLocks noChangeAspect="1"/>
                        </a:cNvPicPr>
                      </a:nvPicPr>
                      <a:blipFill>
                        <a:blip r:embed="rId4"/>
                        <a:stretch>
                          <a:fillRect/>
                        </a:stretch>
                      </a:blipFill>
                      <a:spPr>
                        <a:xfrm>
                          <a:off x="1391" y="5486"/>
                          <a:ext cx="6232" cy="3060"/>
                        </a:xfrm>
                        <a:prstGeom prst="rect">
                          <a:avLst/>
                        </a:prstGeom>
                      </a:spPr>
                    </a:pic>
                    <a:pic>
                      <a:nvPicPr>
                        <a:cNvPr id="5" name="图片 4" descr="EZRIN1"/>
                        <a:cNvPicPr>
                          <a:picLocks noChangeAspect="1"/>
                        </a:cNvPicPr>
                      </a:nvPicPr>
                      <a:blipFill>
                        <a:blip r:embed="rId5"/>
                        <a:stretch>
                          <a:fillRect/>
                        </a:stretch>
                      </a:blipFill>
                      <a:spPr>
                        <a:xfrm>
                          <a:off x="1139" y="997"/>
                          <a:ext cx="6558" cy="3471"/>
                        </a:xfrm>
                        <a:prstGeom prst="rect">
                          <a:avLst/>
                        </a:prstGeom>
                      </a:spPr>
                    </a:pic>
                    <a:sp>
                      <a:nvSpPr>
                        <a:cNvPr id="17" name="文本框 16"/>
                        <a:cNvSpPr txBox="1"/>
                      </a:nvSpPr>
                      <a:spPr>
                        <a:xfrm>
                          <a:off x="-374" y="6692"/>
                          <a:ext cx="2141" cy="82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 anchor="t"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r">
                              <a:buClrTx/>
                              <a:buSzTx/>
                              <a:buFontTx/>
                            </a:pPr>
                            <a:r>
                              <a:rPr lang="zh-CN" altLang="en-US" sz="1400" b="1">
                                <a:latin typeface="Times New Roman" panose="02020603050405020304" charset="0"/>
                                <a:cs typeface="Times New Roman" panose="02020603050405020304" charset="0"/>
                                <a:sym typeface="+mn-ea"/>
                              </a:rPr>
                              <a:t>α-Tubulin</a:t>
                            </a:r>
                            <a:endParaRPr lang="zh-CN" altLang="en-US" sz="1400" b="1">
                              <a:latin typeface="Times New Roman" panose="02020603050405020304" charset="0"/>
                              <a:cs typeface="Times New Roman" panose="02020603050405020304" charset="0"/>
                              <a:sym typeface="+mn-ea"/>
                            </a:endParaRPr>
                          </a:p>
                          <a:p>
                            <a:pPr algn="r">
                              <a:buClrTx/>
                              <a:buSzTx/>
                              <a:buFontTx/>
                            </a:pPr>
                            <a:r>
                              <a:rPr lang="zh-CN" altLang="en-US" sz="1400" b="1">
                                <a:latin typeface="Times New Roman" panose="02020603050405020304" charset="0"/>
                                <a:cs typeface="Times New Roman" panose="02020603050405020304" charset="0"/>
                                <a:sym typeface="+mn-ea"/>
                              </a:rPr>
                              <a:t>(50kDa）</a:t>
                            </a:r>
                            <a:endParaRPr lang="zh-CN" altLang="en-US" sz="1400" b="1">
                              <a:latin typeface="Times New Roman" panose="02020603050405020304" charset="0"/>
                              <a:cs typeface="Times New Roman" panose="02020603050405020304" charset="0"/>
                              <a:sym typeface="+mn-ea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8" name="文本框 17"/>
                        <a:cNvSpPr txBox="1"/>
                      </a:nvSpPr>
                      <a:spPr>
                        <a:xfrm>
                          <a:off x="24" y="2467"/>
                          <a:ext cx="1382" cy="82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 anchor="t"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r"/>
                            <a:r>
                              <a:rPr lang="en-US" altLang="zh-CN" sz="1400" b="1">
                                <a:latin typeface="Times New Roman" panose="02020603050405020304" charset="0"/>
                                <a:ea typeface="宋体" panose="02010600030101010101" charset="-122"/>
                                <a:cs typeface="Times New Roman" panose="02020603050405020304" charset="0"/>
                                <a:sym typeface="+mn-ea"/>
                              </a:rPr>
                              <a:t>Ezrin</a:t>
                            </a:r>
                            <a:endParaRPr lang="en-US" altLang="zh-CN" sz="1400" b="1">
                              <a:latin typeface="Times New Roman" panose="02020603050405020304" charset="0"/>
                              <a:ea typeface="宋体" panose="02010600030101010101" charset="-122"/>
                              <a:cs typeface="Times New Roman" panose="02020603050405020304" charset="0"/>
                              <a:sym typeface="+mn-ea"/>
                            </a:endParaRPr>
                          </a:p>
                          <a:p>
                            <a:pPr algn="ctr"/>
                            <a:r>
                              <a:rPr lang="en-US" altLang="zh-CN" sz="1400" b="1">
                                <a:latin typeface="Times New Roman" panose="02020603050405020304" charset="0"/>
                                <a:ea typeface="宋体" panose="02010600030101010101" charset="-122"/>
                                <a:cs typeface="Times New Roman" panose="02020603050405020304" charset="0"/>
                                <a:sym typeface="+mn-ea"/>
                              </a:rPr>
                              <a:t>(80kDa</a:t>
                            </a:r>
                            <a:r>
                              <a:rPr lang="zh-CN" altLang="en-US" sz="1400" b="1">
                                <a:latin typeface="Times New Roman" panose="02020603050405020304" charset="0"/>
                                <a:ea typeface="宋体" panose="02010600030101010101" charset="-122"/>
                                <a:cs typeface="Times New Roman" panose="02020603050405020304" charset="0"/>
                                <a:sym typeface="+mn-ea"/>
                              </a:rPr>
                              <a:t>）</a:t>
                            </a:r>
                            <a:endParaRPr lang="zh-CN" altLang="en-US" sz="1400" b="1">
                              <a:latin typeface="Times New Roman" panose="02020603050405020304" charset="0"/>
                              <a:ea typeface="宋体" panose="02010600030101010101" charset="-122"/>
                              <a:cs typeface="Times New Roman" panose="02020603050405020304" charset="0"/>
                              <a:sym typeface="+mn-ea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3" name="文本框 22"/>
                        <a:cNvSpPr txBox="1"/>
                      </a:nvSpPr>
                      <a:spPr>
                        <a:xfrm>
                          <a:off x="1733" y="1666"/>
                          <a:ext cx="1522" cy="48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 anchor="t" anchorCtr="0"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en-US" altLang="zh-CN" sz="1400" b="1">
                                <a:latin typeface="Times New Roman" panose="02020603050405020304" charset="0"/>
                                <a:ea typeface="宋体" panose="02010600030101010101" charset="-122"/>
                                <a:cs typeface="Times New Roman" panose="02020603050405020304" charset="0"/>
                              </a:rPr>
                              <a:t>0</a:t>
                            </a:r>
                            <a:endParaRPr lang="en-US" altLang="zh-CN" sz="1400" b="1">
                              <a:latin typeface="Times New Roman" panose="02020603050405020304" charset="0"/>
                              <a:ea typeface="宋体" panose="02010600030101010101" charset="-122"/>
                              <a:cs typeface="Times New Roman" panose="0202060305040502030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4" name="文本框 23"/>
                        <a:cNvSpPr txBox="1"/>
                      </a:nvSpPr>
                      <a:spPr>
                        <a:xfrm>
                          <a:off x="4828" y="1679"/>
                          <a:ext cx="889" cy="48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 anchor="t" anchorCtr="0"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en-US" altLang="zh-CN" sz="1400" b="1">
                                <a:latin typeface="Times New Roman" panose="02020603050405020304" charset="0"/>
                                <a:ea typeface="宋体" panose="02010600030101010101" charset="-122"/>
                                <a:cs typeface="Times New Roman" panose="02020603050405020304" charset="0"/>
                              </a:rPr>
                              <a:t>4</a:t>
                            </a:r>
                            <a:endParaRPr lang="en-US" altLang="zh-CN" sz="1400" b="1">
                              <a:latin typeface="Times New Roman" panose="02020603050405020304" charset="0"/>
                              <a:ea typeface="宋体" panose="02010600030101010101" charset="-122"/>
                              <a:cs typeface="Times New Roman" panose="0202060305040502030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5" name="文本框 24"/>
                        <a:cNvSpPr txBox="1"/>
                      </a:nvSpPr>
                      <a:spPr>
                        <a:xfrm>
                          <a:off x="6059" y="1653"/>
                          <a:ext cx="889" cy="48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 anchor="t" anchorCtr="0"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en-US" altLang="zh-CN" sz="1400" b="1">
                                <a:latin typeface="Times New Roman" panose="02020603050405020304" charset="0"/>
                                <a:ea typeface="宋体" panose="02010600030101010101" charset="-122"/>
                                <a:cs typeface="Times New Roman" panose="02020603050405020304" charset="0"/>
                              </a:rPr>
                              <a:t>6</a:t>
                            </a:r>
                            <a:endParaRPr lang="en-US" altLang="zh-CN" sz="1400" b="1">
                              <a:latin typeface="Times New Roman" panose="02020603050405020304" charset="0"/>
                              <a:ea typeface="宋体" panose="02010600030101010101" charset="-122"/>
                              <a:cs typeface="Times New Roman" panose="0202060305040502030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6" name="文本框 25"/>
                        <a:cNvSpPr txBox="1"/>
                      </a:nvSpPr>
                      <a:spPr>
                        <a:xfrm>
                          <a:off x="3597" y="1692"/>
                          <a:ext cx="889" cy="48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 anchor="t" anchorCtr="0"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en-US" altLang="zh-CN" sz="1400" b="1">
                                <a:latin typeface="Times New Roman" panose="02020603050405020304" charset="0"/>
                                <a:ea typeface="宋体" panose="02010600030101010101" charset="-122"/>
                                <a:cs typeface="Times New Roman" panose="02020603050405020304" charset="0"/>
                              </a:rPr>
                              <a:t>2</a:t>
                            </a:r>
                            <a:endParaRPr lang="en-US" altLang="zh-CN" sz="1400" b="1">
                              <a:latin typeface="Times New Roman" panose="02020603050405020304" charset="0"/>
                              <a:ea typeface="宋体" panose="02010600030101010101" charset="-122"/>
                              <a:cs typeface="Times New Roman" panose="0202060305040502030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7" name="文本框 26"/>
                        <a:cNvSpPr txBox="1"/>
                      </a:nvSpPr>
                      <a:spPr>
                        <a:xfrm>
                          <a:off x="202" y="1681"/>
                          <a:ext cx="1189" cy="483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 anchor="t" anchorCtr="0"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r"/>
                            <a:r>
                              <a:rPr lang="en-US" altLang="zh-CN" sz="1400" b="1">
                                <a:latin typeface="Times New Roman" panose="02020603050405020304" charset="0"/>
                                <a:cs typeface="Times New Roman" panose="02020603050405020304" charset="0"/>
                              </a:rPr>
                              <a:t>Day</a:t>
                            </a:r>
                            <a:endParaRPr lang="en-US" altLang="zh-CN" sz="1400" b="1">
                              <a:latin typeface="Times New Roman" panose="02020603050405020304" charset="0"/>
                              <a:cs typeface="Times New Roman" panose="02020603050405020304" charset="0"/>
                            </a:endParaRPr>
                          </a:p>
                        </a:txBody>
                        <a:useSpRect/>
                      </a:txSp>
                    </a:sp>
                    <a:pic>
                      <a:nvPicPr>
                        <a:cNvPr id="8" name="图片 7" descr="IMG_256"/>
                        <a:cNvPicPr>
                          <a:picLocks noChangeAspect="1"/>
                        </a:cNvPicPr>
                      </a:nvPicPr>
                      <a:blipFill>
                        <a:blip r:embed="rId6" cstate="print"/>
                        <a:stretch>
                          <a:fillRect/>
                        </a:stretch>
                      </a:blipFill>
                      <a:spPr>
                        <a:xfrm>
                          <a:off x="7928" y="1373"/>
                          <a:ext cx="1840" cy="36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a:spPr>
                    </a:pic>
                    <a:pic>
                      <a:nvPicPr>
                        <a:cNvPr id="9" name="图片 8" descr="IMG_256"/>
                        <a:cNvPicPr>
                          <a:picLocks noChangeAspect="1"/>
                        </a:cNvPicPr>
                      </a:nvPicPr>
                      <a:blipFill>
                        <a:blip r:embed="rId6" cstate="print"/>
                        <a:stretch>
                          <a:fillRect/>
                        </a:stretch>
                      </a:blipFill>
                      <a:spPr>
                        <a:xfrm>
                          <a:off x="7928" y="5014"/>
                          <a:ext cx="1840" cy="36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a:spPr>
                    </a:pic>
                    <a:sp>
                      <a:nvSpPr>
                        <a:cNvPr id="10" name="文本框 9"/>
                        <a:cNvSpPr txBox="1"/>
                      </a:nvSpPr>
                      <a:spPr>
                        <a:xfrm>
                          <a:off x="396" y="861"/>
                          <a:ext cx="1632" cy="580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zh-CN" b="1">
                                <a:latin typeface="Times New Roman" panose="02020603050405020304" charset="0"/>
                                <a:cs typeface="Times New Roman" panose="02020603050405020304" charset="0"/>
                              </a:rPr>
                              <a:t>Figue 2</a:t>
                            </a:r>
                            <a:endParaRPr lang="en-US" altLang="zh-CN" b="1">
                              <a:latin typeface="Times New Roman" panose="02020603050405020304" charset="0"/>
                              <a:cs typeface="Times New Roman" panose="0202060305040502030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00" name="文本框 99"/>
                        <a:cNvSpPr txBox="1"/>
                      </a:nvSpPr>
                      <a:spPr>
                        <a:xfrm>
                          <a:off x="-23" y="7566"/>
                          <a:ext cx="1798" cy="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indent="0" algn="r"/>
                            <a:r>
                              <a:rPr lang="en-US" sz="1400" b="1">
                                <a:solidFill>
                                  <a:srgbClr val="131413"/>
                                </a:solidFill>
                                <a:latin typeface="Times New Roman" panose="02020603050405020304" charset="0"/>
                                <a:cs typeface="Times New Roman" panose="02020603050405020304" charset="0"/>
                              </a:rPr>
                              <a:t>ab-</a:t>
                            </a:r>
                            <a:r>
                              <a:rPr lang="en-US" sz="1400" b="1">
                                <a:solidFill>
                                  <a:srgbClr val="131413"/>
                                </a:solidFill>
                                <a:latin typeface="Times New Roman" panose="02020603050405020304" charset="0"/>
                                <a:ea typeface="宋体" panose="02010600030101010101" charset="-122"/>
                                <a:cs typeface="Times New Roman" panose="02020603050405020304" charset="0"/>
                              </a:rPr>
                              <a:t>7291</a:t>
                            </a:r>
                            <a:endParaRPr lang="en-US" sz="1400" b="1">
                              <a:solidFill>
                                <a:srgbClr val="131413"/>
                              </a:solidFill>
                              <a:latin typeface="Times New Roman" panose="02020603050405020304" charset="0"/>
                              <a:ea typeface="宋体" panose="02010600030101010101" charset="-122"/>
                              <a:cs typeface="Times New Roman" panose="02020603050405020304" charset="0"/>
                            </a:endParaRPr>
                          </a:p>
                          <a:p>
                            <a:pPr indent="0" algn="r"/>
                            <a:r>
                              <a:rPr lang="en-US" altLang="zh-CN" sz="1400" b="1">
                                <a:latin typeface="Times New Roman" panose="02020603050405020304" charset="0"/>
                                <a:cs typeface="Times New Roman" panose="02020603050405020304" charset="0"/>
                              </a:rPr>
                              <a:t>1:5000</a:t>
                            </a:r>
                            <a:endParaRPr lang="zh-CN" altLang="en-US" sz="1400" b="1">
                              <a:latin typeface="Times New Roman" panose="02020603050405020304" charset="0"/>
                              <a:cs typeface="Times New Roman" panose="0202060305040502030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3" name="文本框 12"/>
                        <a:cNvSpPr txBox="1"/>
                      </a:nvSpPr>
                      <a:spPr>
                        <a:xfrm>
                          <a:off x="-548" y="3263"/>
                          <a:ext cx="1894" cy="8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a:spPr>
                      <a:txSp>
                        <a:txBody>
                          <a:bodyPr wrap="square">
                            <a:spAutoFit/>
                          </a:bodyPr>
                          <a:lstStyle>
                            <a:defPPr>
                              <a:defRPr lang="zh-CN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indent="0" algn="r"/>
                            <a:r>
                              <a:rPr lang="en-US" sz="1400" b="1">
                                <a:solidFill>
                                  <a:srgbClr val="131413"/>
                                </a:solidFill>
                                <a:latin typeface="Times New Roman" panose="02020603050405020304" charset="0"/>
                                <a:cs typeface="Times New Roman" panose="02020603050405020304" charset="0"/>
                              </a:rPr>
                              <a:t>ab-</a:t>
                            </a:r>
                            <a:r>
                              <a:rPr lang="en-US" sz="1400" b="1">
                                <a:solidFill>
                                  <a:srgbClr val="131413"/>
                                </a:solidFill>
                                <a:latin typeface="Times New Roman" panose="02020603050405020304" charset="0"/>
                                <a:ea typeface="等线" panose="02010600030101010101" charset="-122"/>
                                <a:cs typeface="Times New Roman" panose="02020603050405020304" charset="0"/>
                              </a:rPr>
                              <a:t>270442</a:t>
                            </a:r>
                            <a:endParaRPr lang="en-US" sz="1400" b="1">
                              <a:solidFill>
                                <a:srgbClr val="131413"/>
                              </a:solidFill>
                              <a:latin typeface="Times New Roman" panose="02020603050405020304" charset="0"/>
                              <a:ea typeface="等线" panose="02010600030101010101" charset="-122"/>
                              <a:cs typeface="Times New Roman" panose="02020603050405020304" charset="0"/>
                            </a:endParaRPr>
                          </a:p>
                          <a:p>
                            <a:pPr indent="0" algn="r"/>
                            <a:r>
                              <a:rPr lang="en-US" altLang="zh-CN" sz="1400" b="1">
                                <a:latin typeface="Times New Roman" panose="02020603050405020304" charset="0"/>
                                <a:cs typeface="Times New Roman" panose="02020603050405020304" charset="0"/>
                              </a:rPr>
                              <a:t>1:1000</a:t>
                            </a:r>
                            <a:endParaRPr lang="zh-CN" altLang="en-US" sz="1400" b="1">
                              <a:latin typeface="Times New Roman" panose="02020603050405020304" charset="0"/>
                              <a:cs typeface="Times New Roman" panose="0202060305040502030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To generate this image, Lysates of myoblasts were analyzed at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2, 4 and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6 days of differentiation. First, samples (20 μg proteins) were run on an 10 % SDS-PAGE gel then transferred onto a  PVDF membrane (Millipore). Membranes were blocked in 5% nonfat milk in TBS-0.1 % Tween® 20 (TBS-T) before incubation with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rabbit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nti--mouse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Ezrin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00, ab270442,ABCAM,USA) or mouse-anti mouse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α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Tubulin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50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00, ab7291, ABCAM,USA) antibody overnight at 4 ℃, respectively. Blots were washed four times in TBS-T, incubated with secondary antibodies for 90 min at room temperature, washed again four times then imaged. Secondary antibodies used were goat anti-rabbit IgG H&amp;L (ANT020, antgene.CN)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or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goat anti-mouse IgG H&amp;L(ANT019, antgene.CN) preabsorbed at 1/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000 dilution.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In order to save samples and workload, we divide the glue and film into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several partial, unfortunately, partial membrane have been lost. A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s shown in the figure.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Observed band size:α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-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Tubulin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, 50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kDa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; Ezrin: 80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kD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instrText xml:space="preserve"> HYPERLINK "https://www.abcam.cn/ezrin-antibody-epr23353-55-ab270442.html" </w:instrTex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https://www.abcam.cn/ezrin-antibody-epr23353-55-ab270442.html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https://www.abcam.cn/alpha-tubulin-antibody-dm1a-loading-control-ab7291.html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</w:rPr>
        <w:t xml:space="preserve">Figure 6.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eastAsia="zh-CN"/>
        </w:rPr>
        <w:t>Ezrin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val="en-US" w:eastAsia="zh-CN"/>
        </w:rPr>
        <w:t>promoted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</w:rPr>
        <w:t xml:space="preserve"> myoblast differentiation and fusion through the PKA-MyoG/MEF2C signaling pathway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Western blot for the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indicated proteins in 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myoblasts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treated 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with </w:t>
      </w:r>
      <w:r>
        <w:rPr>
          <w:rStyle w:val="7"/>
          <w:rFonts w:hint="default"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overexpression or knockdown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for 6 days. Quantitative assays for the indicated proteins 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were performed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6 days after myoblast differentiation</w:t>
      </w:r>
      <w:r>
        <w:rPr>
          <w:rStyle w:val="7"/>
          <w:rFonts w:hint="default"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following Ezrin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overexpression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or knockdown. Three independent experiments were performed, n=3, </w:t>
      </w: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</w:rPr>
        <w:t>*P&lt;0.05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vs. Ad-Null; </w:t>
      </w: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</w:rPr>
        <w:t>#P&lt;0.05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vs. Ad-Null.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color w:val="000000" w:themeColor="text1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6B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for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PKA-γ cat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: the result of three replicates.</w:t>
      </w:r>
    </w:p>
    <w:p>
      <w:pPr>
        <w:rPr>
          <w:b/>
        </w:rPr>
      </w:pPr>
    </w:p>
    <w:p>
      <w:r>
        <w:drawing>
          <wp:inline distT="0" distB="0" distL="114300" distR="114300">
            <wp:extent cx="5137150" cy="2727960"/>
            <wp:effectExtent l="0" t="0" r="6350" b="1524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715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To generate this image, Lysates of myoblasts were analyzed at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2, 4 and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6 days of differentiation. First, samples (20 μg proteins) were run on an 10 % SDS-PAGE gel then transferred onto a  PVDF membrane (Millipore). Membranes were blocked in 5% nonfat milk in TBS-0.1 % Tween® 20 (TBS-T) before incubation with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mouse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anti--mouse PKA-γ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cat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(1:1000, sc-514087,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Santa Cruze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,USA) or mouse-anti mouse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GAPDH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00, GT239, ABCAM,USA) antibody overnight at 4 ℃, respectively. Blots were washed four times in TBS-T, incubated with secondary antibodies for 90 min at room temperature, washed again four times then imaged. Secondary antibodies used goat anti-mouse IgG H&amp;L(ANT019, antgene.CN) preabsorbed at 1/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000 dilution.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Observed band size:GAPDH, 36 kDa; PKA-γ cat: 40 kD.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instrText xml:space="preserve"> HYPERLINK "https://www.genetex.cn/Product/Detail/GAPDH-antibody-GT239-VetSignal/GTX635013" </w:instrTex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https://www.genetex.cn/Product/Detail/GAPDH-antibody-GT239-VetSignal/GTX635013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end"/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https://datasheets.scbt.com/sc-514087.pdf</w:t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Figure 6B for PKA-α cat : the result of three replicates.</w:t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r>
        <w:drawing>
          <wp:inline distT="0" distB="0" distL="114300" distR="114300">
            <wp:extent cx="5266055" cy="2431415"/>
            <wp:effectExtent l="0" t="0" r="10795" b="698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To generate this image, Lysates of myoblasts were analyzed at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2, 4 and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6 days of differentiation. First, samples (20 μg proteins) were run on an 10 % SDS-PAGE gel then transferred onto a  PVDF membrane (Millipore). Membranes were blocked in 5% nonfat milk in TBS-0.1 % Tween® 20 (TBS-T) before incubation with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mouse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anti--mouse PKA-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α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cat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(1:1000, sc-28315,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Santa Cruze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,USA) or mouse-anti mouse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GAPDH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00, GT239, ABCAM,USA) antibody overnight at 4 ℃, respectively. Blots were washed four times in TBS-T, incubated with secondary antibodies for 90 min at room temperature, washed again four times then imaged. Secondary antibodies used goat anti-mouse IgG H&amp;L(ANT019, antgene.CN) preabsorbed at 1/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000 dilution.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Observed band size:GAPDH, 36 kDa; PKA-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α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cat: 40 kD.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instrText xml:space="preserve"> HYPERLINK "https://www.genetex.cn/Product/Detail/GAPDH-antibody-GT239-VetSignal/GTX635013" </w:instrTex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https://www.genetex.cn/Product/Detail/GAPDH-antibody-GT239-VetSignal/GTX635013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end"/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https://datasheets.scbt.com/sc-28315.pdf</w:t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Figure 6B for PKA-α/β/γ cat : the result of three replicates.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66690" cy="2409825"/>
            <wp:effectExtent l="0" t="0" r="10160" b="952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To generate this image, Lysates of myoblasts were analyzed at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2, 4 and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6 days of differentiation. First, samples (20 μg proteins) were run on an 10 % SDS-PAGE gel then transferred onto a  PVDF membrane (Millipore). Membranes were blocked in 5% nonfat milk in TBS-0.1 % Tween® 20 (TBS-T) before incubation with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mouse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anti--mouse PKA-α/β/γ cat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(1:1000, sc-365615,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Santa Cruze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,USA) or mouse-anti mouse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GAPDH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00, GT239, ABCAM,USA) antibody overnight at 4 ℃, respectively. Blots were washed four times in TBS-T, incubated with secondary antibodies for 90 min at room temperature, washed again four times then imaged. Secondary antibodies used goat anti-mouse IgG H&amp;L(ANT019, antgene.CN) preabsorbed at 1/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000 dilution.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Observed band size:GAPDH, 36 kDa; PKA-α/β/γ cat: 40 kD.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instrText xml:space="preserve"> HYPERLINK "https://www.genetex.cn/Product/Detail/GAPDH-antibody-GT239-VetSignal/GTX635013" </w:instrTex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https://www.genetex.cn/Product/Detail/GAPDH-antibody-GT239-VetSignal/GTX635013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end"/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https://datasheets.scbt.com/sc-365615.pdf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Figure 6B for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PKA-regⅠα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: the result of three replicates.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r>
        <w:drawing>
          <wp:inline distT="0" distB="0" distL="114300" distR="114300">
            <wp:extent cx="5299075" cy="2427605"/>
            <wp:effectExtent l="0" t="0" r="15875" b="1079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9075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To generate this image, Lysates of myoblasts were analyzed at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2, 4 and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6 days of differentiation. First, samples (20 μg proteins) were run on an 10 % SDS-PAGE gel then transferred onto a  PVDF membrane (Millipore). Membranes were blocked in 5% nonfat milk in TBS-0.1 % Tween® 20 (TBS-T) before incubation with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mouse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anti--mouse PKA-regⅠα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(1:1000, sc-136231,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Santa Cruze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,USA) or mouse-anti mouse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GAPDH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00, GT239, ABCAM,USA) antibody overnight at 4 ℃, respectively. Blots were washed four times in TBS-T, incubated with secondary antibodies for 90 min at room temperature, washed again four times then imaged. Secondary antibodies used goat anti-mouse IgG H&amp;L(ANT019, antgene.CN) preabsorbed at 1/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000 dilution.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Observed band size:GAPDH, 36 kDa; PKA-regⅠα: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43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kD.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instrText xml:space="preserve"> HYPERLINK "https://www.genetex.cn/Product/Detail/GAPDH-antibody-GT239-VetSignal/GTX635013" </w:instrTex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https://www.genetex.cn/Product/Detail/GAPDH-antibody-GT239-VetSignal/GTX635013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end"/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https://datasheets.scbt.com/sc-136231.pdf</w:t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Figure 6B for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PKA-regⅠβ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: the result of three replicates.</w:t>
      </w:r>
    </w:p>
    <w:p>
      <w:r>
        <w:drawing>
          <wp:inline distT="0" distB="0" distL="114300" distR="114300">
            <wp:extent cx="5269865" cy="2448560"/>
            <wp:effectExtent l="0" t="0" r="6985" b="8890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To generate this image, Lysates of myoblasts were analyzed at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2, 4 and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6 days of differentiation. First, samples (20 μg proteins) were run on an 10 % SDS-PAGE gel then transferred onto a  PVDF membrane (Millipore). Membranes were blocked in 5% nonfat milk in TBS-0.1 % Tween® 20 (TBS-T) before incubation with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mouse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anti--mouse PKA-regⅠβ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(1:1000, sc-100414,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Santa Cruze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,USA) or mouse-anti mouse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GAPDH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00, GT239, ABCAM,USA) antibody overnight at 4 ℃, respectively. Blots were washed four times in TBS-T, incubated with secondary antibodies for 90 min at room temperature, washed again four times then imaged. Secondary antibodies used goat anti-mouse IgG H&amp;L(ANT019, antgene.CN) preabsorbed at 1/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000 dilution.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The red arrow is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the residue of GAPDH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development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after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three times of film washing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the PKA-regⅠβ is developed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. Although the species origin is the same as the mouse origin antibody,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Lamin B1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is slightly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develop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ed again when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the PKA-regⅠβ is developed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Observed band size:GAPDH, 36 kDa; PKA-regⅠβ: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51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kD.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instrText xml:space="preserve"> HYPERLINK "https://www.genetex.cn/Product/Detail/GAPDH-antibody-GT239-VetSignal/GTX635013" </w:instrTex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https://www.genetex.cn/Product/Detail/GAPDH-antibody-GT239-VetSignal/GTX635013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end"/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https://datasheets.scbt.com/sc-100414.pdf</w:t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Figure 6B for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PKA-regⅡα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: the result of three replicates.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65420" cy="2343150"/>
            <wp:effectExtent l="0" t="0" r="11430" b="0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To generate this image, Lysates of myoblasts were analyzed at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2, 4 and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6 days of differentiation. First, samples (20 μg proteins) were run on an 10 % SDS-PAGE gel then transferred onto a  PVDF membrane (Millipore). Membranes were blocked in 5% nonfat milk in TBS-0.1 % Tween® 20 (TBS-T) before incubation with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mouse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anti--mouse PKA-regⅡα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(1:1000, sc-136252,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Santa Cruze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,USA) or mouse-anti mouse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GAPDH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00, GT239, ABCAM,USA) antibody overnight at 4 ℃, respectively. Blots were washed four times in TBS-T, incubated with secondary antibodies for 90 min at room temperature, washed again four times then imaged. Secondary antibodies used goat anti-mouse IgG H&amp;L(ANT019, antgene.CN) preabsorbed at 1/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000 dilution.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Observed band size:GAPDH, 36 kDa; PKA-regⅡα: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50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kD.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instrText xml:space="preserve"> HYPERLINK "https://www.genetex.cn/Product/Detail/GAPDH-antibody-GT239-VetSignal/GTX635013" </w:instrTex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https://www.genetex.cn/Product/Detail/GAPDH-antibody-GT239-VetSignal/GTX635013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fldChar w:fldCharType="end"/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https://datasheets.scbt.com/sc-136252.pdf</w:t>
      </w: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default" w:ascii="Times New Roman" w:hAnsi="Times New Roman" w:eastAsia="等线" w:cs="Times New Roman"/>
          <w:b/>
          <w:color w:val="000000" w:themeColor="text1"/>
          <w:sz w:val="24"/>
          <w:szCs w:val="24"/>
          <w:lang w:eastAsia="zh-CN"/>
        </w:rPr>
      </w:pPr>
      <w:r>
        <w:rPr>
          <w:rStyle w:val="7"/>
          <w:rFonts w:hint="default" w:ascii="Times New Roman" w:hAnsi="Times New Roman" w:eastAsia="等线" w:cs="Times New Roman"/>
          <w:b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Figure 7. NFAT signaling </w:t>
      </w:r>
      <w:r>
        <w:rPr>
          <w:rStyle w:val="7"/>
          <w:rFonts w:hint="default" w:ascii="Times New Roman" w:hAnsi="Times New Roman" w:cs="Times New Roman"/>
          <w:b/>
          <w:bCs w:val="0"/>
          <w:i w:val="0"/>
          <w:iCs w:val="0"/>
          <w:caps w:val="0"/>
          <w:smallCaps w:val="0"/>
          <w:strike w:val="0"/>
          <w:dstrike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was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</w:rPr>
        <w:t xml:space="preserve"> involved in the regulation of myoblast differentiation/fusion mediated by 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24"/>
          <w:lang w:eastAsia="zh-CN"/>
        </w:rPr>
        <w:t>Ezrin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Western blot of NFATc1-c4 proteins in 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myoblasts treated with </w:t>
      </w:r>
      <w:r>
        <w:rPr>
          <w:rStyle w:val="7"/>
          <w:rFonts w:hint="default"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Ezrin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overexpression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or knockdown for 6 days. (C-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</w:rPr>
        <w:t>F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) Quantitative analysis 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>of NFATc1-c4 protein expression was performed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6 days after myoblast differentiation</w:t>
      </w:r>
      <w:r>
        <w:rPr>
          <w:rStyle w:val="7"/>
          <w:rFonts w:hint="default"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following Ezrin</w:t>
      </w:r>
      <w:r>
        <w:rPr>
          <w:rStyle w:val="7"/>
          <w:rFonts w:hint="default" w:ascii="Times New Roman" w:hAnsi="Times New Roman" w:eastAsia="等线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/>
          <w:vanish w:val="0"/>
          <w:color w:val="000000" w:themeColor="text1"/>
          <w:spacing w:val="0"/>
          <w:w w:val="100"/>
          <w:kern w:val="2"/>
          <w:position w:val="0"/>
          <w:sz w:val="24"/>
          <w:szCs w:val="24"/>
          <w:highlight w:val="none"/>
          <w:u w:val="none" w:color="auto"/>
          <w:vertAlign w:val="baseline"/>
          <w:rtl w:val="0"/>
          <w:cs w:val="0"/>
          <w:lang w:val="en-US" w:eastAsia="zh-CN" w:bidi="ar-SA"/>
        </w:rPr>
        <w:t xml:space="preserve"> overexpression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or knockdown. Three independent experiments were performed, n=3, </w:t>
      </w: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</w:rPr>
        <w:t>*P&lt;0.05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vs. Ad-Null; </w:t>
      </w:r>
      <w:r>
        <w:rPr>
          <w:rFonts w:hint="default" w:ascii="Times New Roman" w:hAnsi="Times New Roman" w:cs="Times New Roman"/>
          <w:i/>
          <w:color w:val="000000" w:themeColor="text1"/>
          <w:sz w:val="24"/>
          <w:szCs w:val="24"/>
        </w:rPr>
        <w:t>#P&lt;0.05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 vs. Ad-Null.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B for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NFATc1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: the result of three replicates.</w:t>
      </w:r>
    </w:p>
    <w:p>
      <w:r>
        <w:drawing>
          <wp:inline distT="0" distB="0" distL="114300" distR="114300">
            <wp:extent cx="5497830" cy="2550795"/>
            <wp:effectExtent l="0" t="0" r="7620" b="1905"/>
            <wp:docPr id="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97830" cy="255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To generate this image, Lysates of myoblasts were analyzed at 6 days of differentiation. First, samples (20 μg proteins) were run on an 10 % SDS-PAGE gel then transferred onto a  PVDF membrane (Millipore). Membranes were blocked in 5% nonfat milk in TBS-0.1 % Tween® 20 (TBS-T) before incubation with NFATc1-mouse anti-mouse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00, ab2796,ABCAM,USA) antibody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or Lamin B1 rabbit anti-mouse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000,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ab16048, ABCAM, USA) antibody overnight at 4 ℃, respectively.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Blots were washed four times in TBS-T, incubated with secondary antibodies for 90 min at room temperature, washed again four times then imaged. Secondary antibodies used were goat anti-mouse IgG H&amp;L(ANT019, antgene.CN) preabsorbed at 1/2000 dilution.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NFATc1 (NFAT2)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Predicted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band size: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90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kDa.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Observed band size: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 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75,80,90 kDa.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Lamin B1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1"/>
          <w:lang w:val="en-US" w:eastAsia="zh-CN" w:bidi="ar-SA"/>
        </w:rPr>
        <w:t xml:space="preserve">Observed band size: 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66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1"/>
          <w:lang w:val="en-US" w:eastAsia="zh-CN" w:bidi="ar-SA"/>
        </w:rPr>
        <w:t xml:space="preserve"> kDa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https://www.abcam.cn/nfat2-antibody-7a6-ab2796.html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https://www.abcam.cn/lamin-b1-antibody-nuclear-envelope-marker-ab16048.html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B for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NFATc2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: the result of three replicates.</w:t>
      </w:r>
    </w:p>
    <w:p>
      <w:r>
        <w:drawing>
          <wp:inline distT="0" distB="0" distL="114300" distR="114300">
            <wp:extent cx="5270500" cy="2453640"/>
            <wp:effectExtent l="0" t="0" r="6350" b="3810"/>
            <wp:docPr id="3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To generate this image, Lysates of myoblasts were analyzed at 6 days of differentiation. First, samples (20 μg proteins) were run on an 10 % SDS-PAGE gel then transferred onto a PVDF membrane (Millipore). Membranes were blocked in 5% nonfat milk in TBS-0.1 % Tween® 20 (TBS-T) before incubation with NFATc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-mouse anti-mouse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00, ab2722,ABCAM,USA) antibody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or Lamin B1 rabbit anti-mouse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000,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ab16048, ABCAM, USA) antibody overnight at 4 ℃, respectively.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Blots were washed four times in TBS-T, incubated with secondary antibodies for 90 min at room temperature, washed again four times then imaged. Secondary antibodies used were goat anti-mouse IgG H&amp;L(ANT019, antgene.CN)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or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goat anti-rabbit IgG H&amp;L (ANT020, antgene.CN) preabsorbed at 1/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100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 dilution.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The red arrow is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the residue of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Lamin B1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development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after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three times of film washing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the NFATc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is developed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. Although the species origin is not the same as the mouse or rabbit origin antibody,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Lamin B1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is slightly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develop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ed again when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the NFATc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is developed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NFATc2 (NFAT1)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Predicted band size: 115 kDa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Observed band size: 150 kDa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Lamin B1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Observed band size: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66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kDa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https://www.abcam.cn/nfat1-antibody-25a10d6d2-ab2722.html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https://www.abcam.cn/lamin-b1-antibody-nuclear-envelope-marker-ab16048.html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B for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NFATc3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: the result of three replicates.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r>
        <w:drawing>
          <wp:inline distT="0" distB="0" distL="114300" distR="114300">
            <wp:extent cx="5272405" cy="2386330"/>
            <wp:effectExtent l="0" t="0" r="4445" b="13970"/>
            <wp:docPr id="3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To generate this image, Lysates of myoblasts were analyzed at 6 days of differentiation. First, samples (20 μg proteins) were run on an 10 % SDS-PAGE gel then transferred onto a PVDF membrane (Millipore). Membranes were blocked in 5% nonfat milk in TBS-0.1 % Tween® 20 (TBS-T) before incubation with NFATc3 rabbit anti-mouse/human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00, ab83832,ABCAM,USA)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or Lamin B1 rabbit anti-mouse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000,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ab16048, ABCAM, USA) antibody overnight at 4 ℃, respectively.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Blots were washed four times in TBS-T, incubated with secondary antibodies for 90 min at room temperature, washed again four times then imaged. Secondary antibodies used were goat anti-mouse IgG H&amp;L(ANT019, antgene.CN)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or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goat anti-rabbit IgG H&amp;L (ANT020, antgene.CN) preabsorbed at 1/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100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 dilution.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The red arrow is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the residue of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Lamin B1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development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after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three times of film washing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the NFATc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is developed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. Although the species origin is not  the same as the mouse or rabbit origin antibody,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NFATc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3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development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time is more longer than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Lamin B1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development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leading to the strong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Lamin B1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development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again.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Observed band size for NFATc3: 11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kDa.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Lamin B1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Observed band size: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66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kDa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1"/>
          <w:szCs w:val="21"/>
          <w:lang w:val="en-US" w:eastAsia="zh-CN" w:bidi="ar-SA"/>
        </w:rPr>
        <w:t>Additional bands: 46 kDa</w:t>
      </w:r>
      <w:r>
        <w:rPr>
          <w:rFonts w:hint="eastAsia" w:ascii="Times New Roman" w:hAnsi="Times New Roman" w:cs="Times New Roman"/>
          <w:b w:val="0"/>
          <w:bCs w:val="0"/>
          <w:kern w:val="2"/>
          <w:sz w:val="21"/>
          <w:szCs w:val="21"/>
          <w:lang w:val="en-US" w:eastAsia="zh-CN" w:bidi="ar-SA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https://www.abcam.cn/nfat4nf-atc3-antibody-ab83832.html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https://www.abcam.cn/lamin-b1-antibody-nuclear-envelope-marker-ab16048.html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B for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NFATc4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: the result of three replicates.</w:t>
      </w:r>
    </w:p>
    <w:p>
      <w:r>
        <w:drawing>
          <wp:inline distT="0" distB="0" distL="114300" distR="114300">
            <wp:extent cx="5272405" cy="2442845"/>
            <wp:effectExtent l="0" t="0" r="4445" b="14605"/>
            <wp:docPr id="3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To generate this image, Lysates of myoblasts were analyzed at 6 days of differentiation. First, samples (20 μg proteins) were run on an 10 % SDS-PAGE gel then transferred onto a PVDF membrane (Millipore). Membranes were blocked in 5% nonfat milk in TBS-0.1 % Tween® 20 (TBS-T) before incubation with NFATc4 rabbit anti-mouse/human (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1:1000,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SAB4501982,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SIGMA,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USA)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or Lamin B1 rabbit anti-mouse (1: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000,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ab16048, ABCAM, USA) antibody overnight at 4 ℃, respectively.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Blots were washed four times in TBS-T, incubated with secondary antibodies for 90 min at room temperature, washed again four times then imaged. Secondary antibodies used were goat anti-mouse IgG H&amp;L(ANT019, antgene.CN)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or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goat anti-rabbit IgG H&amp;L (ANT020, antgene.CN) preabsorbed at 1/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100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00 dilution.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The red arrow is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the residue of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Lamin B1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development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after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three times of film washing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the NFATc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is developed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. Although the species origin is not the same as the mouse or rabbit origin antibody,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Lamin B1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is slightly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develop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ed again when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the NFATc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is developed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Observed band size for NFATc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: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95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kDa.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Lamin B1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Observed band size: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66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kDa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https://www.sigmaaldrich.cn/CN/zh/product/sigma/sab4501982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https://www.abcam.cn/lamin-b1-antibody-nuclear-envelope-marker-ab16048.html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NkYTE1YjFhMzMwMDkzOGJmYzlhNmFmYjIwNTgxMjUifQ=="/>
  </w:docVars>
  <w:rsids>
    <w:rsidRoot w:val="00472438"/>
    <w:rsid w:val="000324BF"/>
    <w:rsid w:val="000837E9"/>
    <w:rsid w:val="000B0839"/>
    <w:rsid w:val="000E7AC5"/>
    <w:rsid w:val="00175397"/>
    <w:rsid w:val="001A4E67"/>
    <w:rsid w:val="00213234"/>
    <w:rsid w:val="00226210"/>
    <w:rsid w:val="002C593A"/>
    <w:rsid w:val="002D57DE"/>
    <w:rsid w:val="002E507C"/>
    <w:rsid w:val="002F0655"/>
    <w:rsid w:val="00325E46"/>
    <w:rsid w:val="00394547"/>
    <w:rsid w:val="00472438"/>
    <w:rsid w:val="004D35C6"/>
    <w:rsid w:val="00507572"/>
    <w:rsid w:val="006770D4"/>
    <w:rsid w:val="006E384A"/>
    <w:rsid w:val="00747F2F"/>
    <w:rsid w:val="00773E16"/>
    <w:rsid w:val="007B2244"/>
    <w:rsid w:val="0084500C"/>
    <w:rsid w:val="008C1128"/>
    <w:rsid w:val="00A26C1B"/>
    <w:rsid w:val="00AC6AB6"/>
    <w:rsid w:val="00B20D06"/>
    <w:rsid w:val="00B517C0"/>
    <w:rsid w:val="00BA1B61"/>
    <w:rsid w:val="00CB28E5"/>
    <w:rsid w:val="00D12573"/>
    <w:rsid w:val="00D925D7"/>
    <w:rsid w:val="00ED7379"/>
    <w:rsid w:val="00F96856"/>
    <w:rsid w:val="079E786F"/>
    <w:rsid w:val="0AF4117F"/>
    <w:rsid w:val="0BA34BD4"/>
    <w:rsid w:val="0FDC65AC"/>
    <w:rsid w:val="13E97E92"/>
    <w:rsid w:val="235469EC"/>
    <w:rsid w:val="2B5B221A"/>
    <w:rsid w:val="2B870602"/>
    <w:rsid w:val="2D1E43C2"/>
    <w:rsid w:val="31812C72"/>
    <w:rsid w:val="351411AC"/>
    <w:rsid w:val="3582454C"/>
    <w:rsid w:val="37846D67"/>
    <w:rsid w:val="384322A6"/>
    <w:rsid w:val="38A942B5"/>
    <w:rsid w:val="39F21595"/>
    <w:rsid w:val="3B0917FC"/>
    <w:rsid w:val="4511177B"/>
    <w:rsid w:val="493A4AAE"/>
    <w:rsid w:val="51FB2DDF"/>
    <w:rsid w:val="5CCA1262"/>
    <w:rsid w:val="5DA64BB1"/>
    <w:rsid w:val="61D65EAF"/>
    <w:rsid w:val="70FA2AE5"/>
    <w:rsid w:val="746342F9"/>
    <w:rsid w:val="776668EA"/>
    <w:rsid w:val="7A7949A6"/>
    <w:rsid w:val="7F6C4FCB"/>
    <w:rsid w:val="7FF31F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semiHidden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http://www.wanmei90.com</Company>
  <Pages>9</Pages>
  <Words>1901</Words>
  <Characters>11690</Characters>
  <Lines>1</Lines>
  <Paragraphs>1</Paragraphs>
  <TotalTime>0</TotalTime>
  <ScaleCrop>false</ScaleCrop>
  <LinksUpToDate>false</LinksUpToDate>
  <CharactersWithSpaces>13527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2022-07-31T01:06:00Z</dcterms:created>
  <dc:creator>风住街</dc:creator>
  <cp:lastModifiedBy>Administrator</cp:lastModifiedBy>
  <dcterms:modified xsi:type="dcterms:W3CDTF">2022-10-08T01:57:40Z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A28757739552425CB5B470BBCE4739A8</vt:lpwstr>
  </property>
</Properties>
</file>