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3ED0FC5F" w14:textId="77777777" w:rsidTr="006B2AFA">
        <w:trPr>
          <w:trHeight w:val="375"/>
        </w:trPr>
        <w:tc>
          <w:tcPr>
            <w:tcW w:w="520" w:type="dxa"/>
            <w:tcBorders>
              <w:top w:val="nil"/>
              <w:left w:val="nil"/>
              <w:bottom w:val="nil"/>
              <w:right w:val="nil"/>
            </w:tcBorders>
            <w:shd w:val="clear" w:color="auto" w:fill="auto"/>
            <w:noWrap/>
            <w:vAlign w:val="bottom"/>
            <w:hideMark/>
          </w:tcPr>
          <w:p w14:paraId="0E52EB0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E0E55D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26FFCFB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57C80C3" w14:textId="77777777" w:rsidTr="006B2AFA">
        <w:trPr>
          <w:trHeight w:val="300"/>
        </w:trPr>
        <w:tc>
          <w:tcPr>
            <w:tcW w:w="520" w:type="dxa"/>
            <w:tcBorders>
              <w:top w:val="nil"/>
              <w:left w:val="nil"/>
              <w:bottom w:val="nil"/>
              <w:right w:val="nil"/>
            </w:tcBorders>
            <w:shd w:val="clear" w:color="auto" w:fill="auto"/>
            <w:noWrap/>
            <w:vAlign w:val="bottom"/>
            <w:hideMark/>
          </w:tcPr>
          <w:p w14:paraId="726E8E4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654CB08"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4DFD9CF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480C348" w14:textId="77777777" w:rsidTr="006B2AFA">
        <w:trPr>
          <w:trHeight w:val="375"/>
        </w:trPr>
        <w:tc>
          <w:tcPr>
            <w:tcW w:w="520" w:type="dxa"/>
            <w:tcBorders>
              <w:top w:val="nil"/>
              <w:left w:val="nil"/>
              <w:bottom w:val="nil"/>
              <w:right w:val="nil"/>
            </w:tcBorders>
            <w:shd w:val="clear" w:color="auto" w:fill="auto"/>
            <w:noWrap/>
            <w:vAlign w:val="bottom"/>
            <w:hideMark/>
          </w:tcPr>
          <w:p w14:paraId="64646D1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BB8EFCD"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00D4886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378EE9F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AD09D6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0032CA7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9217842" w14:textId="77777777" w:rsidTr="006B2AFA">
        <w:trPr>
          <w:trHeight w:val="1200"/>
        </w:trPr>
        <w:tc>
          <w:tcPr>
            <w:tcW w:w="520" w:type="dxa"/>
            <w:tcBorders>
              <w:top w:val="nil"/>
              <w:left w:val="nil"/>
              <w:bottom w:val="nil"/>
              <w:right w:val="nil"/>
            </w:tcBorders>
            <w:shd w:val="clear" w:color="auto" w:fill="auto"/>
            <w:noWrap/>
            <w:vAlign w:val="bottom"/>
            <w:hideMark/>
          </w:tcPr>
          <w:p w14:paraId="00B35AD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FC5D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1468322" w14:textId="100F4F1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238E4">
              <w:rPr>
                <w:rFonts w:ascii="Calibri" w:eastAsia="Times New Roman" w:hAnsi="Calibri" w:cs="Times New Roman"/>
                <w:color w:val="000000"/>
              </w:rPr>
              <w:t>P1/L1-3</w:t>
            </w:r>
          </w:p>
        </w:tc>
      </w:tr>
      <w:tr w:rsidR="006B2AFA" w:rsidRPr="006B2AFA" w14:paraId="2F89E54F" w14:textId="77777777" w:rsidTr="006B2AFA">
        <w:trPr>
          <w:trHeight w:val="900"/>
        </w:trPr>
        <w:tc>
          <w:tcPr>
            <w:tcW w:w="520" w:type="dxa"/>
            <w:tcBorders>
              <w:top w:val="nil"/>
              <w:left w:val="nil"/>
              <w:bottom w:val="nil"/>
              <w:right w:val="nil"/>
            </w:tcBorders>
            <w:shd w:val="clear" w:color="auto" w:fill="auto"/>
            <w:noWrap/>
            <w:vAlign w:val="bottom"/>
            <w:hideMark/>
          </w:tcPr>
          <w:p w14:paraId="040F4BB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D7F60E" w14:textId="761B04D2" w:rsidR="006B2AFA" w:rsidRPr="006B2AFA" w:rsidRDefault="00EF7803"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w:t>
            </w:r>
            <w:r w:rsidR="006B2AFA" w:rsidRPr="006B2AFA">
              <w:rPr>
                <w:rFonts w:ascii="Calibri" w:eastAsia="Times New Roman" w:hAnsi="Calibri" w:cs="Times New Roman"/>
                <w:color w:val="000000"/>
              </w:rPr>
              <w:t xml:space="preserve">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4D0763BB" w14:textId="6AC3C9C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238E4">
              <w:rPr>
                <w:rFonts w:ascii="Calibri" w:eastAsia="Times New Roman" w:hAnsi="Calibri" w:cs="Times New Roman"/>
                <w:color w:val="000000"/>
              </w:rPr>
              <w:t>P3</w:t>
            </w:r>
            <w:r w:rsidR="009A47C2">
              <w:rPr>
                <w:rFonts w:ascii="Calibri" w:eastAsia="Times New Roman" w:hAnsi="Calibri" w:cs="Times New Roman"/>
                <w:color w:val="000000"/>
              </w:rPr>
              <w:t>-4</w:t>
            </w:r>
            <w:r w:rsidR="00A238E4">
              <w:rPr>
                <w:rFonts w:ascii="Calibri" w:eastAsia="Times New Roman" w:hAnsi="Calibri" w:cs="Times New Roman"/>
                <w:color w:val="000000"/>
              </w:rPr>
              <w:t>/L3</w:t>
            </w:r>
            <w:r w:rsidR="009A47C2">
              <w:rPr>
                <w:rFonts w:ascii="Calibri" w:eastAsia="Times New Roman" w:hAnsi="Calibri" w:cs="Times New Roman"/>
                <w:color w:val="000000"/>
              </w:rPr>
              <w:t>0</w:t>
            </w:r>
            <w:r w:rsidR="00A238E4">
              <w:rPr>
                <w:rFonts w:ascii="Calibri" w:eastAsia="Times New Roman" w:hAnsi="Calibri" w:cs="Times New Roman"/>
                <w:color w:val="000000"/>
              </w:rPr>
              <w:t>-5</w:t>
            </w:r>
            <w:r w:rsidR="009A47C2">
              <w:rPr>
                <w:rFonts w:ascii="Calibri" w:eastAsia="Times New Roman" w:hAnsi="Calibri" w:cs="Times New Roman"/>
                <w:color w:val="000000"/>
              </w:rPr>
              <w:t>8</w:t>
            </w:r>
          </w:p>
        </w:tc>
      </w:tr>
      <w:tr w:rsidR="006B2AFA" w:rsidRPr="006B2AFA" w14:paraId="36E985EF" w14:textId="77777777" w:rsidTr="006B2AFA">
        <w:trPr>
          <w:trHeight w:val="300"/>
        </w:trPr>
        <w:tc>
          <w:tcPr>
            <w:tcW w:w="520" w:type="dxa"/>
            <w:tcBorders>
              <w:top w:val="nil"/>
              <w:left w:val="nil"/>
              <w:bottom w:val="nil"/>
              <w:right w:val="nil"/>
            </w:tcBorders>
            <w:shd w:val="clear" w:color="auto" w:fill="auto"/>
            <w:noWrap/>
            <w:vAlign w:val="bottom"/>
            <w:hideMark/>
          </w:tcPr>
          <w:p w14:paraId="582EE28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9B49B2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0AFE4C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466F0BB"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7C3E62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71617F8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C17EFED" w14:textId="77777777" w:rsidTr="006B2AFA">
        <w:trPr>
          <w:trHeight w:val="900"/>
        </w:trPr>
        <w:tc>
          <w:tcPr>
            <w:tcW w:w="520" w:type="dxa"/>
            <w:tcBorders>
              <w:top w:val="nil"/>
              <w:left w:val="nil"/>
              <w:bottom w:val="nil"/>
              <w:right w:val="nil"/>
            </w:tcBorders>
            <w:shd w:val="clear" w:color="auto" w:fill="auto"/>
            <w:noWrap/>
            <w:vAlign w:val="bottom"/>
            <w:hideMark/>
          </w:tcPr>
          <w:p w14:paraId="3C2E0BE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8A775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4109B05" w14:textId="6499BA4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238E4">
              <w:rPr>
                <w:rFonts w:ascii="Calibri" w:eastAsia="Times New Roman" w:hAnsi="Calibri" w:cs="Times New Roman"/>
                <w:color w:val="000000"/>
              </w:rPr>
              <w:t>P5-</w:t>
            </w:r>
            <w:r w:rsidR="00CC1B0E">
              <w:rPr>
                <w:rFonts w:ascii="Calibri" w:eastAsia="Times New Roman" w:hAnsi="Calibri" w:cs="Times New Roman"/>
                <w:color w:val="000000"/>
              </w:rPr>
              <w:t>6</w:t>
            </w:r>
            <w:r w:rsidR="00A238E4">
              <w:rPr>
                <w:rFonts w:ascii="Calibri" w:eastAsia="Times New Roman" w:hAnsi="Calibri" w:cs="Times New Roman"/>
                <w:color w:val="000000"/>
              </w:rPr>
              <w:t>/L6</w:t>
            </w:r>
            <w:r w:rsidR="00CC1B0E">
              <w:rPr>
                <w:rFonts w:ascii="Calibri" w:eastAsia="Times New Roman" w:hAnsi="Calibri" w:cs="Times New Roman"/>
                <w:color w:val="000000"/>
              </w:rPr>
              <w:t>8</w:t>
            </w:r>
            <w:r w:rsidR="00A238E4">
              <w:rPr>
                <w:rFonts w:ascii="Calibri" w:eastAsia="Times New Roman" w:hAnsi="Calibri" w:cs="Times New Roman"/>
                <w:color w:val="000000"/>
              </w:rPr>
              <w:t>-</w:t>
            </w:r>
            <w:r w:rsidR="00CC1B0E">
              <w:rPr>
                <w:rFonts w:ascii="Calibri" w:eastAsia="Times New Roman" w:hAnsi="Calibri" w:cs="Times New Roman"/>
                <w:color w:val="000000"/>
              </w:rPr>
              <w:t>95</w:t>
            </w:r>
          </w:p>
        </w:tc>
      </w:tr>
      <w:tr w:rsidR="006B2AFA" w:rsidRPr="006B2AFA" w14:paraId="5A6672A5" w14:textId="77777777" w:rsidTr="006B2AFA">
        <w:trPr>
          <w:trHeight w:val="600"/>
        </w:trPr>
        <w:tc>
          <w:tcPr>
            <w:tcW w:w="520" w:type="dxa"/>
            <w:tcBorders>
              <w:top w:val="nil"/>
              <w:left w:val="nil"/>
              <w:bottom w:val="nil"/>
              <w:right w:val="nil"/>
            </w:tcBorders>
            <w:shd w:val="clear" w:color="auto" w:fill="auto"/>
            <w:noWrap/>
            <w:vAlign w:val="bottom"/>
            <w:hideMark/>
          </w:tcPr>
          <w:p w14:paraId="5D5C1A2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164602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72CA6A8C" w14:textId="2E52755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238E4">
              <w:rPr>
                <w:rFonts w:ascii="Calibri" w:eastAsia="Times New Roman" w:hAnsi="Calibri" w:cs="Times New Roman"/>
                <w:color w:val="000000"/>
              </w:rPr>
              <w:t>P6</w:t>
            </w:r>
            <w:r w:rsidR="00CC1B0E">
              <w:rPr>
                <w:rFonts w:ascii="Calibri" w:eastAsia="Times New Roman" w:hAnsi="Calibri" w:cs="Times New Roman"/>
                <w:color w:val="000000"/>
              </w:rPr>
              <w:t>-7</w:t>
            </w:r>
            <w:r w:rsidR="00A238E4">
              <w:rPr>
                <w:rFonts w:ascii="Calibri" w:eastAsia="Times New Roman" w:hAnsi="Calibri" w:cs="Times New Roman"/>
                <w:color w:val="000000"/>
              </w:rPr>
              <w:t>/L9</w:t>
            </w:r>
            <w:r w:rsidR="00CC1B0E">
              <w:rPr>
                <w:rFonts w:ascii="Calibri" w:eastAsia="Times New Roman" w:hAnsi="Calibri" w:cs="Times New Roman"/>
                <w:color w:val="000000"/>
              </w:rPr>
              <w:t>6</w:t>
            </w:r>
            <w:r w:rsidR="00A238E4">
              <w:rPr>
                <w:rFonts w:ascii="Calibri" w:eastAsia="Times New Roman" w:hAnsi="Calibri" w:cs="Times New Roman"/>
                <w:color w:val="000000"/>
              </w:rPr>
              <w:t>-103</w:t>
            </w:r>
          </w:p>
        </w:tc>
      </w:tr>
      <w:tr w:rsidR="006B2AFA" w:rsidRPr="006B2AFA" w14:paraId="3AFCE878" w14:textId="77777777" w:rsidTr="006B2AFA">
        <w:trPr>
          <w:trHeight w:val="300"/>
        </w:trPr>
        <w:tc>
          <w:tcPr>
            <w:tcW w:w="520" w:type="dxa"/>
            <w:tcBorders>
              <w:top w:val="nil"/>
              <w:left w:val="nil"/>
              <w:bottom w:val="nil"/>
              <w:right w:val="nil"/>
            </w:tcBorders>
            <w:shd w:val="clear" w:color="auto" w:fill="auto"/>
            <w:noWrap/>
            <w:vAlign w:val="bottom"/>
            <w:hideMark/>
          </w:tcPr>
          <w:p w14:paraId="2749127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9560FA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5A2A0B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B6D7B68"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36F28D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2A7DE95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C970F83" w14:textId="77777777" w:rsidTr="006B2AFA">
        <w:trPr>
          <w:trHeight w:val="1500"/>
        </w:trPr>
        <w:tc>
          <w:tcPr>
            <w:tcW w:w="520" w:type="dxa"/>
            <w:tcBorders>
              <w:top w:val="nil"/>
              <w:left w:val="nil"/>
              <w:bottom w:val="nil"/>
              <w:right w:val="nil"/>
            </w:tcBorders>
            <w:shd w:val="clear" w:color="auto" w:fill="auto"/>
            <w:vAlign w:val="bottom"/>
            <w:hideMark/>
          </w:tcPr>
          <w:p w14:paraId="7224259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C2DF6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35692BF7" w14:textId="77777777"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571B3">
              <w:rPr>
                <w:rFonts w:ascii="Calibri" w:eastAsia="Times New Roman" w:hAnsi="Calibri" w:cs="Times New Roman"/>
                <w:color w:val="000000"/>
              </w:rPr>
              <w:t>P7-8/L1</w:t>
            </w:r>
            <w:r w:rsidR="00CC1B0E">
              <w:rPr>
                <w:rFonts w:ascii="Calibri" w:eastAsia="Times New Roman" w:hAnsi="Calibri" w:cs="Times New Roman"/>
                <w:color w:val="000000"/>
              </w:rPr>
              <w:t>11</w:t>
            </w:r>
            <w:r w:rsidR="00C571B3">
              <w:rPr>
                <w:rFonts w:ascii="Calibri" w:eastAsia="Times New Roman" w:hAnsi="Calibri" w:cs="Times New Roman"/>
                <w:color w:val="000000"/>
              </w:rPr>
              <w:t>-1</w:t>
            </w:r>
            <w:r w:rsidR="00CC1B0E">
              <w:rPr>
                <w:rFonts w:ascii="Calibri" w:eastAsia="Times New Roman" w:hAnsi="Calibri" w:cs="Times New Roman"/>
                <w:color w:val="000000"/>
              </w:rPr>
              <w:t>41</w:t>
            </w:r>
          </w:p>
          <w:p w14:paraId="2201729F" w14:textId="1EC86E86" w:rsidR="002A1B40" w:rsidRPr="006B2AFA" w:rsidRDefault="002A1B4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P8-9/L143-150</w:t>
            </w:r>
          </w:p>
        </w:tc>
      </w:tr>
      <w:tr w:rsidR="006B2AFA" w:rsidRPr="006B2AFA" w14:paraId="3692AD93" w14:textId="77777777" w:rsidTr="006B2AFA">
        <w:trPr>
          <w:trHeight w:val="1800"/>
        </w:trPr>
        <w:tc>
          <w:tcPr>
            <w:tcW w:w="520" w:type="dxa"/>
            <w:tcBorders>
              <w:top w:val="nil"/>
              <w:left w:val="nil"/>
              <w:bottom w:val="nil"/>
              <w:right w:val="nil"/>
            </w:tcBorders>
            <w:shd w:val="clear" w:color="auto" w:fill="auto"/>
            <w:noWrap/>
            <w:vAlign w:val="bottom"/>
            <w:hideMark/>
          </w:tcPr>
          <w:p w14:paraId="3A3ACE9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D141A9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074D2BB7" w14:textId="7C90E03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F0446">
              <w:rPr>
                <w:rFonts w:ascii="Calibri" w:eastAsia="Times New Roman" w:hAnsi="Calibri" w:cs="Times New Roman"/>
                <w:color w:val="000000"/>
              </w:rPr>
              <w:t>P18/L336-342</w:t>
            </w:r>
          </w:p>
        </w:tc>
      </w:tr>
      <w:tr w:rsidR="006B2AFA" w:rsidRPr="006B2AFA" w14:paraId="08539A1D" w14:textId="77777777" w:rsidTr="006B2AFA">
        <w:trPr>
          <w:trHeight w:val="300"/>
        </w:trPr>
        <w:tc>
          <w:tcPr>
            <w:tcW w:w="520" w:type="dxa"/>
            <w:tcBorders>
              <w:top w:val="nil"/>
              <w:left w:val="nil"/>
              <w:bottom w:val="nil"/>
              <w:right w:val="nil"/>
            </w:tcBorders>
            <w:shd w:val="clear" w:color="auto" w:fill="auto"/>
            <w:noWrap/>
            <w:vAlign w:val="bottom"/>
            <w:hideMark/>
          </w:tcPr>
          <w:p w14:paraId="3419ACA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802659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6F00AF5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p>
        </w:tc>
      </w:tr>
      <w:tr w:rsidR="006B2AFA" w:rsidRPr="006B2AFA" w14:paraId="0EBCA39E" w14:textId="77777777" w:rsidTr="006B2AFA">
        <w:trPr>
          <w:trHeight w:val="900"/>
        </w:trPr>
        <w:tc>
          <w:tcPr>
            <w:tcW w:w="520" w:type="dxa"/>
            <w:tcBorders>
              <w:top w:val="nil"/>
              <w:left w:val="nil"/>
              <w:bottom w:val="nil"/>
              <w:right w:val="nil"/>
            </w:tcBorders>
            <w:shd w:val="clear" w:color="auto" w:fill="auto"/>
            <w:noWrap/>
            <w:vAlign w:val="bottom"/>
            <w:hideMark/>
          </w:tcPr>
          <w:p w14:paraId="0A4C079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1CC7A3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C79263C" w14:textId="3647562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72762C">
              <w:rPr>
                <w:rFonts w:ascii="Calibri" w:eastAsia="Times New Roman" w:hAnsi="Calibri" w:cs="Times New Roman"/>
                <w:color w:val="000000"/>
              </w:rPr>
              <w:t>P7/L11</w:t>
            </w:r>
            <w:r w:rsidR="00423C95">
              <w:rPr>
                <w:rFonts w:ascii="Calibri" w:eastAsia="Times New Roman" w:hAnsi="Calibri" w:cs="Times New Roman"/>
                <w:color w:val="000000"/>
              </w:rPr>
              <w:t>1</w:t>
            </w:r>
            <w:r w:rsidR="0072762C">
              <w:rPr>
                <w:rFonts w:ascii="Calibri" w:eastAsia="Times New Roman" w:hAnsi="Calibri" w:cs="Times New Roman"/>
                <w:color w:val="000000"/>
              </w:rPr>
              <w:t>-12</w:t>
            </w:r>
            <w:r w:rsidR="00423C95">
              <w:rPr>
                <w:rFonts w:ascii="Calibri" w:eastAsia="Times New Roman" w:hAnsi="Calibri" w:cs="Times New Roman"/>
                <w:color w:val="000000"/>
              </w:rPr>
              <w:t>3</w:t>
            </w:r>
          </w:p>
        </w:tc>
      </w:tr>
      <w:tr w:rsidR="006B2AFA" w:rsidRPr="006B2AFA" w14:paraId="29EB268D" w14:textId="77777777" w:rsidTr="006B2AFA">
        <w:trPr>
          <w:trHeight w:val="900"/>
        </w:trPr>
        <w:tc>
          <w:tcPr>
            <w:tcW w:w="520" w:type="dxa"/>
            <w:tcBorders>
              <w:top w:val="nil"/>
              <w:left w:val="nil"/>
              <w:bottom w:val="nil"/>
              <w:right w:val="nil"/>
            </w:tcBorders>
            <w:shd w:val="clear" w:color="auto" w:fill="auto"/>
            <w:noWrap/>
            <w:vAlign w:val="bottom"/>
            <w:hideMark/>
          </w:tcPr>
          <w:p w14:paraId="75DD936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06BC5C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51905A75" w14:textId="42100E0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A238E4">
              <w:rPr>
                <w:rFonts w:ascii="Calibri" w:eastAsia="Times New Roman" w:hAnsi="Calibri" w:cs="Times New Roman"/>
                <w:color w:val="000000"/>
              </w:rPr>
              <w:t>P</w:t>
            </w:r>
            <w:r w:rsidR="00423C95">
              <w:rPr>
                <w:rFonts w:ascii="Calibri" w:eastAsia="Times New Roman" w:hAnsi="Calibri" w:cs="Times New Roman"/>
                <w:color w:val="000000"/>
              </w:rPr>
              <w:t>19</w:t>
            </w:r>
            <w:r w:rsidR="00A238E4">
              <w:rPr>
                <w:rFonts w:ascii="Calibri" w:eastAsia="Times New Roman" w:hAnsi="Calibri" w:cs="Times New Roman"/>
                <w:color w:val="000000"/>
              </w:rPr>
              <w:t>/L</w:t>
            </w:r>
            <w:r w:rsidR="00423C95">
              <w:rPr>
                <w:rFonts w:ascii="Calibri" w:eastAsia="Times New Roman" w:hAnsi="Calibri" w:cs="Times New Roman"/>
                <w:color w:val="000000"/>
              </w:rPr>
              <w:t>353</w:t>
            </w:r>
            <w:r w:rsidR="00A238E4">
              <w:rPr>
                <w:rFonts w:ascii="Calibri" w:eastAsia="Times New Roman" w:hAnsi="Calibri" w:cs="Times New Roman"/>
                <w:color w:val="000000"/>
              </w:rPr>
              <w:t>-</w:t>
            </w:r>
            <w:r w:rsidR="00423C95">
              <w:rPr>
                <w:rFonts w:ascii="Calibri" w:eastAsia="Times New Roman" w:hAnsi="Calibri" w:cs="Times New Roman"/>
                <w:color w:val="000000"/>
              </w:rPr>
              <w:t>356</w:t>
            </w:r>
          </w:p>
        </w:tc>
      </w:tr>
      <w:tr w:rsidR="006B2AFA" w:rsidRPr="006B2AFA" w14:paraId="301BC135" w14:textId="77777777" w:rsidTr="006B2AFA">
        <w:trPr>
          <w:trHeight w:val="1200"/>
        </w:trPr>
        <w:tc>
          <w:tcPr>
            <w:tcW w:w="520" w:type="dxa"/>
            <w:tcBorders>
              <w:top w:val="nil"/>
              <w:left w:val="nil"/>
              <w:bottom w:val="nil"/>
              <w:right w:val="nil"/>
            </w:tcBorders>
            <w:shd w:val="clear" w:color="auto" w:fill="auto"/>
            <w:noWrap/>
            <w:vAlign w:val="bottom"/>
            <w:hideMark/>
          </w:tcPr>
          <w:p w14:paraId="3D32C63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FEB016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5A18297" w14:textId="2A234DC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307A7">
              <w:rPr>
                <w:rFonts w:ascii="Calibri" w:eastAsia="Times New Roman" w:hAnsi="Calibri" w:cs="Times New Roman"/>
                <w:color w:val="000000"/>
              </w:rPr>
              <w:t>P7-8/L12</w:t>
            </w:r>
            <w:r w:rsidR="00485F1E">
              <w:rPr>
                <w:rFonts w:ascii="Calibri" w:eastAsia="Times New Roman" w:hAnsi="Calibri" w:cs="Times New Roman"/>
                <w:color w:val="000000"/>
              </w:rPr>
              <w:t>5</w:t>
            </w:r>
            <w:r w:rsidR="00F307A7">
              <w:rPr>
                <w:rFonts w:ascii="Calibri" w:eastAsia="Times New Roman" w:hAnsi="Calibri" w:cs="Times New Roman"/>
                <w:color w:val="000000"/>
              </w:rPr>
              <w:t>-1</w:t>
            </w:r>
            <w:r w:rsidR="00485F1E">
              <w:rPr>
                <w:rFonts w:ascii="Calibri" w:eastAsia="Times New Roman" w:hAnsi="Calibri" w:cs="Times New Roman"/>
                <w:color w:val="000000"/>
              </w:rPr>
              <w:t>41</w:t>
            </w:r>
          </w:p>
        </w:tc>
      </w:tr>
      <w:tr w:rsidR="006B2AFA" w:rsidRPr="006B2AFA" w14:paraId="7ED2F0A3" w14:textId="77777777" w:rsidTr="006B2AFA">
        <w:trPr>
          <w:trHeight w:val="1200"/>
        </w:trPr>
        <w:tc>
          <w:tcPr>
            <w:tcW w:w="520" w:type="dxa"/>
            <w:tcBorders>
              <w:top w:val="nil"/>
              <w:left w:val="nil"/>
              <w:bottom w:val="nil"/>
              <w:right w:val="nil"/>
            </w:tcBorders>
            <w:shd w:val="clear" w:color="auto" w:fill="auto"/>
            <w:noWrap/>
            <w:vAlign w:val="bottom"/>
            <w:hideMark/>
          </w:tcPr>
          <w:p w14:paraId="33CFECB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AB9EA5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596124F0" w14:textId="58A2A88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6778F">
              <w:rPr>
                <w:rFonts w:ascii="Calibri" w:eastAsia="Times New Roman" w:hAnsi="Calibri" w:cs="Times New Roman"/>
                <w:color w:val="000000"/>
              </w:rPr>
              <w:t>P7-8/L12</w:t>
            </w:r>
            <w:r w:rsidR="00F734FC">
              <w:rPr>
                <w:rFonts w:ascii="Calibri" w:eastAsia="Times New Roman" w:hAnsi="Calibri" w:cs="Times New Roman"/>
                <w:color w:val="000000"/>
              </w:rPr>
              <w:t>5</w:t>
            </w:r>
            <w:r w:rsidR="00F6778F">
              <w:rPr>
                <w:rFonts w:ascii="Calibri" w:eastAsia="Times New Roman" w:hAnsi="Calibri" w:cs="Times New Roman"/>
                <w:color w:val="000000"/>
              </w:rPr>
              <w:t>-1</w:t>
            </w:r>
            <w:r w:rsidR="00F734FC">
              <w:rPr>
                <w:rFonts w:ascii="Calibri" w:eastAsia="Times New Roman" w:hAnsi="Calibri" w:cs="Times New Roman"/>
                <w:color w:val="000000"/>
              </w:rPr>
              <w:t>41</w:t>
            </w:r>
          </w:p>
        </w:tc>
      </w:tr>
      <w:tr w:rsidR="006B2AFA" w:rsidRPr="006B2AFA" w14:paraId="42B2CA5E" w14:textId="77777777" w:rsidTr="006B2AFA">
        <w:trPr>
          <w:trHeight w:val="900"/>
        </w:trPr>
        <w:tc>
          <w:tcPr>
            <w:tcW w:w="520" w:type="dxa"/>
            <w:tcBorders>
              <w:top w:val="nil"/>
              <w:left w:val="nil"/>
              <w:bottom w:val="nil"/>
              <w:right w:val="nil"/>
            </w:tcBorders>
            <w:shd w:val="clear" w:color="auto" w:fill="auto"/>
            <w:noWrap/>
            <w:vAlign w:val="bottom"/>
            <w:hideMark/>
          </w:tcPr>
          <w:p w14:paraId="7D669B2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45BA77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2B359C1D" w14:textId="4D25D78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E70F0">
              <w:rPr>
                <w:rFonts w:ascii="Calibri" w:eastAsia="Times New Roman" w:hAnsi="Calibri" w:cs="Times New Roman"/>
                <w:color w:val="000000"/>
              </w:rPr>
              <w:t>P7/L11</w:t>
            </w:r>
            <w:r w:rsidR="00967033">
              <w:rPr>
                <w:rFonts w:ascii="Calibri" w:eastAsia="Times New Roman" w:hAnsi="Calibri" w:cs="Times New Roman"/>
                <w:color w:val="000000"/>
              </w:rPr>
              <w:t>1</w:t>
            </w:r>
            <w:r w:rsidR="004E70F0">
              <w:rPr>
                <w:rFonts w:ascii="Calibri" w:eastAsia="Times New Roman" w:hAnsi="Calibri" w:cs="Times New Roman"/>
                <w:color w:val="000000"/>
              </w:rPr>
              <w:t>-12</w:t>
            </w:r>
            <w:r w:rsidR="00967033">
              <w:rPr>
                <w:rFonts w:ascii="Calibri" w:eastAsia="Times New Roman" w:hAnsi="Calibri" w:cs="Times New Roman"/>
                <w:color w:val="000000"/>
              </w:rPr>
              <w:t>3</w:t>
            </w:r>
          </w:p>
        </w:tc>
      </w:tr>
      <w:tr w:rsidR="006B2AFA" w:rsidRPr="006B2AFA" w14:paraId="1E13DB8E" w14:textId="77777777" w:rsidTr="006B2AFA">
        <w:trPr>
          <w:trHeight w:val="900"/>
        </w:trPr>
        <w:tc>
          <w:tcPr>
            <w:tcW w:w="520" w:type="dxa"/>
            <w:tcBorders>
              <w:top w:val="nil"/>
              <w:left w:val="nil"/>
              <w:bottom w:val="nil"/>
              <w:right w:val="nil"/>
            </w:tcBorders>
            <w:shd w:val="clear" w:color="auto" w:fill="auto"/>
            <w:noWrap/>
            <w:vAlign w:val="bottom"/>
            <w:hideMark/>
          </w:tcPr>
          <w:p w14:paraId="600A5D1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8A1957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0652DE86" w14:textId="563C5D63" w:rsidR="004E70F0" w:rsidRDefault="006B2AFA" w:rsidP="004E70F0">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E70F0">
              <w:rPr>
                <w:rFonts w:ascii="Calibri" w:eastAsia="Times New Roman" w:hAnsi="Calibri" w:cs="Times New Roman"/>
                <w:color w:val="000000"/>
              </w:rPr>
              <w:t>P7/L11</w:t>
            </w:r>
            <w:r w:rsidR="00967033">
              <w:rPr>
                <w:rFonts w:ascii="Calibri" w:eastAsia="Times New Roman" w:hAnsi="Calibri" w:cs="Times New Roman"/>
                <w:color w:val="000000"/>
              </w:rPr>
              <w:t>1</w:t>
            </w:r>
            <w:r w:rsidR="004E70F0">
              <w:rPr>
                <w:rFonts w:ascii="Calibri" w:eastAsia="Times New Roman" w:hAnsi="Calibri" w:cs="Times New Roman"/>
                <w:color w:val="000000"/>
              </w:rPr>
              <w:t>-12</w:t>
            </w:r>
            <w:r w:rsidR="00967033">
              <w:rPr>
                <w:rFonts w:ascii="Calibri" w:eastAsia="Times New Roman" w:hAnsi="Calibri" w:cs="Times New Roman"/>
                <w:color w:val="000000"/>
              </w:rPr>
              <w:t>3</w:t>
            </w:r>
            <w:r w:rsidR="004E70F0">
              <w:rPr>
                <w:rFonts w:ascii="Calibri" w:eastAsia="Times New Roman" w:hAnsi="Calibri" w:cs="Times New Roman"/>
                <w:color w:val="000000"/>
              </w:rPr>
              <w:t>,</w:t>
            </w:r>
          </w:p>
          <w:p w14:paraId="39EEED56" w14:textId="3437C77D" w:rsidR="006B2AFA" w:rsidRPr="006B2AFA" w:rsidRDefault="002A1B40" w:rsidP="004E70F0">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P9/L152-157</w:t>
            </w:r>
          </w:p>
        </w:tc>
      </w:tr>
      <w:tr w:rsidR="006B2AFA" w:rsidRPr="006B2AFA" w14:paraId="52ABB285" w14:textId="77777777" w:rsidTr="006B2AFA">
        <w:trPr>
          <w:trHeight w:val="900"/>
        </w:trPr>
        <w:tc>
          <w:tcPr>
            <w:tcW w:w="520" w:type="dxa"/>
            <w:tcBorders>
              <w:top w:val="nil"/>
              <w:left w:val="nil"/>
              <w:bottom w:val="nil"/>
              <w:right w:val="nil"/>
            </w:tcBorders>
            <w:shd w:val="clear" w:color="auto" w:fill="auto"/>
            <w:noWrap/>
            <w:vAlign w:val="bottom"/>
            <w:hideMark/>
          </w:tcPr>
          <w:p w14:paraId="7ADA8B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D34566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BE2B0F6" w14:textId="3277352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85E15">
              <w:rPr>
                <w:rFonts w:ascii="Calibri" w:eastAsia="Times New Roman" w:hAnsi="Calibri" w:cs="Times New Roman"/>
                <w:color w:val="000000"/>
              </w:rPr>
              <w:t>P</w:t>
            </w:r>
            <w:r w:rsidR="002A1B40">
              <w:rPr>
                <w:rFonts w:ascii="Calibri" w:eastAsia="Times New Roman" w:hAnsi="Calibri" w:cs="Times New Roman"/>
                <w:color w:val="000000"/>
              </w:rPr>
              <w:t>9</w:t>
            </w:r>
            <w:r w:rsidR="00E85E15">
              <w:rPr>
                <w:rFonts w:ascii="Calibri" w:eastAsia="Times New Roman" w:hAnsi="Calibri" w:cs="Times New Roman"/>
                <w:color w:val="000000"/>
              </w:rPr>
              <w:t>/L1</w:t>
            </w:r>
            <w:r w:rsidR="002A1B40">
              <w:rPr>
                <w:rFonts w:ascii="Calibri" w:eastAsia="Times New Roman" w:hAnsi="Calibri" w:cs="Times New Roman"/>
                <w:color w:val="000000"/>
              </w:rPr>
              <w:t>52</w:t>
            </w:r>
            <w:r w:rsidR="00E85E15">
              <w:rPr>
                <w:rFonts w:ascii="Calibri" w:eastAsia="Times New Roman" w:hAnsi="Calibri" w:cs="Times New Roman"/>
                <w:color w:val="000000"/>
              </w:rPr>
              <w:t>-1</w:t>
            </w:r>
            <w:r w:rsidR="002A1B40">
              <w:rPr>
                <w:rFonts w:ascii="Calibri" w:eastAsia="Times New Roman" w:hAnsi="Calibri" w:cs="Times New Roman"/>
                <w:color w:val="000000"/>
              </w:rPr>
              <w:t>57</w:t>
            </w:r>
          </w:p>
        </w:tc>
      </w:tr>
      <w:tr w:rsidR="006B2AFA" w:rsidRPr="006B2AFA" w14:paraId="10BD2CB0" w14:textId="77777777" w:rsidTr="006B2AFA">
        <w:trPr>
          <w:trHeight w:val="900"/>
        </w:trPr>
        <w:tc>
          <w:tcPr>
            <w:tcW w:w="520" w:type="dxa"/>
            <w:tcBorders>
              <w:top w:val="nil"/>
              <w:left w:val="nil"/>
              <w:bottom w:val="nil"/>
              <w:right w:val="nil"/>
            </w:tcBorders>
            <w:shd w:val="clear" w:color="auto" w:fill="auto"/>
            <w:noWrap/>
            <w:vAlign w:val="bottom"/>
            <w:hideMark/>
          </w:tcPr>
          <w:p w14:paraId="1FEC7A6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E206BF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B63CDF2" w14:textId="4A1E453C" w:rsidR="004E70F0" w:rsidRPr="006B2AFA" w:rsidRDefault="006B2AFA" w:rsidP="004E70F0">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p>
          <w:p w14:paraId="4CDB3641" w14:textId="2191CBD3" w:rsidR="004E70F0" w:rsidRPr="006B2AFA" w:rsidRDefault="0057330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2A1B40">
              <w:rPr>
                <w:rFonts w:ascii="Calibri" w:eastAsia="Times New Roman" w:hAnsi="Calibri" w:cs="Times New Roman"/>
                <w:color w:val="000000"/>
              </w:rPr>
              <w:t>9</w:t>
            </w:r>
            <w:r>
              <w:rPr>
                <w:rFonts w:ascii="Calibri" w:eastAsia="Times New Roman" w:hAnsi="Calibri" w:cs="Times New Roman"/>
                <w:color w:val="000000"/>
              </w:rPr>
              <w:t>/L1</w:t>
            </w:r>
            <w:r w:rsidR="002A1B40">
              <w:rPr>
                <w:rFonts w:ascii="Calibri" w:eastAsia="Times New Roman" w:hAnsi="Calibri" w:cs="Times New Roman"/>
                <w:color w:val="000000"/>
              </w:rPr>
              <w:t>52</w:t>
            </w:r>
            <w:r>
              <w:rPr>
                <w:rFonts w:ascii="Calibri" w:eastAsia="Times New Roman" w:hAnsi="Calibri" w:cs="Times New Roman"/>
                <w:color w:val="000000"/>
              </w:rPr>
              <w:t>-1</w:t>
            </w:r>
            <w:r w:rsidR="002A1B40">
              <w:rPr>
                <w:rFonts w:ascii="Calibri" w:eastAsia="Times New Roman" w:hAnsi="Calibri" w:cs="Times New Roman"/>
                <w:color w:val="000000"/>
              </w:rPr>
              <w:t>57</w:t>
            </w:r>
          </w:p>
        </w:tc>
      </w:tr>
      <w:tr w:rsidR="006B2AFA" w:rsidRPr="006B2AFA" w14:paraId="2C4C303B" w14:textId="77777777" w:rsidTr="006B2AFA">
        <w:trPr>
          <w:trHeight w:val="300"/>
        </w:trPr>
        <w:tc>
          <w:tcPr>
            <w:tcW w:w="520" w:type="dxa"/>
            <w:tcBorders>
              <w:top w:val="nil"/>
              <w:left w:val="nil"/>
              <w:bottom w:val="nil"/>
              <w:right w:val="nil"/>
            </w:tcBorders>
            <w:shd w:val="clear" w:color="auto" w:fill="auto"/>
            <w:noWrap/>
            <w:vAlign w:val="bottom"/>
            <w:hideMark/>
          </w:tcPr>
          <w:p w14:paraId="446823F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A37C3BE"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85D3F2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95727B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01E30D7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7E896E3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CCC9771" w14:textId="77777777" w:rsidTr="006B2AFA">
        <w:trPr>
          <w:trHeight w:val="900"/>
        </w:trPr>
        <w:tc>
          <w:tcPr>
            <w:tcW w:w="520" w:type="dxa"/>
            <w:tcBorders>
              <w:top w:val="nil"/>
              <w:left w:val="nil"/>
              <w:bottom w:val="nil"/>
              <w:right w:val="nil"/>
            </w:tcBorders>
            <w:shd w:val="clear" w:color="auto" w:fill="auto"/>
            <w:noWrap/>
            <w:vAlign w:val="bottom"/>
            <w:hideMark/>
          </w:tcPr>
          <w:p w14:paraId="1F9AF3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A01C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1A407D0" w14:textId="7C8581D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0C1C2F">
              <w:rPr>
                <w:rFonts w:ascii="Calibri" w:eastAsia="Times New Roman" w:hAnsi="Calibri" w:cs="Times New Roman"/>
                <w:color w:val="000000"/>
              </w:rPr>
              <w:t>P9-1</w:t>
            </w:r>
            <w:r w:rsidR="00C672EC">
              <w:rPr>
                <w:rFonts w:ascii="Calibri" w:eastAsia="Times New Roman" w:hAnsi="Calibri" w:cs="Times New Roman"/>
                <w:color w:val="000000"/>
              </w:rPr>
              <w:t>3</w:t>
            </w:r>
            <w:r w:rsidR="000C1C2F">
              <w:rPr>
                <w:rFonts w:ascii="Calibri" w:eastAsia="Times New Roman" w:hAnsi="Calibri" w:cs="Times New Roman"/>
                <w:color w:val="000000"/>
              </w:rPr>
              <w:t>/L15</w:t>
            </w:r>
            <w:r w:rsidR="00C672EC">
              <w:rPr>
                <w:rFonts w:ascii="Calibri" w:eastAsia="Times New Roman" w:hAnsi="Calibri" w:cs="Times New Roman"/>
                <w:color w:val="000000"/>
              </w:rPr>
              <w:t>9</w:t>
            </w:r>
            <w:r w:rsidR="000C1C2F">
              <w:rPr>
                <w:rFonts w:ascii="Calibri" w:eastAsia="Times New Roman" w:hAnsi="Calibri" w:cs="Times New Roman"/>
                <w:color w:val="000000"/>
              </w:rPr>
              <w:t>-2</w:t>
            </w:r>
            <w:r w:rsidR="00C672EC">
              <w:rPr>
                <w:rFonts w:ascii="Calibri" w:eastAsia="Times New Roman" w:hAnsi="Calibri" w:cs="Times New Roman"/>
                <w:color w:val="000000"/>
              </w:rPr>
              <w:t>38</w:t>
            </w:r>
          </w:p>
        </w:tc>
      </w:tr>
      <w:tr w:rsidR="000C1C2F" w:rsidRPr="006B2AFA" w14:paraId="18E19859" w14:textId="77777777" w:rsidTr="006B2AFA">
        <w:trPr>
          <w:trHeight w:val="600"/>
        </w:trPr>
        <w:tc>
          <w:tcPr>
            <w:tcW w:w="520" w:type="dxa"/>
            <w:tcBorders>
              <w:top w:val="nil"/>
              <w:left w:val="nil"/>
              <w:bottom w:val="nil"/>
              <w:right w:val="nil"/>
            </w:tcBorders>
            <w:shd w:val="clear" w:color="auto" w:fill="auto"/>
            <w:noWrap/>
            <w:vAlign w:val="bottom"/>
            <w:hideMark/>
          </w:tcPr>
          <w:p w14:paraId="7FDAC4EE"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6C1DA79" w14:textId="77777777"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2AFD8376" w14:textId="7AFEE879" w:rsidR="000C1C2F"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672EC">
              <w:rPr>
                <w:rFonts w:ascii="Calibri" w:eastAsia="Times New Roman" w:hAnsi="Calibri" w:cs="Times New Roman"/>
                <w:color w:val="000000"/>
              </w:rPr>
              <w:t>P9-13/L159-238</w:t>
            </w:r>
          </w:p>
          <w:p w14:paraId="55E6F8BF" w14:textId="519909DA" w:rsidR="000C1C2F" w:rsidRPr="000C1C2F" w:rsidRDefault="000C1C2F" w:rsidP="000C1C2F">
            <w:pPr>
              <w:spacing w:after="0" w:line="240" w:lineRule="auto"/>
              <w:rPr>
                <w:rFonts w:ascii="Calibri" w:hAnsi="Calibri" w:cs="Times New Roman"/>
                <w:color w:val="000000"/>
                <w:lang w:eastAsia="ja-JP"/>
              </w:rPr>
            </w:pPr>
            <w:r>
              <w:rPr>
                <w:rFonts w:ascii="Calibri" w:hAnsi="Calibri" w:cs="Times New Roman" w:hint="eastAsia"/>
                <w:color w:val="000000"/>
                <w:lang w:eastAsia="ja-JP"/>
              </w:rPr>
              <w:t>F</w:t>
            </w:r>
            <w:r>
              <w:rPr>
                <w:rFonts w:ascii="Calibri" w:hAnsi="Calibri" w:cs="Times New Roman"/>
                <w:color w:val="000000"/>
                <w:lang w:eastAsia="ja-JP"/>
              </w:rPr>
              <w:t>igure1-</w:t>
            </w:r>
            <w:r w:rsidR="00EF7803">
              <w:rPr>
                <w:rFonts w:ascii="Calibri" w:hAnsi="Calibri" w:cs="Times New Roman"/>
                <w:color w:val="000000"/>
                <w:lang w:eastAsia="ja-JP"/>
              </w:rPr>
              <w:t>7</w:t>
            </w:r>
            <w:r>
              <w:rPr>
                <w:rFonts w:ascii="Calibri" w:hAnsi="Calibri" w:cs="Times New Roman"/>
                <w:color w:val="000000"/>
                <w:lang w:eastAsia="ja-JP"/>
              </w:rPr>
              <w:t>, Table1-</w:t>
            </w:r>
            <w:r w:rsidR="00EF7803">
              <w:rPr>
                <w:rFonts w:ascii="Calibri" w:hAnsi="Calibri" w:cs="Times New Roman"/>
                <w:color w:val="000000"/>
                <w:lang w:eastAsia="ja-JP"/>
              </w:rPr>
              <w:t>4</w:t>
            </w:r>
          </w:p>
        </w:tc>
      </w:tr>
      <w:tr w:rsidR="000C1C2F" w:rsidRPr="006B2AFA" w14:paraId="5BDA211A" w14:textId="77777777" w:rsidTr="006B2AFA">
        <w:trPr>
          <w:trHeight w:val="300"/>
        </w:trPr>
        <w:tc>
          <w:tcPr>
            <w:tcW w:w="520" w:type="dxa"/>
            <w:tcBorders>
              <w:top w:val="nil"/>
              <w:left w:val="nil"/>
              <w:bottom w:val="nil"/>
              <w:right w:val="nil"/>
            </w:tcBorders>
            <w:shd w:val="clear" w:color="auto" w:fill="auto"/>
            <w:noWrap/>
            <w:vAlign w:val="bottom"/>
            <w:hideMark/>
          </w:tcPr>
          <w:p w14:paraId="219E4375"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F8EB106" w14:textId="77777777" w:rsidR="000C1C2F" w:rsidRPr="006B2AFA" w:rsidRDefault="000C1C2F" w:rsidP="000C1C2F">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02A24FF"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421328DC"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A34D3CF" w14:textId="77777777" w:rsidR="000C1C2F" w:rsidRPr="006B2AFA" w:rsidRDefault="000C1C2F" w:rsidP="000C1C2F">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37AEA595"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49584BBF" w14:textId="77777777" w:rsidTr="006B2AFA">
        <w:trPr>
          <w:trHeight w:val="1500"/>
        </w:trPr>
        <w:tc>
          <w:tcPr>
            <w:tcW w:w="520" w:type="dxa"/>
            <w:tcBorders>
              <w:top w:val="nil"/>
              <w:left w:val="nil"/>
              <w:bottom w:val="nil"/>
              <w:right w:val="nil"/>
            </w:tcBorders>
            <w:shd w:val="clear" w:color="auto" w:fill="auto"/>
            <w:noWrap/>
            <w:vAlign w:val="bottom"/>
            <w:hideMark/>
          </w:tcPr>
          <w:p w14:paraId="741350B1"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B8F2A" w14:textId="77777777" w:rsidR="000C1C2F" w:rsidRPr="006B2AFA" w:rsidRDefault="000C1C2F" w:rsidP="000C1C2F">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A7FF148" w14:textId="1EF0509A"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P1</w:t>
            </w:r>
            <w:r w:rsidR="00C672EC">
              <w:rPr>
                <w:rFonts w:ascii="Calibri" w:eastAsia="Times New Roman" w:hAnsi="Calibri" w:cs="Times New Roman"/>
                <w:color w:val="000000"/>
              </w:rPr>
              <w:t>8</w:t>
            </w:r>
            <w:r>
              <w:rPr>
                <w:rFonts w:ascii="Calibri" w:eastAsia="Times New Roman" w:hAnsi="Calibri" w:cs="Times New Roman"/>
                <w:color w:val="000000"/>
              </w:rPr>
              <w:t>-1</w:t>
            </w:r>
            <w:r w:rsidR="00C672EC">
              <w:rPr>
                <w:rFonts w:ascii="Calibri" w:eastAsia="Times New Roman" w:hAnsi="Calibri" w:cs="Times New Roman"/>
                <w:color w:val="000000"/>
              </w:rPr>
              <w:t>9</w:t>
            </w:r>
            <w:r>
              <w:rPr>
                <w:rFonts w:ascii="Calibri" w:eastAsia="Times New Roman" w:hAnsi="Calibri" w:cs="Times New Roman"/>
                <w:color w:val="000000"/>
              </w:rPr>
              <w:t>/L3</w:t>
            </w:r>
            <w:r w:rsidR="00C672EC">
              <w:rPr>
                <w:rFonts w:ascii="Calibri" w:eastAsia="Times New Roman" w:hAnsi="Calibri" w:cs="Times New Roman"/>
                <w:color w:val="000000"/>
              </w:rPr>
              <w:t>46</w:t>
            </w:r>
            <w:r>
              <w:rPr>
                <w:rFonts w:ascii="Calibri" w:eastAsia="Times New Roman" w:hAnsi="Calibri" w:cs="Times New Roman"/>
                <w:color w:val="000000"/>
              </w:rPr>
              <w:t>-3</w:t>
            </w:r>
            <w:r w:rsidR="00C672EC">
              <w:rPr>
                <w:rFonts w:ascii="Calibri" w:eastAsia="Times New Roman" w:hAnsi="Calibri" w:cs="Times New Roman"/>
                <w:color w:val="000000"/>
              </w:rPr>
              <w:t>50</w:t>
            </w:r>
          </w:p>
        </w:tc>
      </w:tr>
      <w:tr w:rsidR="000C1C2F" w:rsidRPr="006B2AFA" w14:paraId="42B73E9D" w14:textId="77777777" w:rsidTr="006B2AFA">
        <w:trPr>
          <w:trHeight w:val="300"/>
        </w:trPr>
        <w:tc>
          <w:tcPr>
            <w:tcW w:w="520" w:type="dxa"/>
            <w:tcBorders>
              <w:top w:val="nil"/>
              <w:left w:val="nil"/>
              <w:bottom w:val="nil"/>
              <w:right w:val="nil"/>
            </w:tcBorders>
            <w:shd w:val="clear" w:color="auto" w:fill="auto"/>
            <w:noWrap/>
            <w:vAlign w:val="bottom"/>
            <w:hideMark/>
          </w:tcPr>
          <w:p w14:paraId="5B5EAA23"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9B1F30E" w14:textId="77777777"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1AC640F9" w14:textId="1334AB6E"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P1</w:t>
            </w:r>
            <w:r w:rsidR="00C672EC">
              <w:rPr>
                <w:rFonts w:ascii="Calibri" w:eastAsia="Times New Roman" w:hAnsi="Calibri" w:cs="Times New Roman"/>
                <w:color w:val="000000"/>
              </w:rPr>
              <w:t>8</w:t>
            </w:r>
            <w:r>
              <w:rPr>
                <w:rFonts w:ascii="Calibri" w:eastAsia="Times New Roman" w:hAnsi="Calibri" w:cs="Times New Roman"/>
                <w:color w:val="000000"/>
              </w:rPr>
              <w:t>/L3</w:t>
            </w:r>
            <w:r w:rsidR="00C672EC">
              <w:rPr>
                <w:rFonts w:ascii="Calibri" w:eastAsia="Times New Roman" w:hAnsi="Calibri" w:cs="Times New Roman"/>
                <w:color w:val="000000"/>
              </w:rPr>
              <w:t>35</w:t>
            </w:r>
            <w:r>
              <w:rPr>
                <w:rFonts w:ascii="Calibri" w:eastAsia="Times New Roman" w:hAnsi="Calibri" w:cs="Times New Roman"/>
                <w:color w:val="000000"/>
              </w:rPr>
              <w:t>-3</w:t>
            </w:r>
            <w:r w:rsidR="00C672EC">
              <w:rPr>
                <w:rFonts w:ascii="Calibri" w:eastAsia="Times New Roman" w:hAnsi="Calibri" w:cs="Times New Roman"/>
                <w:color w:val="000000"/>
              </w:rPr>
              <w:t>45</w:t>
            </w:r>
          </w:p>
        </w:tc>
      </w:tr>
      <w:tr w:rsidR="000C1C2F" w:rsidRPr="006B2AFA" w14:paraId="5B0C329E" w14:textId="77777777" w:rsidTr="006B2AFA">
        <w:trPr>
          <w:trHeight w:val="300"/>
        </w:trPr>
        <w:tc>
          <w:tcPr>
            <w:tcW w:w="520" w:type="dxa"/>
            <w:tcBorders>
              <w:top w:val="nil"/>
              <w:left w:val="nil"/>
              <w:bottom w:val="nil"/>
              <w:right w:val="nil"/>
            </w:tcBorders>
            <w:shd w:val="clear" w:color="auto" w:fill="auto"/>
            <w:noWrap/>
            <w:vAlign w:val="bottom"/>
            <w:hideMark/>
          </w:tcPr>
          <w:p w14:paraId="0AE9E2AF"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9A9F84A" w14:textId="77777777" w:rsidR="000C1C2F" w:rsidRPr="006B2AFA" w:rsidRDefault="000C1C2F" w:rsidP="000C1C2F">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8A708E0"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4E168B9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DFECEE8" w14:textId="77777777" w:rsidR="000C1C2F" w:rsidRPr="006B2AFA" w:rsidRDefault="000C1C2F" w:rsidP="000C1C2F">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33548F9F"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0BBFD31C" w14:textId="77777777" w:rsidTr="006B2AFA">
        <w:trPr>
          <w:trHeight w:val="600"/>
        </w:trPr>
        <w:tc>
          <w:tcPr>
            <w:tcW w:w="520" w:type="dxa"/>
            <w:tcBorders>
              <w:top w:val="nil"/>
              <w:left w:val="nil"/>
              <w:bottom w:val="nil"/>
              <w:right w:val="nil"/>
            </w:tcBorders>
            <w:shd w:val="clear" w:color="auto" w:fill="auto"/>
            <w:noWrap/>
            <w:vAlign w:val="bottom"/>
            <w:hideMark/>
          </w:tcPr>
          <w:p w14:paraId="51F729D4"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0C8668" w14:textId="77777777"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58CF5D6" w14:textId="34582189"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Pr>
                <w:rFonts w:ascii="Calibri" w:eastAsia="Times New Roman" w:hAnsi="Calibri" w:cs="Times New Roman"/>
                <w:color w:val="000000"/>
              </w:rPr>
              <w:t>P</w:t>
            </w:r>
            <w:r w:rsidR="00DA2B8A">
              <w:rPr>
                <w:rFonts w:ascii="Calibri" w:eastAsia="Times New Roman" w:hAnsi="Calibri" w:cs="Times New Roman"/>
                <w:color w:val="000000"/>
              </w:rPr>
              <w:t>20</w:t>
            </w:r>
            <w:r>
              <w:rPr>
                <w:rFonts w:ascii="Calibri" w:eastAsia="Times New Roman" w:hAnsi="Calibri" w:cs="Times New Roman"/>
                <w:color w:val="000000"/>
              </w:rPr>
              <w:t>/L3</w:t>
            </w:r>
            <w:r w:rsidR="00DA2B8A">
              <w:rPr>
                <w:rFonts w:ascii="Calibri" w:eastAsia="Times New Roman" w:hAnsi="Calibri" w:cs="Times New Roman"/>
                <w:color w:val="000000"/>
              </w:rPr>
              <w:t>68-369</w:t>
            </w:r>
          </w:p>
        </w:tc>
      </w:tr>
      <w:tr w:rsidR="000C1C2F" w:rsidRPr="006B2AFA" w14:paraId="77B65DE1" w14:textId="77777777" w:rsidTr="006B2AFA">
        <w:trPr>
          <w:trHeight w:val="600"/>
        </w:trPr>
        <w:tc>
          <w:tcPr>
            <w:tcW w:w="520" w:type="dxa"/>
            <w:tcBorders>
              <w:top w:val="nil"/>
              <w:left w:val="nil"/>
              <w:bottom w:val="nil"/>
              <w:right w:val="nil"/>
            </w:tcBorders>
            <w:shd w:val="clear" w:color="auto" w:fill="auto"/>
            <w:noWrap/>
            <w:vAlign w:val="bottom"/>
            <w:hideMark/>
          </w:tcPr>
          <w:p w14:paraId="59128DC5"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7D5AC0A" w14:textId="77777777" w:rsidR="000C1C2F" w:rsidRPr="006B2AFA" w:rsidRDefault="000C1C2F" w:rsidP="000C1C2F">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1B35BD93" w14:textId="24230A4D" w:rsidR="000C1C2F" w:rsidRPr="006B2AFA" w:rsidRDefault="000C1C2F" w:rsidP="000C1C2F">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C5103F">
              <w:rPr>
                <w:rFonts w:ascii="Calibri" w:eastAsia="Times New Roman" w:hAnsi="Calibri" w:cs="Times New Roman"/>
                <w:color w:val="000000"/>
              </w:rPr>
              <w:t>20</w:t>
            </w:r>
            <w:r>
              <w:rPr>
                <w:rFonts w:ascii="Calibri" w:eastAsia="Times New Roman" w:hAnsi="Calibri" w:cs="Times New Roman"/>
                <w:color w:val="000000"/>
              </w:rPr>
              <w:t>/L3</w:t>
            </w:r>
            <w:r w:rsidR="00C5103F">
              <w:rPr>
                <w:rFonts w:ascii="Calibri" w:eastAsia="Times New Roman" w:hAnsi="Calibri" w:cs="Times New Roman"/>
                <w:color w:val="000000"/>
              </w:rPr>
              <w:t>71</w:t>
            </w:r>
            <w:r>
              <w:rPr>
                <w:rFonts w:ascii="Calibri" w:eastAsia="Times New Roman" w:hAnsi="Calibri" w:cs="Times New Roman"/>
                <w:color w:val="000000"/>
              </w:rPr>
              <w:t>-3</w:t>
            </w:r>
            <w:r w:rsidR="00C5103F">
              <w:rPr>
                <w:rFonts w:ascii="Calibri" w:eastAsia="Times New Roman" w:hAnsi="Calibri" w:cs="Times New Roman"/>
                <w:color w:val="000000"/>
              </w:rPr>
              <w:t>72</w:t>
            </w:r>
            <w:r w:rsidRPr="006B2AFA">
              <w:rPr>
                <w:rFonts w:ascii="Calibri" w:eastAsia="Times New Roman" w:hAnsi="Calibri" w:cs="Times New Roman"/>
                <w:color w:val="000000"/>
              </w:rPr>
              <w:t> </w:t>
            </w:r>
          </w:p>
        </w:tc>
      </w:tr>
      <w:tr w:rsidR="000C1C2F" w:rsidRPr="006B2AFA" w14:paraId="0D54E6CE" w14:textId="77777777" w:rsidTr="006B2AFA">
        <w:trPr>
          <w:trHeight w:val="300"/>
        </w:trPr>
        <w:tc>
          <w:tcPr>
            <w:tcW w:w="520" w:type="dxa"/>
            <w:tcBorders>
              <w:top w:val="nil"/>
              <w:left w:val="nil"/>
              <w:bottom w:val="nil"/>
              <w:right w:val="nil"/>
            </w:tcBorders>
            <w:shd w:val="clear" w:color="auto" w:fill="auto"/>
            <w:noWrap/>
            <w:vAlign w:val="bottom"/>
            <w:hideMark/>
          </w:tcPr>
          <w:p w14:paraId="2A3C8AC2"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FA3FE6E" w14:textId="77777777" w:rsidR="000C1C2F" w:rsidRPr="006B2AFA" w:rsidRDefault="000C1C2F" w:rsidP="000C1C2F">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0164A685"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19DA4A5E" w14:textId="77777777" w:rsidTr="006B2AFA">
        <w:trPr>
          <w:trHeight w:val="1290"/>
        </w:trPr>
        <w:tc>
          <w:tcPr>
            <w:tcW w:w="520" w:type="dxa"/>
            <w:tcBorders>
              <w:top w:val="nil"/>
              <w:left w:val="nil"/>
              <w:bottom w:val="nil"/>
              <w:right w:val="nil"/>
            </w:tcBorders>
            <w:shd w:val="clear" w:color="auto" w:fill="auto"/>
            <w:noWrap/>
            <w:vAlign w:val="bottom"/>
            <w:hideMark/>
          </w:tcPr>
          <w:p w14:paraId="0D271FF1"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31011AE2" w14:textId="77777777" w:rsidR="000C1C2F" w:rsidRPr="006B2AFA" w:rsidRDefault="000C1C2F" w:rsidP="000C1C2F">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12712662"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4EC2CAFF" w14:textId="77777777" w:rsidTr="006B2AFA">
        <w:trPr>
          <w:trHeight w:val="300"/>
        </w:trPr>
        <w:tc>
          <w:tcPr>
            <w:tcW w:w="520" w:type="dxa"/>
            <w:tcBorders>
              <w:top w:val="nil"/>
              <w:left w:val="nil"/>
              <w:bottom w:val="nil"/>
              <w:right w:val="nil"/>
            </w:tcBorders>
            <w:shd w:val="clear" w:color="auto" w:fill="auto"/>
            <w:noWrap/>
            <w:vAlign w:val="bottom"/>
            <w:hideMark/>
          </w:tcPr>
          <w:p w14:paraId="6663C24A"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1C2173AE" w14:textId="77777777" w:rsidR="000C1C2F" w:rsidRPr="006B2AFA" w:rsidRDefault="000C1C2F" w:rsidP="000C1C2F">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4A5F8D76"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084C983A" w14:textId="77777777" w:rsidTr="006B2AFA">
        <w:trPr>
          <w:trHeight w:val="1290"/>
        </w:trPr>
        <w:tc>
          <w:tcPr>
            <w:tcW w:w="520" w:type="dxa"/>
            <w:tcBorders>
              <w:top w:val="nil"/>
              <w:left w:val="nil"/>
              <w:bottom w:val="nil"/>
              <w:right w:val="nil"/>
            </w:tcBorders>
            <w:shd w:val="clear" w:color="auto" w:fill="auto"/>
            <w:noWrap/>
            <w:vAlign w:val="bottom"/>
            <w:hideMark/>
          </w:tcPr>
          <w:p w14:paraId="21F27E64"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EE78F6D" w14:textId="77777777" w:rsidR="000C1C2F" w:rsidRPr="006B2AFA" w:rsidRDefault="000C1C2F" w:rsidP="000C1C2F">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44764547"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59E67E0E" w14:textId="77777777" w:rsidTr="006B2AFA">
        <w:trPr>
          <w:trHeight w:val="300"/>
        </w:trPr>
        <w:tc>
          <w:tcPr>
            <w:tcW w:w="520" w:type="dxa"/>
            <w:tcBorders>
              <w:top w:val="nil"/>
              <w:left w:val="nil"/>
              <w:bottom w:val="nil"/>
              <w:right w:val="nil"/>
            </w:tcBorders>
            <w:shd w:val="clear" w:color="auto" w:fill="auto"/>
            <w:noWrap/>
            <w:vAlign w:val="bottom"/>
            <w:hideMark/>
          </w:tcPr>
          <w:p w14:paraId="7D789DF7"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7511614" w14:textId="77777777" w:rsidR="000C1C2F" w:rsidRPr="006B2AFA" w:rsidRDefault="000C1C2F" w:rsidP="000C1C2F">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CC8AECC"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69BA1126" w14:textId="77777777" w:rsidTr="006B2AFA">
        <w:trPr>
          <w:trHeight w:val="300"/>
        </w:trPr>
        <w:tc>
          <w:tcPr>
            <w:tcW w:w="520" w:type="dxa"/>
            <w:tcBorders>
              <w:top w:val="nil"/>
              <w:left w:val="nil"/>
              <w:bottom w:val="nil"/>
              <w:right w:val="nil"/>
            </w:tcBorders>
            <w:shd w:val="clear" w:color="auto" w:fill="auto"/>
            <w:noWrap/>
            <w:vAlign w:val="bottom"/>
            <w:hideMark/>
          </w:tcPr>
          <w:p w14:paraId="7A7ED6E5"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F06FA09" w14:textId="77777777" w:rsidR="000C1C2F" w:rsidRPr="006B2AFA" w:rsidRDefault="000C1C2F" w:rsidP="000C1C2F">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79B32C5E"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3E962371" w14:textId="77777777" w:rsidTr="006B2AFA">
        <w:trPr>
          <w:trHeight w:val="244"/>
        </w:trPr>
        <w:tc>
          <w:tcPr>
            <w:tcW w:w="520" w:type="dxa"/>
            <w:tcBorders>
              <w:top w:val="nil"/>
              <w:left w:val="nil"/>
              <w:bottom w:val="nil"/>
              <w:right w:val="nil"/>
            </w:tcBorders>
            <w:shd w:val="clear" w:color="auto" w:fill="auto"/>
            <w:noWrap/>
            <w:vAlign w:val="bottom"/>
            <w:hideMark/>
          </w:tcPr>
          <w:p w14:paraId="45767C34"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1B7A7FA"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w:t>
            </w:r>
            <w:r w:rsidRPr="00EF7803">
              <w:rPr>
                <w:rFonts w:eastAsia="Times New Roman" w:cs="Times New Roman"/>
                <w:color w:val="0070C0"/>
                <w:sz w:val="20"/>
                <w:szCs w:val="20"/>
              </w:rPr>
              <w:tab/>
              <w:t>Agasing AM, Wu Q, Khatri B, Borisow N, Ruprecht K, Brandt AU, et al. Transcriptomics and proteomics reveal a cooperation between interferon and T-helper 17 cells in neuromyelitis optica. Nat Commun. 2020;11(1):2856.</w:t>
            </w:r>
          </w:p>
          <w:p w14:paraId="0DB40272"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w:t>
            </w:r>
            <w:r w:rsidRPr="00EF7803">
              <w:rPr>
                <w:rFonts w:eastAsia="Times New Roman" w:cs="Times New Roman"/>
                <w:color w:val="0070C0"/>
                <w:sz w:val="20"/>
                <w:szCs w:val="20"/>
              </w:rPr>
              <w:tab/>
              <w:t>Zeka B, Hastermann M, Kaufmann N, Schanda K, Pende M, Misu T, et al. Aquaporin 4-specific T cells and NMO-IgG cause primary retinal damage in experimental NMO/SD. Acta Neuropathol Commun. 2016;4(1):82.</w:t>
            </w:r>
          </w:p>
          <w:p w14:paraId="4DCE7853"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w:t>
            </w:r>
            <w:r w:rsidRPr="00EF7803">
              <w:rPr>
                <w:rFonts w:eastAsia="Times New Roman" w:cs="Times New Roman"/>
                <w:color w:val="0070C0"/>
                <w:sz w:val="20"/>
                <w:szCs w:val="20"/>
              </w:rPr>
              <w:tab/>
              <w:t>Wilson R, Makuch M, Kienzler AK, Varley J, Taylor J, Woodhall M, et al. Condition-dependent generation of aquaporin-4 antibodies from circulating B cells in neuromyelitis optica. Brain. 2018;141(4):1063-74.</w:t>
            </w:r>
          </w:p>
          <w:p w14:paraId="04EAE8BD"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4.</w:t>
            </w:r>
            <w:r w:rsidRPr="00EF7803">
              <w:rPr>
                <w:rFonts w:eastAsia="Times New Roman" w:cs="Times New Roman"/>
                <w:color w:val="0070C0"/>
                <w:sz w:val="20"/>
                <w:szCs w:val="20"/>
              </w:rPr>
              <w:tab/>
              <w:t>Varrin-Doyer M, Spencer CM, Schulze-Topphoff U, Nelson PA, Stroud RM, Cree BA, et al. Aquaporin 4-specific T cells in neuromyelitis optica exhibit a Th17 bias and recognize Clostridium ABC transporter. Ann Neurol. 2012;72(1):53-64.</w:t>
            </w:r>
          </w:p>
          <w:p w14:paraId="42EF534E"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5.</w:t>
            </w:r>
            <w:r w:rsidRPr="00EF7803">
              <w:rPr>
                <w:rFonts w:eastAsia="Times New Roman" w:cs="Times New Roman"/>
                <w:color w:val="0070C0"/>
                <w:sz w:val="20"/>
                <w:szCs w:val="20"/>
              </w:rPr>
              <w:tab/>
              <w:t>Hinson SR, Pittock SJ, Lucchinetti CF, Roemer SF, Fryer JP, Kryzer TJ, et al. Pathogenic potential of IgG binding to water channel extracellular domain in neuromyelitis optica. Neurology. 2007;69(24):2221-31.</w:t>
            </w:r>
          </w:p>
          <w:p w14:paraId="725BBD76"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6.</w:t>
            </w:r>
            <w:r w:rsidRPr="00EF7803">
              <w:rPr>
                <w:rFonts w:eastAsia="Times New Roman" w:cs="Times New Roman"/>
                <w:color w:val="0070C0"/>
                <w:sz w:val="20"/>
                <w:szCs w:val="20"/>
              </w:rPr>
              <w:tab/>
              <w:t>Fusakio ME, Mohammed JP, Laumonnier Y, Hoebe K, Köhl J, Mattner J. C5a regulates NKT and NK cell functions in sepsis. J Immunol. 2011;187(11):5805-12.</w:t>
            </w:r>
          </w:p>
          <w:p w14:paraId="448047CF"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7.</w:t>
            </w:r>
            <w:r w:rsidRPr="00EF7803">
              <w:rPr>
                <w:rFonts w:eastAsia="Times New Roman" w:cs="Times New Roman"/>
                <w:color w:val="0070C0"/>
                <w:sz w:val="20"/>
                <w:szCs w:val="20"/>
              </w:rPr>
              <w:tab/>
              <w:t>Chihara N, Aranami T, Oki S, Matsuoka T, Nakamura M, Kishida H, et al. Plasmablasts as migratory IgG-producing cells in the pathogenesis of neuromyelitis optica. PLoS One. 2013;8(12):e83036.</w:t>
            </w:r>
          </w:p>
          <w:p w14:paraId="084FB86E"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8.</w:t>
            </w:r>
            <w:r w:rsidRPr="00EF7803">
              <w:rPr>
                <w:rFonts w:eastAsia="Times New Roman" w:cs="Times New Roman"/>
                <w:color w:val="0070C0"/>
                <w:sz w:val="20"/>
                <w:szCs w:val="20"/>
              </w:rPr>
              <w:tab/>
              <w:t>Lennon VA, Wingerchuk DM, Kryzer TJ, Pittock SJ, Lucchinetti CF, Fujihara K, et al. A serum autoantibody marker of neuromyelitis optica: distinction from multiple sclerosis. Lancet. 2004;364(9451):2106-12.</w:t>
            </w:r>
          </w:p>
          <w:p w14:paraId="7562FA79"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9.</w:t>
            </w:r>
            <w:r w:rsidRPr="00EF7803">
              <w:rPr>
                <w:rFonts w:eastAsia="Times New Roman" w:cs="Times New Roman"/>
                <w:color w:val="0070C0"/>
                <w:sz w:val="20"/>
                <w:szCs w:val="20"/>
              </w:rPr>
              <w:tab/>
              <w:t>Carnero Contentti E, Correale J. Neuromyelitis optica spectrum disorders: from pathophysiology to therapeutic strategies. J Neuroinflammation. 2021;18(1):208.</w:t>
            </w:r>
          </w:p>
          <w:p w14:paraId="712FDBBB"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10.</w:t>
            </w:r>
            <w:r w:rsidRPr="00EF7803">
              <w:rPr>
                <w:rFonts w:eastAsia="Times New Roman" w:cs="Times New Roman"/>
                <w:color w:val="0070C0"/>
                <w:sz w:val="20"/>
                <w:szCs w:val="20"/>
              </w:rPr>
              <w:tab/>
              <w:t>Pittock SJ, Berthele A, Fujihara K, Kim HJ, Levy M, Palace J, et al. Eculizumab in Aquaporin-4-Positive Neuromyelitis Optica Spectrum Disorder. N Engl J Med. 2019;381(7):614-25.</w:t>
            </w:r>
          </w:p>
          <w:p w14:paraId="540D84CD"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11.</w:t>
            </w:r>
            <w:r w:rsidRPr="00EF7803">
              <w:rPr>
                <w:rFonts w:eastAsia="Times New Roman" w:cs="Times New Roman"/>
                <w:color w:val="0070C0"/>
                <w:sz w:val="20"/>
                <w:szCs w:val="20"/>
              </w:rPr>
              <w:tab/>
              <w:t>Flanagan EP, Levy M, Katz E, Cimbora D, Drappa J, Mealy MA, et al. Inebilizumab for treatment of neuromyelitis optica spectrum disorder in patients with prior rituximab use from the N-MOmentum Study. Mult Scler Relat Disord. 2022;57:103352.</w:t>
            </w:r>
          </w:p>
          <w:p w14:paraId="25AC8DA8"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12.</w:t>
            </w:r>
            <w:r w:rsidRPr="00EF7803">
              <w:rPr>
                <w:rFonts w:eastAsia="Times New Roman" w:cs="Times New Roman"/>
                <w:color w:val="0070C0"/>
                <w:sz w:val="20"/>
                <w:szCs w:val="20"/>
              </w:rPr>
              <w:tab/>
              <w:t>Paul F, Bennett J, Weinshenker B, Kim HJ, Aktas O, Hartung HP, et al. P 4 The impact of low affinity immunoglobulin gamma Fc region receptor III-A gene polymorphisms in neuromyelitis optica spectrum disorder and implications for treatment outcomes: results from the N-MOmentum study. Clinical Neurophysiology. 2022;137:e16-e7.</w:t>
            </w:r>
          </w:p>
          <w:p w14:paraId="67C3300F"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13.</w:t>
            </w:r>
            <w:r w:rsidRPr="00EF7803">
              <w:rPr>
                <w:rFonts w:eastAsia="Times New Roman" w:cs="Times New Roman"/>
                <w:color w:val="0070C0"/>
                <w:sz w:val="20"/>
                <w:szCs w:val="20"/>
              </w:rPr>
              <w:tab/>
              <w:t>Paust S, Blish CA, Reeves RK. Redefining Memory: Building the Case for Adaptive NK Cells. J Virol. 2017;91(20).</w:t>
            </w:r>
          </w:p>
          <w:p w14:paraId="46179AF9"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14.</w:t>
            </w:r>
            <w:r w:rsidRPr="00EF7803">
              <w:rPr>
                <w:rFonts w:eastAsia="Times New Roman" w:cs="Times New Roman"/>
                <w:color w:val="0070C0"/>
                <w:sz w:val="20"/>
                <w:szCs w:val="20"/>
              </w:rPr>
              <w:tab/>
              <w:t>Shimizu K, Sato Y, Shinga J, Watanabe T, Endo T, Asakura M, et al. KLRG+ invariant natural killer T cells are long-lived effectors. Proc Natl Acad Sci U S A. 2014;111(34):12474-9.</w:t>
            </w:r>
          </w:p>
          <w:p w14:paraId="12A10F09"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15.</w:t>
            </w:r>
            <w:r w:rsidRPr="00EF7803">
              <w:rPr>
                <w:rFonts w:eastAsia="Times New Roman" w:cs="Times New Roman"/>
                <w:color w:val="0070C0"/>
                <w:sz w:val="20"/>
                <w:szCs w:val="20"/>
              </w:rPr>
              <w:tab/>
              <w:t>Khani L, Jazayeri MH, Nedaeinia R, Bozorgmehr M, Nabavi SM, Ferns GA. The frequencies of peripheral blood CD5(+)CD19(+) B cells, CD3(-)CD16(+)CD56(+) NK, and CD3(+)CD56(+) NKT cells and serum interleukin-10 in patients with multiple sclerosis and neuromyelitis optica spectrum disorder. Allergy Asthma Clin Immunol. 2022;18(1):5.</w:t>
            </w:r>
          </w:p>
          <w:p w14:paraId="47CA982C"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16.</w:t>
            </w:r>
            <w:r w:rsidRPr="00EF7803">
              <w:rPr>
                <w:rFonts w:eastAsia="Times New Roman" w:cs="Times New Roman"/>
                <w:color w:val="0070C0"/>
                <w:sz w:val="20"/>
                <w:szCs w:val="20"/>
              </w:rPr>
              <w:tab/>
              <w:t>Yandamuri SS, Jiang R, Sharma A, Cotzomi E, Zografou C, Ma AK, et al. High-throughput investigation of molecular and cellular biomarkers in NMOSD. Neurol Neuroimmunol Neuroinflamm. 2020;7(5).</w:t>
            </w:r>
          </w:p>
          <w:p w14:paraId="423CA9E6"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17.</w:t>
            </w:r>
            <w:r w:rsidRPr="00EF7803">
              <w:rPr>
                <w:rFonts w:eastAsia="Times New Roman" w:cs="Times New Roman"/>
                <w:color w:val="0070C0"/>
                <w:sz w:val="20"/>
                <w:szCs w:val="20"/>
              </w:rPr>
              <w:tab/>
              <w:t>Ding J, Zhu DS, Hong RH, Wu YF, Li ZZ, Zhou XJ, et al. The differential expression of natural killer cells in NMOSD and MS. J Clin Neurosci. 2020;71:9-14.</w:t>
            </w:r>
          </w:p>
          <w:p w14:paraId="2C4EB532"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lastRenderedPageBreak/>
              <w:t>18.</w:t>
            </w:r>
            <w:r w:rsidRPr="00EF7803">
              <w:rPr>
                <w:rFonts w:eastAsia="Times New Roman" w:cs="Times New Roman"/>
                <w:color w:val="0070C0"/>
                <w:sz w:val="20"/>
                <w:szCs w:val="20"/>
              </w:rPr>
              <w:tab/>
              <w:t>Marignier R, Hacohen Y, Cobo-Calvo A, Pröbstel AK, Aktas O, Alexopoulos H, et al. Myelin-oligodendrocyte glycoprotein antibody-associated disease. Lancet Neurol. 2021;20(9):762-72.</w:t>
            </w:r>
          </w:p>
          <w:p w14:paraId="628A146E"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19.</w:t>
            </w:r>
            <w:r w:rsidRPr="00EF7803">
              <w:rPr>
                <w:rFonts w:eastAsia="Times New Roman" w:cs="Times New Roman"/>
                <w:color w:val="0070C0"/>
                <w:sz w:val="20"/>
                <w:szCs w:val="20"/>
              </w:rPr>
              <w:tab/>
              <w:t>Li Z, Ju X, Silveira PA, Abadir E, Hsu WH, Hart DNJ, et al. CD83: Activation Marker for Antigen Presenting Cells and Its Therapeutic Potential. Front Immunol. 2019;10:1312.</w:t>
            </w:r>
          </w:p>
          <w:p w14:paraId="663EB4EC"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20.</w:t>
            </w:r>
            <w:r w:rsidRPr="00EF7803">
              <w:rPr>
                <w:rFonts w:eastAsia="Times New Roman" w:cs="Times New Roman"/>
                <w:color w:val="0070C0"/>
                <w:sz w:val="20"/>
                <w:szCs w:val="20"/>
              </w:rPr>
              <w:tab/>
              <w:t>Sudzius G, Mieliauskaite D, Siaurys A, Viliene R, Butrimiene I, Characiejus D, et al. Distribution of Peripheral Lymphocyte Populations in Primary Sjögren's Syndrome Patients. J Immunol Res. 2015;2015:854706.</w:t>
            </w:r>
          </w:p>
          <w:p w14:paraId="0EAFB055"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21.</w:t>
            </w:r>
            <w:r w:rsidRPr="00EF7803">
              <w:rPr>
                <w:rFonts w:eastAsia="Times New Roman" w:cs="Times New Roman"/>
                <w:color w:val="0070C0"/>
                <w:sz w:val="20"/>
                <w:szCs w:val="20"/>
              </w:rPr>
              <w:tab/>
              <w:t>Yoshiga Y, Goto D, Segawa S, Ohnishi Y, Matsumoto I, Ito S, et al. Invariant NKT cells produce IL-17 through IL-23-dependent and -independent pathways with potential modulation of Th17 response in collagen-induced arthritis. Int J Mol Med. 2008;22(3):369-74.</w:t>
            </w:r>
          </w:p>
          <w:p w14:paraId="050C6441"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22.</w:t>
            </w:r>
            <w:r w:rsidRPr="00EF7803">
              <w:rPr>
                <w:rFonts w:eastAsia="Times New Roman" w:cs="Times New Roman"/>
                <w:color w:val="0070C0"/>
                <w:sz w:val="20"/>
                <w:szCs w:val="20"/>
              </w:rPr>
              <w:tab/>
              <w:t>Mars LT, Araujo L, Kerschen P, Diem S, Bourgeois E, Van LP, et al. Invariant NKT cells inhibit development of the Th17 lineage. Proc Natl Acad Sci U S A. 2009;106(15):6238-43.</w:t>
            </w:r>
          </w:p>
          <w:p w14:paraId="476ECE01"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23.</w:t>
            </w:r>
            <w:r w:rsidRPr="00EF7803">
              <w:rPr>
                <w:rFonts w:eastAsia="Times New Roman" w:cs="Times New Roman"/>
                <w:color w:val="0070C0"/>
                <w:sz w:val="20"/>
                <w:szCs w:val="20"/>
              </w:rPr>
              <w:tab/>
              <w:t>Uemura Y, Liu TY, Narita Y, Suzuki M, Nakatsuka R, Araki T, et al. Cytokine-dependent modification of IL-12p70 and IL-23 balance in dendritic cells by ligand activation of Valpha24 invariant NKT cells. J Immunol. 2009;183(1):201-8.</w:t>
            </w:r>
          </w:p>
          <w:p w14:paraId="00E1E5A4"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24.</w:t>
            </w:r>
            <w:r w:rsidRPr="00EF7803">
              <w:rPr>
                <w:rFonts w:eastAsia="Times New Roman" w:cs="Times New Roman"/>
                <w:color w:val="0070C0"/>
                <w:sz w:val="20"/>
                <w:szCs w:val="20"/>
              </w:rPr>
              <w:tab/>
              <w:t>Costa-García M, Ataya M, Moraru M, Vilches C, López-Botet M, Muntasell A. Human Cytomegalovirus Antigen Presentation by HLA-DR+ NKG2C+ Adaptive NK Cells Specifically Activates Polyfunctional Effector Memory CD4+ T Lymphocytes. Front Immunol. 2019;10:687.</w:t>
            </w:r>
          </w:p>
          <w:p w14:paraId="75337FEB"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25.</w:t>
            </w:r>
            <w:r w:rsidRPr="00EF7803">
              <w:rPr>
                <w:rFonts w:eastAsia="Times New Roman" w:cs="Times New Roman"/>
                <w:color w:val="0070C0"/>
                <w:sz w:val="20"/>
                <w:szCs w:val="20"/>
              </w:rPr>
              <w:tab/>
              <w:t>Voynova EN, Skinner J, Bolland S. Expansion of an atypical NK cell subset in mouse models of systemic lupus erythematosus. J Immunol. 2015;194(4):1503-13.</w:t>
            </w:r>
          </w:p>
          <w:p w14:paraId="53BF552E"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26.</w:t>
            </w:r>
            <w:r w:rsidRPr="00EF7803">
              <w:rPr>
                <w:rFonts w:eastAsia="Times New Roman" w:cs="Times New Roman"/>
                <w:color w:val="0070C0"/>
                <w:sz w:val="20"/>
                <w:szCs w:val="20"/>
              </w:rPr>
              <w:tab/>
              <w:t>Papakosta D, Manika K, Kyriazis G, Kontakiotis T, Zarogoulidis K. NK cell populations in collagen vascular disease. Clin Exp Rheumatol. 2012;30(5):693-9.</w:t>
            </w:r>
          </w:p>
          <w:p w14:paraId="6E339FFF"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27.</w:t>
            </w:r>
            <w:r w:rsidRPr="00EF7803">
              <w:rPr>
                <w:rFonts w:eastAsia="Times New Roman" w:cs="Times New Roman"/>
                <w:color w:val="0070C0"/>
                <w:sz w:val="20"/>
                <w:szCs w:val="20"/>
              </w:rPr>
              <w:tab/>
              <w:t>Jarius S, Ruprecht K, Wildemann B, Kuempfel T, Ringelstein M, Geis C, et al. Contrasting disease patterns in seropositive and seronegative neuromyelitis optica: A multicentre study of 175 patients. J Neuroinflammation. 2012;9:14.</w:t>
            </w:r>
          </w:p>
          <w:p w14:paraId="4D8DF51E"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28.</w:t>
            </w:r>
            <w:r w:rsidRPr="00EF7803">
              <w:rPr>
                <w:rFonts w:eastAsia="Times New Roman" w:cs="Times New Roman"/>
                <w:color w:val="0070C0"/>
                <w:sz w:val="20"/>
                <w:szCs w:val="20"/>
              </w:rPr>
              <w:tab/>
              <w:t>Piatek P, Domowicz M, Lewkowicz N, Przygodzka P, Matysiak M, Dzitko K, et al. C5a-Preactivated Neutrophils Are Critical for Autoimmune-Induced Astrocyte Dysregulation in Neuromyelitis Optica Spectrum Disorder. Front Immunol. 2018;9:1694.</w:t>
            </w:r>
          </w:p>
          <w:p w14:paraId="5A0166EC"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29.</w:t>
            </w:r>
            <w:r w:rsidRPr="00EF7803">
              <w:rPr>
                <w:rFonts w:eastAsia="Times New Roman" w:cs="Times New Roman"/>
                <w:color w:val="0070C0"/>
                <w:sz w:val="20"/>
                <w:szCs w:val="20"/>
              </w:rPr>
              <w:tab/>
              <w:t>Borrego F, Robertson MJ, Ritz J, Peña J, Solana R. CD69 is a stimulatory receptor for natural killer cell and its cytotoxic effect is blocked by CD94 inhibitory receptor. Immunology. 1999;97(1):159-65.</w:t>
            </w:r>
          </w:p>
          <w:p w14:paraId="02D66293"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30.</w:t>
            </w:r>
            <w:r w:rsidRPr="00EF7803">
              <w:rPr>
                <w:rFonts w:eastAsia="Times New Roman" w:cs="Times New Roman"/>
                <w:color w:val="0070C0"/>
                <w:sz w:val="20"/>
                <w:szCs w:val="20"/>
              </w:rPr>
              <w:tab/>
              <w:t>Sundberg-Kövamees M, Grunewald J, Wahlström J. Immune cell activation and cytokine release after stimulation of whole blood with pneumococcal C-polysaccharide and capsular polysaccharides. Int J Infect Dis. 2016;52:1-8.</w:t>
            </w:r>
          </w:p>
          <w:p w14:paraId="75905806"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31.</w:t>
            </w:r>
            <w:r w:rsidRPr="00EF7803">
              <w:rPr>
                <w:rFonts w:eastAsia="Times New Roman" w:cs="Times New Roman"/>
                <w:color w:val="0070C0"/>
                <w:sz w:val="20"/>
                <w:szCs w:val="20"/>
              </w:rPr>
              <w:tab/>
              <w:t>Hirano N, Butler MO, Xia Z, Ansén S, von Bergwelt-Baildon MS, Neuberg D, et al. Engagement of CD83 ligand induces prolonged expansion of CD8+ T cells and preferential enrichment for antigen specificity. Blood. 2006;107(4):1528-36.</w:t>
            </w:r>
          </w:p>
          <w:p w14:paraId="3D8DC7FB"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32.</w:t>
            </w:r>
            <w:r w:rsidRPr="00EF7803">
              <w:rPr>
                <w:rFonts w:eastAsia="Times New Roman" w:cs="Times New Roman"/>
                <w:color w:val="0070C0"/>
                <w:sz w:val="20"/>
                <w:szCs w:val="20"/>
              </w:rPr>
              <w:tab/>
              <w:t>Kim SH, Jeong IH, Hyun JW, Joung A, Jo HJ, Hwang SH, et al. Treatment Outcomes With Rituximab in 100 Patients With Neuromyelitis Optica: Influence of FCGR3A Polymorphisms on the Therapeutic Response to Rituximab. JAMA Neurol. 2015;72(9):989-95.</w:t>
            </w:r>
          </w:p>
          <w:p w14:paraId="033DC506"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33.</w:t>
            </w:r>
            <w:r w:rsidRPr="00EF7803">
              <w:rPr>
                <w:rFonts w:eastAsia="Times New Roman" w:cs="Times New Roman"/>
                <w:color w:val="0070C0"/>
                <w:sz w:val="20"/>
                <w:szCs w:val="20"/>
              </w:rPr>
              <w:tab/>
              <w:t>Kremer PG, Barb AW. The weaker-binding Fc γ receptor IIIa F158 allotype retains sensitivity to N-glycan composition and exhibits a destabilized antibody-binding interface. J Biol Chem. 2022;298(9):102329.</w:t>
            </w:r>
          </w:p>
          <w:p w14:paraId="73BC2CAD"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34.</w:t>
            </w:r>
            <w:r w:rsidRPr="00EF7803">
              <w:rPr>
                <w:rFonts w:eastAsia="Times New Roman" w:cs="Times New Roman"/>
                <w:color w:val="0070C0"/>
                <w:sz w:val="20"/>
                <w:szCs w:val="20"/>
              </w:rPr>
              <w:tab/>
              <w:t>Stork AC, Notermans NC, van den Berg LH, Schellevis RD, Niermeijer JM, Nederend M, et al. Fcγ receptor IIIA genotype is associated with rituximab response in antimyelin-associated glycoprotein neuropathy. J Neurol Neurosurg Psychiatry. 2014;85(8):918-20.</w:t>
            </w:r>
          </w:p>
          <w:p w14:paraId="150ADD37"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35.</w:t>
            </w:r>
            <w:r w:rsidRPr="00EF7803">
              <w:rPr>
                <w:rFonts w:eastAsia="Times New Roman" w:cs="Times New Roman"/>
                <w:color w:val="0070C0"/>
                <w:sz w:val="20"/>
                <w:szCs w:val="20"/>
              </w:rPr>
              <w:tab/>
              <w:t>Pál I, Szamosi S, Hodosi K, Szekanecz Z, Váróczy L. Effect of Fcγ-receptor 3a (FCGR3A) gene polymorphisms on rituximab therapy in Hungarian patients with rheumatoid arthritis. RMD Open. 2017;3(2):e000485.</w:t>
            </w:r>
          </w:p>
          <w:p w14:paraId="5CD554D4"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lastRenderedPageBreak/>
              <w:t>36.</w:t>
            </w:r>
            <w:r w:rsidRPr="00EF7803">
              <w:rPr>
                <w:rFonts w:eastAsia="Times New Roman" w:cs="Times New Roman"/>
                <w:color w:val="0070C0"/>
                <w:sz w:val="20"/>
                <w:szCs w:val="20"/>
              </w:rPr>
              <w:tab/>
              <w:t>Nishiyama S, Ito T, Misu T, Takahashi T, Kikuchi A, Suzuki N, et al. A case of NMO seropositive for aquaporin-4 antibody more than 10 years before onset. Neurology. 2009;72(22):1960-1.</w:t>
            </w:r>
          </w:p>
          <w:p w14:paraId="7F243EA6" w14:textId="77777777" w:rsidR="00EF7803" w:rsidRPr="00EF7803"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37.</w:t>
            </w:r>
            <w:r w:rsidRPr="00EF7803">
              <w:rPr>
                <w:rFonts w:eastAsia="Times New Roman" w:cs="Times New Roman"/>
                <w:color w:val="0070C0"/>
                <w:sz w:val="20"/>
                <w:szCs w:val="20"/>
              </w:rPr>
              <w:tab/>
              <w:t>Shahmohammadi S, Doosti R, Shahmohammadi A, Azimi A, Sahraian MA, Fattahi MR, et al. Neuromyelitis optica spectrum disorder (NMOSD) associated with cancer: A systematic review. Mult Scler Relat Disord. 2021;56:103227.</w:t>
            </w:r>
          </w:p>
          <w:p w14:paraId="6D87AC28" w14:textId="2C846D41" w:rsidR="000C1C2F" w:rsidRPr="006B2AFA" w:rsidRDefault="00EF7803" w:rsidP="00EF7803">
            <w:pPr>
              <w:spacing w:after="0" w:line="240" w:lineRule="auto"/>
              <w:rPr>
                <w:rFonts w:eastAsia="Times New Roman" w:cs="Times New Roman"/>
                <w:color w:val="0070C0"/>
                <w:sz w:val="20"/>
                <w:szCs w:val="20"/>
              </w:rPr>
            </w:pPr>
            <w:r w:rsidRPr="00EF7803">
              <w:rPr>
                <w:rFonts w:eastAsia="Times New Roman" w:cs="Times New Roman"/>
                <w:color w:val="0070C0"/>
                <w:sz w:val="20"/>
                <w:szCs w:val="20"/>
              </w:rPr>
              <w:t>38.</w:t>
            </w:r>
            <w:r w:rsidRPr="00EF7803">
              <w:rPr>
                <w:rFonts w:eastAsia="Times New Roman" w:cs="Times New Roman"/>
                <w:color w:val="0070C0"/>
                <w:sz w:val="20"/>
                <w:szCs w:val="20"/>
              </w:rPr>
              <w:tab/>
              <w:t>Sagan SA, Winger RC, Cruz-Herranz A, Nelson PA, Hagberg S, Miller CN, et al. Tolerance checkpoint bypass permits emergence of pathogenic T cells to neuromyelitis optica autoantigen aquaporin-4. Proc Natl Acad Sci U S A. 2016;113(51):14781-6.</w:t>
            </w:r>
          </w:p>
        </w:tc>
        <w:tc>
          <w:tcPr>
            <w:tcW w:w="1740" w:type="dxa"/>
            <w:tcBorders>
              <w:top w:val="nil"/>
              <w:left w:val="nil"/>
              <w:bottom w:val="nil"/>
              <w:right w:val="nil"/>
            </w:tcBorders>
            <w:shd w:val="clear" w:color="auto" w:fill="auto"/>
            <w:noWrap/>
            <w:vAlign w:val="bottom"/>
            <w:hideMark/>
          </w:tcPr>
          <w:p w14:paraId="08E46F7F" w14:textId="77777777" w:rsidR="000C1C2F" w:rsidRPr="006B2AFA" w:rsidRDefault="000C1C2F" w:rsidP="000C1C2F">
            <w:pPr>
              <w:spacing w:after="0" w:line="240" w:lineRule="auto"/>
              <w:rPr>
                <w:rFonts w:ascii="Calibri" w:eastAsia="Times New Roman" w:hAnsi="Calibri" w:cs="Times New Roman"/>
                <w:color w:val="000000"/>
              </w:rPr>
            </w:pPr>
          </w:p>
        </w:tc>
      </w:tr>
      <w:tr w:rsidR="000C1C2F" w:rsidRPr="006B2AFA" w14:paraId="135DAADE" w14:textId="77777777" w:rsidTr="006B2AFA">
        <w:trPr>
          <w:trHeight w:val="244"/>
        </w:trPr>
        <w:tc>
          <w:tcPr>
            <w:tcW w:w="520" w:type="dxa"/>
            <w:tcBorders>
              <w:top w:val="nil"/>
              <w:left w:val="nil"/>
              <w:bottom w:val="nil"/>
              <w:right w:val="nil"/>
            </w:tcBorders>
            <w:shd w:val="clear" w:color="auto" w:fill="auto"/>
            <w:noWrap/>
            <w:vAlign w:val="bottom"/>
          </w:tcPr>
          <w:p w14:paraId="72B28DEC" w14:textId="77777777" w:rsidR="000C1C2F" w:rsidRPr="006B2AFA" w:rsidRDefault="000C1C2F" w:rsidP="000C1C2F">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tcPr>
          <w:p w14:paraId="46FB8973" w14:textId="77777777" w:rsidR="000C1C2F" w:rsidRPr="006B2AFA" w:rsidRDefault="000C1C2F" w:rsidP="000C1C2F">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tcPr>
          <w:p w14:paraId="3AD4DE37" w14:textId="77777777" w:rsidR="000C1C2F" w:rsidRPr="006B2AFA" w:rsidRDefault="000C1C2F" w:rsidP="000C1C2F">
            <w:pPr>
              <w:spacing w:after="0" w:line="240" w:lineRule="auto"/>
              <w:rPr>
                <w:rFonts w:ascii="Calibri" w:eastAsia="Times New Roman" w:hAnsi="Calibri" w:cs="Times New Roman"/>
                <w:color w:val="000000"/>
              </w:rPr>
            </w:pPr>
          </w:p>
        </w:tc>
      </w:tr>
    </w:tbl>
    <w:p w14:paraId="20DA8AC2"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BC57E" w14:textId="77777777" w:rsidR="006B7A14" w:rsidRDefault="006B7A14" w:rsidP="006B2AFA">
      <w:pPr>
        <w:spacing w:after="0" w:line="240" w:lineRule="auto"/>
      </w:pPr>
      <w:r>
        <w:separator/>
      </w:r>
    </w:p>
  </w:endnote>
  <w:endnote w:type="continuationSeparator" w:id="0">
    <w:p w14:paraId="3CFEA4D1" w14:textId="77777777" w:rsidR="006B7A14" w:rsidRDefault="006B7A14"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59C53257" w14:textId="77777777" w:rsidR="006B2AFA" w:rsidRDefault="006B2AFA">
        <w:pPr>
          <w:pStyle w:val="a6"/>
          <w:jc w:val="right"/>
        </w:pPr>
        <w:r>
          <w:fldChar w:fldCharType="begin"/>
        </w:r>
        <w:r>
          <w:instrText xml:space="preserve"> PAGE   \* MERGEFORMAT </w:instrText>
        </w:r>
        <w:r>
          <w:fldChar w:fldCharType="separate"/>
        </w:r>
        <w:r>
          <w:rPr>
            <w:noProof/>
          </w:rPr>
          <w:t>1</w:t>
        </w:r>
        <w:r>
          <w:rPr>
            <w:noProof/>
          </w:rPr>
          <w:fldChar w:fldCharType="end"/>
        </w:r>
      </w:p>
    </w:sdtContent>
  </w:sdt>
  <w:p w14:paraId="7D29221F" w14:textId="77777777" w:rsidR="006B2AFA" w:rsidRDefault="006B2AF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41B4" w14:textId="77777777" w:rsidR="006B7A14" w:rsidRDefault="006B7A14" w:rsidP="006B2AFA">
      <w:pPr>
        <w:spacing w:after="0" w:line="240" w:lineRule="auto"/>
      </w:pPr>
      <w:r>
        <w:separator/>
      </w:r>
    </w:p>
  </w:footnote>
  <w:footnote w:type="continuationSeparator" w:id="0">
    <w:p w14:paraId="66048174" w14:textId="77777777" w:rsidR="006B7A14" w:rsidRDefault="006B7A14"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0C1C2F"/>
    <w:rsid w:val="00254EC3"/>
    <w:rsid w:val="002A1B40"/>
    <w:rsid w:val="00336BD1"/>
    <w:rsid w:val="00423C95"/>
    <w:rsid w:val="00485F1E"/>
    <w:rsid w:val="004E70F0"/>
    <w:rsid w:val="00573303"/>
    <w:rsid w:val="006B2AFA"/>
    <w:rsid w:val="006B7A14"/>
    <w:rsid w:val="0072762C"/>
    <w:rsid w:val="00747CFF"/>
    <w:rsid w:val="007C211D"/>
    <w:rsid w:val="008067E3"/>
    <w:rsid w:val="008706F1"/>
    <w:rsid w:val="008C2FA9"/>
    <w:rsid w:val="00942FC0"/>
    <w:rsid w:val="00967033"/>
    <w:rsid w:val="009A47C2"/>
    <w:rsid w:val="00A238E4"/>
    <w:rsid w:val="00BF0446"/>
    <w:rsid w:val="00C03581"/>
    <w:rsid w:val="00C5103F"/>
    <w:rsid w:val="00C571B3"/>
    <w:rsid w:val="00C672EC"/>
    <w:rsid w:val="00CC1B0E"/>
    <w:rsid w:val="00DA2B8A"/>
    <w:rsid w:val="00E85E15"/>
    <w:rsid w:val="00EF7803"/>
    <w:rsid w:val="00F307A7"/>
    <w:rsid w:val="00F542AF"/>
    <w:rsid w:val="00F6778F"/>
    <w:rsid w:val="00F73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762C64"/>
  <w15:docId w15:val="{8A28401E-218A-4965-A0CF-AF8FB705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B2AFA"/>
    <w:rPr>
      <w:color w:val="0000FF"/>
      <w:u w:val="single"/>
    </w:rPr>
  </w:style>
  <w:style w:type="paragraph" w:styleId="a4">
    <w:name w:val="header"/>
    <w:basedOn w:val="a"/>
    <w:link w:val="a5"/>
    <w:uiPriority w:val="99"/>
    <w:unhideWhenUsed/>
    <w:rsid w:val="006B2AFA"/>
    <w:pPr>
      <w:tabs>
        <w:tab w:val="center" w:pos="4680"/>
        <w:tab w:val="right" w:pos="9360"/>
      </w:tabs>
      <w:spacing w:after="0" w:line="240" w:lineRule="auto"/>
    </w:pPr>
  </w:style>
  <w:style w:type="character" w:customStyle="1" w:styleId="a5">
    <w:name w:val="ヘッダー (文字)"/>
    <w:basedOn w:val="a0"/>
    <w:link w:val="a4"/>
    <w:uiPriority w:val="99"/>
    <w:rsid w:val="006B2AFA"/>
  </w:style>
  <w:style w:type="paragraph" w:styleId="a6">
    <w:name w:val="footer"/>
    <w:basedOn w:val="a"/>
    <w:link w:val="a7"/>
    <w:uiPriority w:val="99"/>
    <w:unhideWhenUsed/>
    <w:rsid w:val="006B2AFA"/>
    <w:pPr>
      <w:tabs>
        <w:tab w:val="center" w:pos="4680"/>
        <w:tab w:val="right" w:pos="9360"/>
      </w:tabs>
      <w:spacing w:after="0" w:line="240" w:lineRule="auto"/>
    </w:pPr>
  </w:style>
  <w:style w:type="character" w:customStyle="1" w:styleId="a7">
    <w:name w:val="フッター (文字)"/>
    <w:basedOn w:val="a0"/>
    <w:link w:val="a6"/>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4660</TotalTime>
  <Pages>5</Pages>
  <Words>2052</Words>
  <Characters>11697</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修平 西山</cp:lastModifiedBy>
  <cp:revision>25</cp:revision>
  <dcterms:created xsi:type="dcterms:W3CDTF">2022-08-12T18:38:00Z</dcterms:created>
  <dcterms:modified xsi:type="dcterms:W3CDTF">2022-10-08T02:41:00Z</dcterms:modified>
</cp:coreProperties>
</file>