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561A6" w14:textId="77777777" w:rsidR="002400AD" w:rsidRDefault="002400AD" w:rsidP="002400AD">
      <w:pPr>
        <w:pStyle w:val="SOMHead"/>
      </w:pPr>
      <w:r>
        <w:t>Supplementary Materials</w:t>
      </w:r>
    </w:p>
    <w:p w14:paraId="75EFE9BB" w14:textId="77777777" w:rsidR="002400AD" w:rsidRDefault="002400AD" w:rsidP="002400AD">
      <w:pPr>
        <w:pStyle w:val="SOMContent"/>
      </w:pPr>
      <w:r>
        <w:t>Materials and Methods</w:t>
      </w:r>
    </w:p>
    <w:p w14:paraId="0FE68F44" w14:textId="77777777" w:rsidR="002400AD" w:rsidRDefault="002400AD" w:rsidP="002400AD">
      <w:pPr>
        <w:pStyle w:val="SOMContent"/>
      </w:pPr>
      <w:r>
        <w:t>Figs. S1 to S7</w:t>
      </w:r>
    </w:p>
    <w:p w14:paraId="1B12DF93" w14:textId="77777777" w:rsidR="002400AD" w:rsidRDefault="002400AD" w:rsidP="002400AD">
      <w:pPr>
        <w:ind w:left="720"/>
      </w:pPr>
    </w:p>
    <w:p w14:paraId="3E17C2E6" w14:textId="77777777" w:rsidR="002400AD" w:rsidRDefault="002400AD" w:rsidP="002400AD">
      <w:pPr>
        <w:rPr>
          <w:b/>
          <w:bCs/>
          <w:sz w:val="22"/>
          <w:szCs w:val="22"/>
        </w:rPr>
      </w:pPr>
      <w:bookmarkStart w:id="0" w:name="Tables"/>
      <w:bookmarkStart w:id="1" w:name="MaterialsMethods"/>
      <w:bookmarkEnd w:id="0"/>
      <w:bookmarkEnd w:id="1"/>
    </w:p>
    <w:p w14:paraId="309CC9BF" w14:textId="77777777" w:rsidR="002400AD" w:rsidRDefault="002400AD" w:rsidP="002400AD">
      <w:pPr>
        <w:rPr>
          <w:b/>
          <w:bCs/>
          <w:sz w:val="22"/>
          <w:szCs w:val="22"/>
        </w:rPr>
      </w:pPr>
      <w:r>
        <w:rPr>
          <w:b/>
          <w:bCs/>
          <w:sz w:val="22"/>
          <w:szCs w:val="22"/>
        </w:rPr>
        <w:t>Materials and Methods</w:t>
      </w:r>
    </w:p>
    <w:p w14:paraId="09F47636" w14:textId="77777777" w:rsidR="002400AD" w:rsidRDefault="002400AD" w:rsidP="002400AD">
      <w:pPr>
        <w:pStyle w:val="SMText"/>
        <w:ind w:firstLine="0"/>
        <w:rPr>
          <w:u w:val="words"/>
        </w:rPr>
      </w:pPr>
      <w:r>
        <w:rPr>
          <w:u w:val="words"/>
        </w:rPr>
        <w:t>Preparation of PEI Formulations</w:t>
      </w:r>
    </w:p>
    <w:p w14:paraId="0267B696" w14:textId="77777777" w:rsidR="002400AD" w:rsidRDefault="002400AD" w:rsidP="002400AD">
      <w:pPr>
        <w:pStyle w:val="SMSubheading"/>
        <w:rPr>
          <w:u w:val="none"/>
        </w:rPr>
      </w:pPr>
      <w:r>
        <w:rPr>
          <w:u w:val="none"/>
        </w:rPr>
        <w:t xml:space="preserve">Polyelectrolyte complexes, also known as polyplexes, comprising a linear polyethyleneimine (PEI) and </w:t>
      </w:r>
      <w:proofErr w:type="spellStart"/>
      <w:r>
        <w:rPr>
          <w:u w:val="none"/>
        </w:rPr>
        <w:t>saRNA</w:t>
      </w:r>
      <w:proofErr w:type="spellEnd"/>
      <w:r>
        <w:rPr>
          <w:u w:val="none"/>
        </w:rPr>
        <w:t xml:space="preserve"> were manufactured according to internal developed and optimized protocol ( WO2019137999A1, WO2021001417A1). Linear </w:t>
      </w:r>
      <w:proofErr w:type="spellStart"/>
      <w:r>
        <w:rPr>
          <w:u w:val="none"/>
        </w:rPr>
        <w:t>Polyethylenimine</w:t>
      </w:r>
      <w:proofErr w:type="spellEnd"/>
      <w:r>
        <w:rPr>
          <w:u w:val="none"/>
        </w:rPr>
        <w:t xml:space="preserve"> (</w:t>
      </w:r>
      <w:proofErr w:type="spellStart"/>
      <w:r>
        <w:rPr>
          <w:u w:val="none"/>
        </w:rPr>
        <w:t>UltraPEI</w:t>
      </w:r>
      <w:proofErr w:type="spellEnd"/>
      <w:r>
        <w:rPr>
          <w:u w:val="none"/>
        </w:rPr>
        <w:t xml:space="preserve">®) with a degree of polymerization of either 7, 15, 31, 62, 125, 250, 500, 1000, 1500 or 2500 was obtained from AVROXA (Ghent, Belgium). If not otherwise explicitly stated, </w:t>
      </w:r>
      <w:proofErr w:type="spellStart"/>
      <w:r>
        <w:rPr>
          <w:u w:val="none"/>
        </w:rPr>
        <w:t>UltraPEI</w:t>
      </w:r>
      <w:proofErr w:type="spellEnd"/>
      <w:r>
        <w:rPr>
          <w:u w:val="none"/>
        </w:rPr>
        <w:t xml:space="preserve"> with a DP of 500 was used in the respective experiment. Each of the linear polyethyleneimines -provided as hydrochloride salt- is dissolved in </w:t>
      </w:r>
      <w:proofErr w:type="spellStart"/>
      <w:r>
        <w:rPr>
          <w:u w:val="none"/>
        </w:rPr>
        <w:t>RNAse</w:t>
      </w:r>
      <w:proofErr w:type="spellEnd"/>
      <w:r>
        <w:rPr>
          <w:u w:val="none"/>
        </w:rPr>
        <w:t xml:space="preserve"> free ddH20 to a concentration of 450mM of amines. The concentration of amines is calculated by assuming a molar mass of 79.53 Da per each ethyleneimine unit with the corresponding counterion. The N/P ratio was calculated as the bulk stoichiometric ratio of the between the total concentration of </w:t>
      </w:r>
      <w:proofErr w:type="spellStart"/>
      <w:r>
        <w:rPr>
          <w:u w:val="none"/>
        </w:rPr>
        <w:t>nitrogens</w:t>
      </w:r>
      <w:proofErr w:type="spellEnd"/>
      <w:r>
        <w:rPr>
          <w:u w:val="none"/>
        </w:rPr>
        <w:t xml:space="preserve"> within linear PEI, and the concentration of phosphates in the RNA. For the calculation of the N/P ratio from the concentrations in mg/mL, the phosphate concentration is used by assuming an equal concentration to the concentration of nucleotides in solution. The molar mass of the repeats units (nucleotides) comprising the phosphates was averaged to 330 Da. For manufacturing the polyplexes, </w:t>
      </w:r>
      <w:proofErr w:type="spellStart"/>
      <w:r>
        <w:rPr>
          <w:u w:val="none"/>
        </w:rPr>
        <w:t>equivoluminar</w:t>
      </w:r>
      <w:proofErr w:type="spellEnd"/>
      <w:r>
        <w:rPr>
          <w:u w:val="none"/>
        </w:rPr>
        <w:t xml:space="preserve"> amounts of PEI and RNA solutions were mixed and immediately vortexed for 6 seconds. The RNA solution in MBG was prepared by mixing concentrated MBG buffer (2x) and RNA from stock solution.  Similarly, PEI solution was prepared with the required volume of linear PEI stock, and concentrated MBG buffer (2x). Water was added for final adjustment of concentrations if required. After mixing and </w:t>
      </w:r>
      <w:proofErr w:type="spellStart"/>
      <w:r>
        <w:rPr>
          <w:u w:val="none"/>
        </w:rPr>
        <w:t>vortexing</w:t>
      </w:r>
      <w:proofErr w:type="spellEnd"/>
      <w:r>
        <w:rPr>
          <w:u w:val="none"/>
        </w:rPr>
        <w:t xml:space="preserve">, the formulations were incubated for 15min at room temperature. MBG buffer comprises 5% w/v D-Glucose (Sigma-Aldrich, </w:t>
      </w:r>
      <w:proofErr w:type="spellStart"/>
      <w:r>
        <w:rPr>
          <w:u w:val="none"/>
        </w:rPr>
        <w:t>Taufkirchen</w:t>
      </w:r>
      <w:proofErr w:type="spellEnd"/>
      <w:r>
        <w:rPr>
          <w:u w:val="none"/>
        </w:rPr>
        <w:t>, Germany), 10mM of MES (2-(N-morpholino)</w:t>
      </w:r>
      <w:proofErr w:type="spellStart"/>
      <w:r>
        <w:rPr>
          <w:u w:val="none"/>
        </w:rPr>
        <w:t>ethanesulfonic</w:t>
      </w:r>
      <w:proofErr w:type="spellEnd"/>
      <w:r>
        <w:rPr>
          <w:u w:val="none"/>
        </w:rPr>
        <w:t xml:space="preserve"> acid, Carl Roth, Karlsruhe, Germany) at a final pH of 6,1 in double distillated sterile/</w:t>
      </w:r>
      <w:proofErr w:type="spellStart"/>
      <w:r>
        <w:rPr>
          <w:u w:val="none"/>
        </w:rPr>
        <w:t>RNAse</w:t>
      </w:r>
      <w:proofErr w:type="spellEnd"/>
      <w:r>
        <w:rPr>
          <w:u w:val="none"/>
        </w:rPr>
        <w:t xml:space="preserve"> free water </w:t>
      </w:r>
      <w:proofErr w:type="spellStart"/>
      <w:r>
        <w:rPr>
          <w:u w:val="none"/>
        </w:rPr>
        <w:t>OmniPur</w:t>
      </w:r>
      <w:proofErr w:type="spellEnd"/>
      <w:r>
        <w:rPr>
          <w:u w:val="none"/>
        </w:rPr>
        <w:t xml:space="preserve">©  (Merck Chemicals GmbH, Darmstadt, Germany). MBG buffer is sterile filtrated using </w:t>
      </w:r>
      <w:proofErr w:type="spellStart"/>
      <w:r>
        <w:rPr>
          <w:u w:val="none"/>
        </w:rPr>
        <w:t>Stericup</w:t>
      </w:r>
      <w:proofErr w:type="spellEnd"/>
      <w:r>
        <w:rPr>
          <w:u w:val="none"/>
        </w:rPr>
        <w:t>©(Merck Chemicals GmbH, Darmstadt, Germany), aliquoted in sterile 50mL tubes (</w:t>
      </w:r>
      <w:proofErr w:type="spellStart"/>
      <w:r>
        <w:rPr>
          <w:u w:val="none"/>
        </w:rPr>
        <w:t>Geriner</w:t>
      </w:r>
      <w:proofErr w:type="spellEnd"/>
      <w:r>
        <w:rPr>
          <w:u w:val="none"/>
        </w:rPr>
        <w:t xml:space="preserve"> Bio-One, </w:t>
      </w:r>
      <w:proofErr w:type="spellStart"/>
      <w:r>
        <w:rPr>
          <w:u w:val="none"/>
        </w:rPr>
        <w:t>Kremsmünster</w:t>
      </w:r>
      <w:proofErr w:type="spellEnd"/>
      <w:r>
        <w:rPr>
          <w:u w:val="none"/>
        </w:rPr>
        <w:t>, Austria) and kept either frozen at -80°C for long time storage or at 4°C for up to 2 weeks. Formulations are prepared in sterile conditions under laminar flow, using sterile/</w:t>
      </w:r>
      <w:proofErr w:type="spellStart"/>
      <w:r>
        <w:rPr>
          <w:u w:val="none"/>
        </w:rPr>
        <w:t>RNAse</w:t>
      </w:r>
      <w:proofErr w:type="spellEnd"/>
      <w:r>
        <w:rPr>
          <w:u w:val="none"/>
        </w:rPr>
        <w:t xml:space="preserve"> free 1.5mL Safe-Lock tubes (Eppendorf SE, Hamburg, Germany)</w:t>
      </w:r>
    </w:p>
    <w:p w14:paraId="5FD4381C" w14:textId="77777777" w:rsidR="002400AD" w:rsidRDefault="002400AD" w:rsidP="002400AD">
      <w:pPr>
        <w:pStyle w:val="SMSubheading"/>
        <w:rPr>
          <w:u w:val="none"/>
        </w:rPr>
      </w:pPr>
    </w:p>
    <w:p w14:paraId="6B797D09" w14:textId="77777777" w:rsidR="002400AD" w:rsidRDefault="002400AD" w:rsidP="002400AD">
      <w:pPr>
        <w:pStyle w:val="SMSubheading"/>
      </w:pPr>
      <w:r>
        <w:t>mRNA Synthesis</w:t>
      </w:r>
    </w:p>
    <w:p w14:paraId="2EBEC492" w14:textId="77777777" w:rsidR="002400AD" w:rsidRDefault="002400AD" w:rsidP="002400AD">
      <w:pPr>
        <w:pStyle w:val="SMSubheading"/>
        <w:rPr>
          <w:u w:val="none"/>
        </w:rPr>
      </w:pPr>
      <w:r>
        <w:rPr>
          <w:u w:val="none"/>
        </w:rPr>
        <w:t xml:space="preserve">T7 in vitro transcription is based on protocols provided by the </w:t>
      </w:r>
      <w:proofErr w:type="spellStart"/>
      <w:r>
        <w:rPr>
          <w:u w:val="none"/>
        </w:rPr>
        <w:t>MEGAscript</w:t>
      </w:r>
      <w:proofErr w:type="spellEnd"/>
      <w:r>
        <w:rPr>
          <w:u w:val="none"/>
        </w:rPr>
        <w:t xml:space="preserve"> T7 Transcription Kit (</w:t>
      </w:r>
      <w:proofErr w:type="spellStart"/>
      <w:r>
        <w:rPr>
          <w:u w:val="none"/>
        </w:rPr>
        <w:t>Thermo</w:t>
      </w:r>
      <w:proofErr w:type="spellEnd"/>
      <w:r>
        <w:rPr>
          <w:u w:val="none"/>
        </w:rPr>
        <w:t xml:space="preserve"> Fisher, formerly </w:t>
      </w:r>
      <w:proofErr w:type="spellStart"/>
      <w:r>
        <w:rPr>
          <w:u w:val="none"/>
        </w:rPr>
        <w:t>Ambion</w:t>
      </w:r>
      <w:proofErr w:type="spellEnd"/>
      <w:r>
        <w:rPr>
          <w:u w:val="none"/>
        </w:rPr>
        <w:t xml:space="preserve">). The general procedure starting with linear DNA template containing the T7 promoter, and particularly with respect to co-transcriptional capping with the synthetic cap analog beta-S-ARCA(D1) (used in 4-to-1 ratio regarding guanosine triphosphate [GTP] concentration), is carried out similarly to previously described protocols(29). Based on previous work(30), high-yielding processes qualified for our </w:t>
      </w:r>
      <w:proofErr w:type="gramStart"/>
      <w:r>
        <w:rPr>
          <w:u w:val="none"/>
        </w:rPr>
        <w:t>particular systems</w:t>
      </w:r>
      <w:proofErr w:type="gramEnd"/>
      <w:r>
        <w:rPr>
          <w:u w:val="none"/>
        </w:rPr>
        <w:t xml:space="preserve"> were developed; here, protocols have been modified and optimized with respect to long </w:t>
      </w:r>
      <w:proofErr w:type="spellStart"/>
      <w:r>
        <w:rPr>
          <w:u w:val="none"/>
        </w:rPr>
        <w:t>saRNA</w:t>
      </w:r>
      <w:proofErr w:type="spellEnd"/>
      <w:r>
        <w:rPr>
          <w:u w:val="none"/>
        </w:rPr>
        <w:t xml:space="preserve"> with up to 10,000 nt.</w:t>
      </w:r>
    </w:p>
    <w:p w14:paraId="6787EA15" w14:textId="77777777" w:rsidR="002400AD" w:rsidRDefault="002400AD" w:rsidP="002400AD">
      <w:pPr>
        <w:pStyle w:val="SMSubheading"/>
      </w:pPr>
    </w:p>
    <w:p w14:paraId="642C07AF" w14:textId="77777777" w:rsidR="002400AD" w:rsidRDefault="002400AD" w:rsidP="002400AD">
      <w:pPr>
        <w:pStyle w:val="SMSubheading"/>
      </w:pPr>
    </w:p>
    <w:p w14:paraId="082FBF89" w14:textId="77777777" w:rsidR="002400AD" w:rsidRDefault="002400AD" w:rsidP="002400AD">
      <w:pPr>
        <w:pStyle w:val="SMSubheading"/>
      </w:pPr>
    </w:p>
    <w:p w14:paraId="2AD3A105" w14:textId="77777777" w:rsidR="002400AD" w:rsidRDefault="002400AD" w:rsidP="002400AD">
      <w:pPr>
        <w:pStyle w:val="SMSubheading"/>
      </w:pPr>
      <w:r>
        <w:t>Size measurement</w:t>
      </w:r>
    </w:p>
    <w:p w14:paraId="13D503C7" w14:textId="77777777" w:rsidR="002400AD" w:rsidRDefault="002400AD" w:rsidP="002400AD">
      <w:pPr>
        <w:pStyle w:val="SMSubheading"/>
        <w:rPr>
          <w:u w:val="none"/>
        </w:rPr>
      </w:pPr>
      <w:r>
        <w:rPr>
          <w:u w:val="none"/>
        </w:rPr>
        <w:t xml:space="preserve">All size measurements here are done by </w:t>
      </w:r>
      <w:proofErr w:type="spellStart"/>
      <w:r>
        <w:rPr>
          <w:u w:val="none"/>
        </w:rPr>
        <w:t>DynaPro</w:t>
      </w:r>
      <w:proofErr w:type="spellEnd"/>
      <w:r>
        <w:rPr>
          <w:u w:val="none"/>
        </w:rPr>
        <w:t xml:space="preserve"> </w:t>
      </w:r>
      <w:proofErr w:type="spellStart"/>
      <w:r>
        <w:rPr>
          <w:u w:val="none"/>
        </w:rPr>
        <w:t>PlateReader</w:t>
      </w:r>
      <w:proofErr w:type="spellEnd"/>
      <w:r>
        <w:rPr>
          <w:u w:val="none"/>
        </w:rPr>
        <w:t xml:space="preserve"> II, using dynamic light scattering (DLS) for calculating the hydrodynamic size of nanoparticles. The formulations are measured by diluting the sample to 0,01mg/ml RNA in 120µl of MGB5% in wells of a 96-well plate. Ten data points are recorded per well, each lasting 5 seconds.</w:t>
      </w:r>
    </w:p>
    <w:p w14:paraId="6DFE9D4A" w14:textId="77777777" w:rsidR="002400AD" w:rsidRDefault="002400AD" w:rsidP="002400AD">
      <w:pPr>
        <w:pStyle w:val="SMSubheading"/>
      </w:pPr>
    </w:p>
    <w:p w14:paraId="5BE52255" w14:textId="77777777" w:rsidR="002400AD" w:rsidRDefault="002400AD" w:rsidP="002400AD">
      <w:pPr>
        <w:pStyle w:val="SMSubheading"/>
      </w:pPr>
      <w:r>
        <w:t>RNA Quantification</w:t>
      </w:r>
    </w:p>
    <w:p w14:paraId="0062F9DD" w14:textId="77777777" w:rsidR="002400AD" w:rsidRDefault="002400AD" w:rsidP="002400AD">
      <w:pPr>
        <w:pStyle w:val="SMSubheading"/>
        <w:rPr>
          <w:u w:val="none"/>
        </w:rPr>
      </w:pPr>
      <w:r>
        <w:rPr>
          <w:u w:val="none"/>
        </w:rPr>
        <w:t xml:space="preserve">RNA concentration is quantified with Nanodrop. The microvolume option is used for the quantification of RNA, more specifically 1.5 µl of formulated RNA are used. For the calculation of the RNA concentration, 260/280 and 260/230 nm purity radios are </w:t>
      </w:r>
      <w:proofErr w:type="gramStart"/>
      <w:r>
        <w:rPr>
          <w:u w:val="none"/>
        </w:rPr>
        <w:t>taken into account</w:t>
      </w:r>
      <w:proofErr w:type="gramEnd"/>
      <w:r>
        <w:rPr>
          <w:u w:val="none"/>
        </w:rPr>
        <w:t>. Only data which fulfilled purity criteria is used in the quantification of RNA. Purity criteria is defined by 1.8-2.2 for 260/280nm ratio and &gt;1.8 for 260/230nm ratio. Formulation Buffer is used as blanking solution for the RNA quantification of each sample.</w:t>
      </w:r>
    </w:p>
    <w:p w14:paraId="701844BC" w14:textId="77777777" w:rsidR="002400AD" w:rsidRDefault="002400AD" w:rsidP="002400AD">
      <w:pPr>
        <w:pStyle w:val="SMSubheading"/>
      </w:pPr>
    </w:p>
    <w:p w14:paraId="6E11DC01" w14:textId="77777777" w:rsidR="002400AD" w:rsidRDefault="002400AD" w:rsidP="002400AD">
      <w:pPr>
        <w:pStyle w:val="SMSubheading"/>
      </w:pPr>
      <w:r>
        <w:t>Free RNA Quantification</w:t>
      </w:r>
    </w:p>
    <w:p w14:paraId="3E31F665" w14:textId="77777777" w:rsidR="002400AD" w:rsidRDefault="002400AD" w:rsidP="002400AD">
      <w:pPr>
        <w:pStyle w:val="SMSubheading"/>
        <w:rPr>
          <w:u w:val="none"/>
        </w:rPr>
      </w:pPr>
      <w:r>
        <w:rPr>
          <w:u w:val="none"/>
        </w:rPr>
        <w:t xml:space="preserve">Free RNA in the formulation is measured by agarose gel electrophoresis under denaturing conditions. 100ml of 1% Agarose in TAE Buffer is used. 10µl of </w:t>
      </w:r>
      <w:proofErr w:type="spellStart"/>
      <w:r>
        <w:rPr>
          <w:u w:val="none"/>
        </w:rPr>
        <w:t>GelRed</w:t>
      </w:r>
      <w:proofErr w:type="spellEnd"/>
      <w:r>
        <w:rPr>
          <w:u w:val="none"/>
        </w:rPr>
        <w:t xml:space="preserve"> are added prior gel solidification for RNA fluorescent labeling. A formulation sample containing 1µg of RNA is diluted with gel loading buffer to a final volume of 12µl. This is placed in agarose gel and the samples are run at 80V, 50mA for 40 min. UV-fluorescence is measured after 0.1 seconds of exposure time.</w:t>
      </w:r>
    </w:p>
    <w:p w14:paraId="1DC6470D" w14:textId="77777777" w:rsidR="002400AD" w:rsidRDefault="002400AD" w:rsidP="002400AD">
      <w:pPr>
        <w:pStyle w:val="SMSubheading"/>
      </w:pPr>
    </w:p>
    <w:p w14:paraId="5AA086B4" w14:textId="77777777" w:rsidR="002400AD" w:rsidRDefault="002400AD" w:rsidP="002400AD">
      <w:pPr>
        <w:pStyle w:val="SMSubheading"/>
      </w:pPr>
      <w:r>
        <w:t>Centrifugation Assay</w:t>
      </w:r>
    </w:p>
    <w:p w14:paraId="5B5C7E15" w14:textId="77777777" w:rsidR="002400AD" w:rsidRDefault="002400AD" w:rsidP="002400AD">
      <w:pPr>
        <w:jc w:val="both"/>
      </w:pPr>
      <w:r>
        <w:t xml:space="preserve">Samples are centrifuged at 20.000G for 90min at 4°C.  After centrifugation, 90% of the supernatant is transferred to a new vial. The pellet remaining after centrifugation is then resuspended with an equal volume as the 90% of supernatant previously transferred. </w:t>
      </w:r>
    </w:p>
    <w:p w14:paraId="065DCB8A" w14:textId="77777777" w:rsidR="002400AD" w:rsidRDefault="002400AD" w:rsidP="002400AD">
      <w:pPr>
        <w:pStyle w:val="SMSubheading"/>
      </w:pPr>
    </w:p>
    <w:p w14:paraId="575633CA" w14:textId="77777777" w:rsidR="002400AD" w:rsidRDefault="002400AD" w:rsidP="002400AD">
      <w:pPr>
        <w:pStyle w:val="SMSubheading"/>
      </w:pPr>
    </w:p>
    <w:p w14:paraId="210DB13D" w14:textId="77777777" w:rsidR="002400AD" w:rsidRDefault="002400AD" w:rsidP="002400AD">
      <w:pPr>
        <w:pStyle w:val="SMSubheading"/>
      </w:pPr>
      <w:r>
        <w:t>Ultracentrifugation Assay</w:t>
      </w:r>
    </w:p>
    <w:p w14:paraId="2555375F" w14:textId="77777777" w:rsidR="002400AD" w:rsidRDefault="002400AD" w:rsidP="002400AD">
      <w:pPr>
        <w:pStyle w:val="SMSubheading"/>
        <w:rPr>
          <w:u w:val="none"/>
        </w:rPr>
      </w:pPr>
      <w:r>
        <w:rPr>
          <w:u w:val="none"/>
        </w:rPr>
        <w:t>Samples are measured with analytic ultracentrifuge and light absorption is measured at two different wavelengths: 255nm and 650nm. MBG sample buffer is used as blank sample for the measurements. Samples are centrifuged at 80.000G at RT.</w:t>
      </w:r>
    </w:p>
    <w:p w14:paraId="5139F28E" w14:textId="77777777" w:rsidR="002400AD" w:rsidRDefault="002400AD" w:rsidP="002400AD">
      <w:pPr>
        <w:pStyle w:val="SMSubheading"/>
      </w:pPr>
    </w:p>
    <w:p w14:paraId="371B1085" w14:textId="77777777" w:rsidR="002400AD" w:rsidRDefault="002400AD" w:rsidP="002400AD">
      <w:pPr>
        <w:pStyle w:val="SMSubheading"/>
      </w:pPr>
      <w:r>
        <w:t>PEI Concentration Assay</w:t>
      </w:r>
    </w:p>
    <w:p w14:paraId="24559D7A" w14:textId="77777777" w:rsidR="002400AD" w:rsidRDefault="002400AD" w:rsidP="002400AD">
      <w:pPr>
        <w:pStyle w:val="SMSubheading"/>
        <w:rPr>
          <w:u w:val="none"/>
        </w:rPr>
      </w:pPr>
      <w:r>
        <w:rPr>
          <w:u w:val="none"/>
        </w:rPr>
        <w:t xml:space="preserve">PEI concentration is determined by the quantification of reduced copper(II) sulfate. The amount of reduced copper is proportional to the </w:t>
      </w:r>
      <w:proofErr w:type="gramStart"/>
      <w:r>
        <w:rPr>
          <w:u w:val="none"/>
        </w:rPr>
        <w:t>amount</w:t>
      </w:r>
      <w:proofErr w:type="gramEnd"/>
      <w:r>
        <w:rPr>
          <w:u w:val="none"/>
        </w:rPr>
        <w:t xml:space="preserve"> of secondary amines present in the solution. 1.4mM solution of copper(II) sulfate is prepared using 0.1M of Sodium Acetate at pH 5.4. Calibration curve of a known PEI reference is prepared for a maximum of 1.55mM. Formulated samples are diluted to 0.2mg/mL of formulated RNA and mixed 1:1 with the copper(II) sulfate solution to a final volume of 300µl. Absorption of reduced copper is measured at 285nm.</w:t>
      </w:r>
    </w:p>
    <w:p w14:paraId="03871F06" w14:textId="77777777" w:rsidR="002400AD" w:rsidRDefault="002400AD" w:rsidP="002400AD">
      <w:pPr>
        <w:pStyle w:val="SMSubheading"/>
      </w:pPr>
    </w:p>
    <w:p w14:paraId="71BDEA84" w14:textId="77777777" w:rsidR="002400AD" w:rsidRDefault="002400AD" w:rsidP="002400AD">
      <w:pPr>
        <w:pStyle w:val="SMSubheading"/>
      </w:pPr>
      <w:r>
        <w:t>RNA release Assay</w:t>
      </w:r>
    </w:p>
    <w:p w14:paraId="1DDAB2C8" w14:textId="77777777" w:rsidR="002400AD" w:rsidRDefault="002400AD" w:rsidP="002400AD">
      <w:pPr>
        <w:pStyle w:val="SMSubheading"/>
        <w:rPr>
          <w:u w:val="none"/>
        </w:rPr>
      </w:pPr>
      <w:r>
        <w:rPr>
          <w:u w:val="none"/>
        </w:rPr>
        <w:t xml:space="preserve">After complexation of RNA in polyplexes, release of the RNA can be triggered by using heparin, a strong polyanion. Solution of 584mM of sulfate groups of </w:t>
      </w:r>
      <w:proofErr w:type="gramStart"/>
      <w:r>
        <w:rPr>
          <w:u w:val="none"/>
        </w:rPr>
        <w:t>heparin</w:t>
      </w:r>
      <w:proofErr w:type="gramEnd"/>
      <w:r>
        <w:rPr>
          <w:u w:val="none"/>
        </w:rPr>
        <w:t xml:space="preserve"> is prepared in 1mM EDTA,10mM MES pH 6,1. A mixture of formulated RNA, heparin solution and 1x MBG are </w:t>
      </w:r>
      <w:r>
        <w:rPr>
          <w:u w:val="none"/>
        </w:rPr>
        <w:lastRenderedPageBreak/>
        <w:t>incubated 20min at 30°C. The amount of heparin solution is calculated to have a 10-fold excess of sulfate groups to amines. 1xMBG is used to finally adjust the solution to a final RNA concentration of 0.05mg/</w:t>
      </w:r>
      <w:proofErr w:type="spellStart"/>
      <w:r>
        <w:rPr>
          <w:u w:val="none"/>
        </w:rPr>
        <w:t>mL.</w:t>
      </w:r>
      <w:proofErr w:type="spellEnd"/>
      <w:r>
        <w:rPr>
          <w:u w:val="none"/>
        </w:rPr>
        <w:t xml:space="preserve"> Samples are stored immediately after at 4°C to avoid RNA degradation.</w:t>
      </w:r>
    </w:p>
    <w:p w14:paraId="6A095AA0" w14:textId="77777777" w:rsidR="002400AD" w:rsidRDefault="002400AD" w:rsidP="002400AD">
      <w:pPr>
        <w:pStyle w:val="SMSubheading"/>
      </w:pPr>
    </w:p>
    <w:p w14:paraId="03E6A045" w14:textId="77777777" w:rsidR="002400AD" w:rsidRDefault="002400AD" w:rsidP="002400AD">
      <w:pPr>
        <w:pStyle w:val="SMSubheading"/>
      </w:pPr>
      <w:r>
        <w:t>Asymmetric Flow Field-Flow-Fractionation (AF4)</w:t>
      </w:r>
    </w:p>
    <w:p w14:paraId="419F1902" w14:textId="77777777" w:rsidR="002400AD" w:rsidRDefault="002400AD" w:rsidP="002400AD">
      <w:pPr>
        <w:pStyle w:val="SMSubheading"/>
        <w:rPr>
          <w:u w:val="none"/>
        </w:rPr>
      </w:pPr>
      <w:r>
        <w:rPr>
          <w:u w:val="none"/>
        </w:rPr>
        <w:t xml:space="preserve">Asymmetrical flow field-flow fractionation (AF4) is used for separation and size determination of particles and macro-molecules. The long channel (LC), which was assembled with a 350 µm thick trapezoidal spacer, was connected to an Eclipse 3+. A </w:t>
      </w:r>
      <w:proofErr w:type="spellStart"/>
      <w:r>
        <w:rPr>
          <w:u w:val="none"/>
        </w:rPr>
        <w:t>teflon</w:t>
      </w:r>
      <w:proofErr w:type="spellEnd"/>
      <w:r>
        <w:rPr>
          <w:u w:val="none"/>
        </w:rPr>
        <w:t xml:space="preserve"> membrane (</w:t>
      </w:r>
      <w:proofErr w:type="spellStart"/>
      <w:r>
        <w:rPr>
          <w:u w:val="none"/>
        </w:rPr>
        <w:t>Postnova</w:t>
      </w:r>
      <w:proofErr w:type="spellEnd"/>
      <w:r>
        <w:rPr>
          <w:u w:val="none"/>
        </w:rPr>
        <w:t xml:space="preserve"> analytics GmbH, Landsberg am Lech Germany) with the molecular weight cut-off of 50 </w:t>
      </w:r>
      <w:proofErr w:type="spellStart"/>
      <w:r>
        <w:rPr>
          <w:u w:val="none"/>
        </w:rPr>
        <w:t>kDa</w:t>
      </w:r>
      <w:proofErr w:type="spellEnd"/>
      <w:r>
        <w:rPr>
          <w:u w:val="none"/>
        </w:rPr>
        <w:t xml:space="preserve"> was used as accumulation wall. The Agilent 1260 Series quaternary pump with an in-line vacuum degasser delivered the carrier flow, and an Agilent 1260 Series Autosampler submitted samples (corresponding to the injected RNA mass of 5 µg) to the channel. The separation was performed by elution program with an inject flow Vi 0.2 mL/min, detector flow </w:t>
      </w:r>
      <w:proofErr w:type="spellStart"/>
      <w:r>
        <w:rPr>
          <w:u w:val="none"/>
        </w:rPr>
        <w:t>Vd</w:t>
      </w:r>
      <w:proofErr w:type="spellEnd"/>
      <w:r>
        <w:rPr>
          <w:u w:val="none"/>
        </w:rPr>
        <w:t xml:space="preserve"> of 0.5 mL/min and crossflow Vx 4.0 mL/min. The eluted samples were detected by an Agilent 1260 variable wavelength Detector (VWD Agilent Technologies, </w:t>
      </w:r>
      <w:proofErr w:type="spellStart"/>
      <w:r>
        <w:rPr>
          <w:u w:val="none"/>
        </w:rPr>
        <w:t>Waldbronn</w:t>
      </w:r>
      <w:proofErr w:type="spellEnd"/>
      <w:r>
        <w:rPr>
          <w:u w:val="none"/>
        </w:rPr>
        <w:t>, Germany) and multi-angle light scattering (MALS) detector (</w:t>
      </w:r>
      <w:proofErr w:type="spellStart"/>
      <w:r>
        <w:rPr>
          <w:u w:val="none"/>
        </w:rPr>
        <w:t>miniDAWN</w:t>
      </w:r>
      <w:proofErr w:type="spellEnd"/>
      <w:r>
        <w:rPr>
          <w:u w:val="none"/>
        </w:rPr>
        <w:t xml:space="preserve"> TREOS, Wyatt Technology </w:t>
      </w:r>
      <w:proofErr w:type="spellStart"/>
      <w:r>
        <w:rPr>
          <w:u w:val="none"/>
        </w:rPr>
        <w:t>Corp.Santa</w:t>
      </w:r>
      <w:proofErr w:type="spellEnd"/>
      <w:r>
        <w:rPr>
          <w:u w:val="none"/>
        </w:rPr>
        <w:t xml:space="preserve"> Barbara, CA, USA) with a laser of wavelength 659 nm. The MALS detector was connected to the QUELS (</w:t>
      </w:r>
      <w:proofErr w:type="spellStart"/>
      <w:r>
        <w:rPr>
          <w:u w:val="none"/>
        </w:rPr>
        <w:t>DynaPro</w:t>
      </w:r>
      <w:proofErr w:type="spellEnd"/>
      <w:r>
        <w:rPr>
          <w:u w:val="none"/>
        </w:rPr>
        <w:t xml:space="preserve"> </w:t>
      </w:r>
      <w:proofErr w:type="spellStart"/>
      <w:r>
        <w:rPr>
          <w:u w:val="none"/>
        </w:rPr>
        <w:t>NanoStar</w:t>
      </w:r>
      <w:proofErr w:type="spellEnd"/>
      <w:r>
        <w:rPr>
          <w:u w:val="none"/>
        </w:rPr>
        <w:t xml:space="preserve">, Wyatt Technology Cor. Santa Barbara, CA, USA) via </w:t>
      </w:r>
      <w:proofErr w:type="spellStart"/>
      <w:r>
        <w:rPr>
          <w:u w:val="none"/>
        </w:rPr>
        <w:t>glas</w:t>
      </w:r>
      <w:proofErr w:type="spellEnd"/>
      <w:r>
        <w:rPr>
          <w:u w:val="none"/>
        </w:rPr>
        <w:t xml:space="preserve"> fiber. As a mobile phase, 5 mM NaCl 10mM MES pH 6.1 was used. The analysis included calculation of the molecular weight (Mw) of the single fractions by ASTRA software version 7.1.3.21 (Wyatt Technology Europe, </w:t>
      </w:r>
      <w:proofErr w:type="spellStart"/>
      <w:r>
        <w:rPr>
          <w:u w:val="none"/>
        </w:rPr>
        <w:t>Dernbach</w:t>
      </w:r>
      <w:proofErr w:type="spellEnd"/>
      <w:r>
        <w:rPr>
          <w:u w:val="none"/>
        </w:rPr>
        <w:t xml:space="preserve">, Germany) using </w:t>
      </w:r>
      <w:proofErr w:type="spellStart"/>
      <w:r>
        <w:rPr>
          <w:u w:val="none"/>
        </w:rPr>
        <w:t>Zimm</w:t>
      </w:r>
      <w:proofErr w:type="spellEnd"/>
      <w:r>
        <w:rPr>
          <w:u w:val="none"/>
        </w:rPr>
        <w:t xml:space="preserve"> plot.</w:t>
      </w:r>
    </w:p>
    <w:p w14:paraId="0F8F466F" w14:textId="77777777" w:rsidR="002400AD" w:rsidRDefault="002400AD" w:rsidP="002400AD">
      <w:pPr>
        <w:pStyle w:val="SMSubheading"/>
      </w:pPr>
    </w:p>
    <w:p w14:paraId="068DC899" w14:textId="77777777" w:rsidR="002400AD" w:rsidRDefault="002400AD" w:rsidP="002400AD">
      <w:pPr>
        <w:pStyle w:val="SMSubheading"/>
      </w:pPr>
      <w:r>
        <w:t>In Vitro Experiments</w:t>
      </w:r>
    </w:p>
    <w:p w14:paraId="085558DF" w14:textId="77777777" w:rsidR="002400AD" w:rsidRDefault="002400AD" w:rsidP="002400AD">
      <w:pPr>
        <w:pStyle w:val="SMSubheading"/>
        <w:rPr>
          <w:u w:val="none"/>
        </w:rPr>
      </w:pPr>
      <w:r>
        <w:rPr>
          <w:u w:val="none"/>
        </w:rPr>
        <w:t xml:space="preserve">C2C12 cells were grown in DMEM (Dulbecco’s Modified Eagle Medium) supplemented with 10% non-heat inactivated FCS (fetal calf serum, </w:t>
      </w:r>
      <w:proofErr w:type="spellStart"/>
      <w:r>
        <w:rPr>
          <w:u w:val="none"/>
        </w:rPr>
        <w:t>Biochrom</w:t>
      </w:r>
      <w:proofErr w:type="spellEnd"/>
      <w:r>
        <w:rPr>
          <w:u w:val="none"/>
        </w:rPr>
        <w:t xml:space="preserve">, Berlin Germany) at 37°C and 7,5% CO2 and </w:t>
      </w:r>
      <w:proofErr w:type="spellStart"/>
      <w:r>
        <w:rPr>
          <w:u w:val="none"/>
        </w:rPr>
        <w:t>subcultured</w:t>
      </w:r>
      <w:proofErr w:type="spellEnd"/>
      <w:r>
        <w:rPr>
          <w:u w:val="none"/>
        </w:rPr>
        <w:t xml:space="preserve"> using </w:t>
      </w:r>
      <w:proofErr w:type="spellStart"/>
      <w:r>
        <w:rPr>
          <w:u w:val="none"/>
        </w:rPr>
        <w:t>StemPro</w:t>
      </w:r>
      <w:proofErr w:type="spellEnd"/>
      <w:r>
        <w:rPr>
          <w:u w:val="none"/>
        </w:rPr>
        <w:t xml:space="preserve"> </w:t>
      </w:r>
      <w:proofErr w:type="spellStart"/>
      <w:r>
        <w:rPr>
          <w:u w:val="none"/>
        </w:rPr>
        <w:t>Accutase</w:t>
      </w:r>
      <w:proofErr w:type="spellEnd"/>
      <w:r>
        <w:rPr>
          <w:u w:val="none"/>
        </w:rPr>
        <w:t xml:space="preserve"> (</w:t>
      </w:r>
      <w:proofErr w:type="spellStart"/>
      <w:r>
        <w:rPr>
          <w:u w:val="none"/>
        </w:rPr>
        <w:t>Thermo</w:t>
      </w:r>
      <w:proofErr w:type="spellEnd"/>
      <w:r>
        <w:rPr>
          <w:u w:val="none"/>
        </w:rPr>
        <w:t xml:space="preserve"> Fisher Scientific, Waltham, MA, USA). Cells were seeded in 96-well plates at 5x103/well in NUNC white flat-bottom 96-well plate (Merck </w:t>
      </w:r>
      <w:proofErr w:type="spellStart"/>
      <w:r>
        <w:rPr>
          <w:u w:val="none"/>
        </w:rPr>
        <w:t>KGaA</w:t>
      </w:r>
      <w:proofErr w:type="spellEnd"/>
      <w:r>
        <w:rPr>
          <w:u w:val="none"/>
        </w:rPr>
        <w:t xml:space="preserve">, Darmstadt, Germany) and allowed to grow for 24h prior transfection. Prior transfection, cell medium is aspirated and 90µL of fresh DMEM are added to each well. Appropriate concentration of formulation was added in 10µL of formulation buffer (MGB) to have a total dose of 5ng of </w:t>
      </w:r>
      <w:proofErr w:type="spellStart"/>
      <w:r>
        <w:rPr>
          <w:u w:val="none"/>
        </w:rPr>
        <w:t>saRNA</w:t>
      </w:r>
      <w:proofErr w:type="spellEnd"/>
      <w:r>
        <w:rPr>
          <w:u w:val="none"/>
        </w:rPr>
        <w:t xml:space="preserve"> per well. After 24hrs, luciferase expression (Nano-Glo Luciferase assay, Promega, Walldorf, Germany) and cell viability (Cell-Titer Glo 2.0, Promega, Walldorf, Germany) were performed according to the manufacture’s protocol. Measurements are done in Tecan Infinite Pro200 (Tecan, </w:t>
      </w:r>
      <w:proofErr w:type="spellStart"/>
      <w:r>
        <w:rPr>
          <w:u w:val="none"/>
        </w:rPr>
        <w:t>Craislheim</w:t>
      </w:r>
      <w:proofErr w:type="spellEnd"/>
      <w:r>
        <w:rPr>
          <w:u w:val="none"/>
        </w:rPr>
        <w:t>, Germany)</w:t>
      </w:r>
    </w:p>
    <w:p w14:paraId="4D3F1AD5" w14:textId="77777777" w:rsidR="002400AD" w:rsidRDefault="002400AD" w:rsidP="002400AD">
      <w:pPr>
        <w:pStyle w:val="SMSubheading"/>
        <w:rPr>
          <w:u w:val="none"/>
        </w:rPr>
      </w:pPr>
    </w:p>
    <w:p w14:paraId="08F54396" w14:textId="77777777" w:rsidR="002400AD" w:rsidRDefault="002400AD" w:rsidP="002400AD">
      <w:pPr>
        <w:pStyle w:val="SMSubheading"/>
      </w:pPr>
      <w:r>
        <w:t>In vivo Experiments</w:t>
      </w:r>
    </w:p>
    <w:p w14:paraId="442E7BAD" w14:textId="77777777" w:rsidR="002400AD" w:rsidRDefault="002400AD" w:rsidP="002400AD">
      <w:pPr>
        <w:pStyle w:val="SMSubheading"/>
        <w:rPr>
          <w:u w:val="none"/>
        </w:rPr>
      </w:pPr>
      <w:r>
        <w:rPr>
          <w:u w:val="none"/>
        </w:rPr>
        <w:t>In total, 63 female BALB/</w:t>
      </w:r>
      <w:proofErr w:type="spellStart"/>
      <w:r>
        <w:rPr>
          <w:u w:val="none"/>
        </w:rPr>
        <w:t>cJRj</w:t>
      </w:r>
      <w:proofErr w:type="spellEnd"/>
      <w:r>
        <w:rPr>
          <w:u w:val="none"/>
        </w:rPr>
        <w:t xml:space="preserve"> mice, 8 weeks old, were used for the in vivo testing of formulations. All animals were randomly distributed into each of tested groups, no blinding was applied in the experiments. Unique animal/cage identifier was used to avoid potential confounders. </w:t>
      </w:r>
    </w:p>
    <w:p w14:paraId="464B7FCD" w14:textId="77777777" w:rsidR="002400AD" w:rsidRDefault="002400AD" w:rsidP="002400AD">
      <w:pPr>
        <w:pStyle w:val="SMSubheading"/>
        <w:rPr>
          <w:u w:val="none"/>
        </w:rPr>
      </w:pPr>
      <w:r>
        <w:rPr>
          <w:u w:val="none"/>
        </w:rPr>
        <w:t xml:space="preserve">For luciferase-based in vivo imaging, a total of 3 mice were used per tested group (n=3). Five groups received an </w:t>
      </w:r>
      <w:proofErr w:type="spellStart"/>
      <w:r>
        <w:rPr>
          <w:u w:val="none"/>
        </w:rPr>
        <w:t>i.m.</w:t>
      </w:r>
      <w:proofErr w:type="spellEnd"/>
      <w:r>
        <w:rPr>
          <w:u w:val="none"/>
        </w:rPr>
        <w:t xml:space="preserve"> injection of 20µL RNA/PEI polyplex formulation containing 62.5ng firefly luciferase-encoding </w:t>
      </w:r>
      <w:proofErr w:type="spellStart"/>
      <w:r>
        <w:rPr>
          <w:u w:val="none"/>
        </w:rPr>
        <w:t>saRNA</w:t>
      </w:r>
      <w:proofErr w:type="spellEnd"/>
      <w:r>
        <w:rPr>
          <w:u w:val="none"/>
        </w:rPr>
        <w:t xml:space="preserve"> into the musculus tibialis posterior of both legs. As a negative control, one group received MBG buffer without RNA/PEI formulation. Luminescence was measured 1, 3, 6, 9 and 15 days after injection. Mice were anesthetized in a ventilated chamber </w:t>
      </w:r>
      <w:r>
        <w:rPr>
          <w:u w:val="none"/>
        </w:rPr>
        <w:lastRenderedPageBreak/>
        <w:t xml:space="preserve">with 2.5% </w:t>
      </w:r>
      <w:proofErr w:type="spellStart"/>
      <w:r>
        <w:rPr>
          <w:u w:val="none"/>
        </w:rPr>
        <w:t>isofluorane</w:t>
      </w:r>
      <w:proofErr w:type="spellEnd"/>
      <w:r>
        <w:rPr>
          <w:u w:val="none"/>
        </w:rPr>
        <w:t xml:space="preserve"> in oxygen, and imaged 5min after the </w:t>
      </w:r>
      <w:proofErr w:type="spellStart"/>
      <w:r>
        <w:rPr>
          <w:u w:val="none"/>
        </w:rPr>
        <w:t>i.m.</w:t>
      </w:r>
      <w:proofErr w:type="spellEnd"/>
      <w:r>
        <w:rPr>
          <w:u w:val="none"/>
        </w:rPr>
        <w:t xml:space="preserve"> injection of 200µl D-Luciferin with an in vivo imaging system (</w:t>
      </w:r>
      <w:proofErr w:type="spellStart"/>
      <w:r>
        <w:rPr>
          <w:u w:val="none"/>
        </w:rPr>
        <w:t>Xenogen</w:t>
      </w:r>
      <w:proofErr w:type="spellEnd"/>
      <w:r>
        <w:rPr>
          <w:u w:val="none"/>
        </w:rPr>
        <w:t xml:space="preserve"> IVIS Spectrum, PerkinElmer, Waltham, Massachusetts). Luminescence was quantified using the Living Image software (PerkinElmer, Waltham, Massachusetts). </w:t>
      </w:r>
    </w:p>
    <w:p w14:paraId="5972C126" w14:textId="77777777" w:rsidR="002400AD" w:rsidRDefault="002400AD" w:rsidP="002400AD">
      <w:pPr>
        <w:pStyle w:val="SMSubheading"/>
        <w:rPr>
          <w:u w:val="none"/>
        </w:rPr>
      </w:pPr>
      <w:r>
        <w:rPr>
          <w:u w:val="none"/>
        </w:rPr>
        <w:t xml:space="preserve">For vaccination experiments, a total of 5 mice were used per tested group (n=5). Each group received an intramuscular injection of 20µL RNA/PEI polyplex formulation containing HA from influenza A/California/07/2009 (H1N1)-encoding </w:t>
      </w:r>
      <w:proofErr w:type="spellStart"/>
      <w:r>
        <w:rPr>
          <w:u w:val="none"/>
        </w:rPr>
        <w:t>saRNA</w:t>
      </w:r>
      <w:proofErr w:type="spellEnd"/>
      <w:r>
        <w:rPr>
          <w:u w:val="none"/>
        </w:rPr>
        <w:t xml:space="preserve"> into the right musculus tibialis posterior. N/P12 RNA/PEI formulation was used as a reference in Fig.2B and N/P120 RNA/PEI formulation at 50ng in Fig.2C for the relative comparison between the groups. Blood samples (50 µL) for serum analysis of HA-specific IgG by ELISA were collected 49 days after injection from the facial vein, under inhalation anesthesia, in heparin-coated serum tubes (BD Microtainer, Franklin Lakes, New Jersey). </w:t>
      </w:r>
    </w:p>
    <w:p w14:paraId="2268BB4E" w14:textId="77777777" w:rsidR="002400AD" w:rsidRDefault="002400AD" w:rsidP="002400AD">
      <w:pPr>
        <w:pStyle w:val="SMSubheading"/>
        <w:rPr>
          <w:u w:val="none"/>
        </w:rPr>
      </w:pPr>
      <w:r>
        <w:rPr>
          <w:u w:val="none"/>
        </w:rPr>
        <w:t>At the end of in vivo experiments, animals were euthanized in accordance with §4 of the German animal welfare act and the recommendation of GV-SOLAS by cervical dislocation. Additionally, termination criteria applied according to the recommendation of GV-SOLAS. Body weight losses exceeding 20%, or a high severity level in any of the other categories were on their own sufficient reason for immediate euthanasia.</w:t>
      </w:r>
    </w:p>
    <w:p w14:paraId="26E6536A" w14:textId="77777777" w:rsidR="002400AD" w:rsidRDefault="002400AD" w:rsidP="002400AD">
      <w:pPr>
        <w:pStyle w:val="SMSubheading"/>
      </w:pPr>
    </w:p>
    <w:p w14:paraId="6D1AC633" w14:textId="77777777" w:rsidR="002400AD" w:rsidRDefault="002400AD" w:rsidP="002400AD">
      <w:pPr>
        <w:pStyle w:val="SMSubheading"/>
      </w:pPr>
      <w:proofErr w:type="spellStart"/>
      <w:r>
        <w:t>IFNγ</w:t>
      </w:r>
      <w:proofErr w:type="spellEnd"/>
      <w:r>
        <w:t xml:space="preserve"> ELISpot Assay</w:t>
      </w:r>
    </w:p>
    <w:p w14:paraId="37327150" w14:textId="77777777" w:rsidR="002400AD" w:rsidRDefault="002400AD" w:rsidP="002400AD">
      <w:pPr>
        <w:pStyle w:val="SMSubheading"/>
        <w:rPr>
          <w:u w:val="none"/>
        </w:rPr>
      </w:pPr>
      <w:r>
        <w:rPr>
          <w:u w:val="none"/>
        </w:rPr>
        <w:t xml:space="preserve">The peptides for stimulation of splenocytes were selected based on a prediction of immunodominant peptides via database research (Immune epitope database and analysis resource, IEDB). In general, epitope prediction is based on, e.g., </w:t>
      </w:r>
      <w:proofErr w:type="spellStart"/>
      <w:r>
        <w:rPr>
          <w:u w:val="none"/>
        </w:rPr>
        <w:t>amphipathicity</w:t>
      </w:r>
      <w:proofErr w:type="spellEnd"/>
      <w:r>
        <w:rPr>
          <w:u w:val="none"/>
        </w:rPr>
        <w:t xml:space="preserve"> profile and recognized sequence motifs. The prediction method utilized by IEDB uses input protein amino acid sequences to identify binding cores, binding affinities and residues flanking peptides based on large scale systematic evaluation. Prediction is performed specifically for the major histocompatibility complex (MHC) alleles used by the defined mouse strain (mouse haplotype table; </w:t>
      </w:r>
      <w:proofErr w:type="spellStart"/>
      <w:r>
        <w:rPr>
          <w:u w:val="none"/>
        </w:rPr>
        <w:t>affymetrix</w:t>
      </w:r>
      <w:proofErr w:type="spellEnd"/>
      <w:r>
        <w:rPr>
          <w:u w:val="none"/>
        </w:rPr>
        <w:t xml:space="preserve"> </w:t>
      </w:r>
      <w:proofErr w:type="spellStart"/>
      <w:r>
        <w:rPr>
          <w:u w:val="none"/>
        </w:rPr>
        <w:t>eBioscience</w:t>
      </w:r>
      <w:proofErr w:type="spellEnd"/>
      <w:r>
        <w:rPr>
          <w:u w:val="none"/>
        </w:rPr>
        <w:t xml:space="preserve"> 56). The generated output Excel file includes percentile ranks of all listed peptides. Low percentile ranks indicate good binders, so that peptides spanning the molecule of interest with the lowest percentile ranks were chosen for peptide synthesis (JPT technologies GmbH, Berlin, Germany). Specificity for MHC I (processed by CD8+ T cells) or MHC II (processed by CD4+ T cells) was predicted by the length of the synthesized peptides (8–11 </w:t>
      </w:r>
      <w:proofErr w:type="spellStart"/>
      <w:r>
        <w:rPr>
          <w:u w:val="none"/>
        </w:rPr>
        <w:t>mers</w:t>
      </w:r>
      <w:proofErr w:type="spellEnd"/>
      <w:r>
        <w:rPr>
          <w:u w:val="none"/>
        </w:rPr>
        <w:t xml:space="preserve"> for MHC I and 13–17 </w:t>
      </w:r>
      <w:proofErr w:type="spellStart"/>
      <w:r>
        <w:rPr>
          <w:u w:val="none"/>
        </w:rPr>
        <w:t>mers</w:t>
      </w:r>
      <w:proofErr w:type="spellEnd"/>
      <w:r>
        <w:rPr>
          <w:u w:val="none"/>
        </w:rPr>
        <w:t xml:space="preserve"> for MHC II). ELISpot assay was performed using the </w:t>
      </w:r>
      <w:proofErr w:type="spellStart"/>
      <w:r>
        <w:rPr>
          <w:u w:val="none"/>
        </w:rPr>
        <w:t>Mabtech</w:t>
      </w:r>
      <w:proofErr w:type="spellEnd"/>
      <w:r>
        <w:rPr>
          <w:u w:val="none"/>
        </w:rPr>
        <w:t xml:space="preserve"> Mouse </w:t>
      </w:r>
      <w:proofErr w:type="spellStart"/>
      <w:r>
        <w:rPr>
          <w:u w:val="none"/>
        </w:rPr>
        <w:t>IFNγ</w:t>
      </w:r>
      <w:proofErr w:type="spellEnd"/>
      <w:r>
        <w:rPr>
          <w:u w:val="none"/>
        </w:rPr>
        <w:t xml:space="preserve"> </w:t>
      </w:r>
      <w:proofErr w:type="spellStart"/>
      <w:r>
        <w:rPr>
          <w:u w:val="none"/>
        </w:rPr>
        <w:t>ELISpotPLUS</w:t>
      </w:r>
      <w:proofErr w:type="spellEnd"/>
      <w:r>
        <w:rPr>
          <w:u w:val="none"/>
        </w:rPr>
        <w:t xml:space="preserve"> kit (cat. n. 3321-4APT-2, </w:t>
      </w:r>
      <w:proofErr w:type="spellStart"/>
      <w:r>
        <w:rPr>
          <w:u w:val="none"/>
        </w:rPr>
        <w:t>Mabtech</w:t>
      </w:r>
      <w:proofErr w:type="spellEnd"/>
      <w:r>
        <w:rPr>
          <w:u w:val="none"/>
        </w:rPr>
        <w:t xml:space="preserve">, Nacka Strand, Sweden). Total isolated splenocytes (5 × 105) were seeded on pre-coated ELISpot plates and stimulated with the indicated peptide pools (1µg/mL final concentration per peptide) overnight (18h) in a humidified incubator at 37°C. Splenocytes were stimulated with MHC I and MHC II-specific GP- or NP-specific peptide pools, each pool containing six predicted peptides as described in the T-cell epitope prediction section. Control measurements were performed using an irrelevant peptide pool (6mg/mL murine leukemia virus envelope glycoprotein 70 peptide </w:t>
      </w:r>
      <w:proofErr w:type="gramStart"/>
      <w:r>
        <w:rPr>
          <w:u w:val="none"/>
        </w:rPr>
        <w:t>AH1;</w:t>
      </w:r>
      <w:proofErr w:type="gramEnd"/>
      <w:r>
        <w:rPr>
          <w:u w:val="none"/>
        </w:rPr>
        <w:t xml:space="preserve"> SPSYVYHQF 57), medium only or concanavalin A (2mg/mL, cat. n. C0412, Sigma-Aldrich, Saint Louis, MO). </w:t>
      </w:r>
      <w:proofErr w:type="spellStart"/>
      <w:r>
        <w:rPr>
          <w:u w:val="none"/>
        </w:rPr>
        <w:t>IFNγ</w:t>
      </w:r>
      <w:proofErr w:type="spellEnd"/>
      <w:r>
        <w:rPr>
          <w:u w:val="none"/>
        </w:rPr>
        <w:t xml:space="preserve"> secretion was measured to assess T-cell responses. Spots were visualized with a biotin conjugated anti </w:t>
      </w:r>
      <w:proofErr w:type="spellStart"/>
      <w:r>
        <w:rPr>
          <w:u w:val="none"/>
        </w:rPr>
        <w:t>IFNγ</w:t>
      </w:r>
      <w:proofErr w:type="spellEnd"/>
      <w:r>
        <w:rPr>
          <w:u w:val="none"/>
        </w:rPr>
        <w:t xml:space="preserve"> antibody followed by incubation with streptavidin alkaline phosphatase and 5 bromo-4-chloro-3-indolyl-phosphate/nitro blue tetrazolium substrate. Plates were scanned using a CTL </w:t>
      </w:r>
      <w:proofErr w:type="spellStart"/>
      <w:r>
        <w:rPr>
          <w:u w:val="none"/>
        </w:rPr>
        <w:t>ImmunoSpot</w:t>
      </w:r>
      <w:proofErr w:type="spellEnd"/>
      <w:r>
        <w:rPr>
          <w:u w:val="none"/>
        </w:rPr>
        <w:t xml:space="preserve">® Analyzer and analyzed with the </w:t>
      </w:r>
      <w:proofErr w:type="spellStart"/>
      <w:r>
        <w:rPr>
          <w:u w:val="none"/>
        </w:rPr>
        <w:t>ImmunoCapture</w:t>
      </w:r>
      <w:proofErr w:type="spellEnd"/>
      <w:r>
        <w:rPr>
          <w:u w:val="none"/>
        </w:rPr>
        <w:t xml:space="preserve"> V6.3 software. All tests were performed in triplicates and spot counts were summarized as median values for each triplicate.</w:t>
      </w:r>
    </w:p>
    <w:p w14:paraId="2531DB5D" w14:textId="77777777" w:rsidR="002400AD" w:rsidRDefault="002400AD" w:rsidP="002400AD">
      <w:pPr>
        <w:pStyle w:val="SMSubheading"/>
      </w:pPr>
    </w:p>
    <w:p w14:paraId="04B93556" w14:textId="77777777" w:rsidR="002400AD" w:rsidRDefault="002400AD" w:rsidP="002400AD">
      <w:pPr>
        <w:pStyle w:val="SMSubheading"/>
      </w:pPr>
      <w:r>
        <w:t>ELISA assay</w:t>
      </w:r>
    </w:p>
    <w:p w14:paraId="503FE0B5" w14:textId="77777777" w:rsidR="002400AD" w:rsidRDefault="002400AD" w:rsidP="002400AD">
      <w:pPr>
        <w:pStyle w:val="SMSubheading"/>
        <w:rPr>
          <w:u w:val="none"/>
        </w:rPr>
      </w:pPr>
      <w:r>
        <w:rPr>
          <w:u w:val="none"/>
        </w:rPr>
        <w:t>Antibodies specific to HA antigen of influenza A/California/07/2009 (H1N1) were measured in sera using a standardized ELISA. Pierce Streptavidin 96-well plates (Nunc) were coated with 1µg/mL HA-biotinylated recombinant surface protein and incubated overnight at 4°C. Plates were blocked with 1% BSA in PBS/Tween0.1%. Sera were incubated for 1hour at 37°C in orbital shaker and afterwards, the plates were washed three times with PBS/Tween0.1%. Bound IgG was detected using horseradish peroxidase (HRP)-conjugated goat anti-mouse IgG (</w:t>
      </w:r>
      <w:proofErr w:type="spellStart"/>
      <w:r>
        <w:rPr>
          <w:u w:val="none"/>
        </w:rPr>
        <w:t>AbD</w:t>
      </w:r>
      <w:proofErr w:type="spellEnd"/>
      <w:r>
        <w:rPr>
          <w:u w:val="none"/>
        </w:rPr>
        <w:t xml:space="preserve"> </w:t>
      </w:r>
      <w:proofErr w:type="spellStart"/>
      <w:r>
        <w:rPr>
          <w:u w:val="none"/>
        </w:rPr>
        <w:t>Serotec</w:t>
      </w:r>
      <w:proofErr w:type="spellEnd"/>
      <w:r>
        <w:rPr>
          <w:u w:val="none"/>
        </w:rPr>
        <w:t xml:space="preserve">, Oxford, United Kingdom), after 45min of incubation at 37°C in an orbital shaker. A dilution series of recombinant murine immunoglobulin was used as a standard to quantify specific antibodies. After 8min of incubation with 3,3’,5,5’-Tetramethylbenzidine (TMB), sulfuric acid (25%) was used to stop the reaction. Optical densities were read at 450 nm and 620 nm (Epoch microplate spectrophotometer, </w:t>
      </w:r>
      <w:proofErr w:type="spellStart"/>
      <w:r>
        <w:rPr>
          <w:u w:val="none"/>
        </w:rPr>
        <w:t>BioTek</w:t>
      </w:r>
      <w:proofErr w:type="spellEnd"/>
      <w:r>
        <w:rPr>
          <w:u w:val="none"/>
        </w:rPr>
        <w:t xml:space="preserve">, Winooski, VT). Antibody concentration (IgG) was determined by four parameter logistic fit in GraphPad Prism, against an IgG standard curve.  </w:t>
      </w:r>
    </w:p>
    <w:p w14:paraId="3D9C6FFF" w14:textId="77777777" w:rsidR="002400AD" w:rsidRDefault="002400AD" w:rsidP="002400AD">
      <w:pPr>
        <w:pStyle w:val="SMSubheading"/>
        <w:rPr>
          <w:u w:val="none"/>
        </w:rPr>
      </w:pPr>
    </w:p>
    <w:p w14:paraId="35816739" w14:textId="77777777" w:rsidR="002400AD" w:rsidRDefault="002400AD" w:rsidP="002400AD">
      <w:pPr>
        <w:pStyle w:val="SMSubheading"/>
      </w:pPr>
      <w:r>
        <w:t>Small Angle X-Ray Scattering (SAXS)</w:t>
      </w:r>
    </w:p>
    <w:p w14:paraId="4061CA87" w14:textId="77777777" w:rsidR="002400AD" w:rsidRDefault="002400AD" w:rsidP="002400AD">
      <w:pPr>
        <w:pStyle w:val="SMSubheading"/>
        <w:rPr>
          <w:u w:val="none"/>
        </w:rPr>
      </w:pPr>
      <w:r>
        <w:rPr>
          <w:u w:val="none"/>
        </w:rPr>
        <w:t xml:space="preserve">SAXS measurements were conducted at the EMBL P12 </w:t>
      </w:r>
      <w:proofErr w:type="spellStart"/>
      <w:r>
        <w:rPr>
          <w:u w:val="none"/>
        </w:rPr>
        <w:t>bioSAXS</w:t>
      </w:r>
      <w:proofErr w:type="spellEnd"/>
      <w:r>
        <w:rPr>
          <w:u w:val="none"/>
        </w:rPr>
        <w:t xml:space="preserve"> beamline at PETRAR III, DESY (German Electron Synchrotron, Hamburg, Germany)(34). The measurements were conducted at an X-ray energy of 10 keV and a flux of 5 ×1012 </w:t>
      </w:r>
      <w:proofErr w:type="spellStart"/>
      <w:r>
        <w:rPr>
          <w:u w:val="none"/>
        </w:rPr>
        <w:t>ph</w:t>
      </w:r>
      <w:proofErr w:type="spellEnd"/>
      <w:r>
        <w:rPr>
          <w:u w:val="none"/>
        </w:rPr>
        <w:t xml:space="preserve">/s with an X-ray beam size at the sample position of 0.2 × 0.3 mm² (v × h, full width half maximum, FWHM) and with the help of the </w:t>
      </w:r>
      <w:proofErr w:type="spellStart"/>
      <w:r>
        <w:rPr>
          <w:u w:val="none"/>
        </w:rPr>
        <w:t>BioSAXS</w:t>
      </w:r>
      <w:proofErr w:type="spellEnd"/>
      <w:r>
        <w:rPr>
          <w:u w:val="none"/>
        </w:rPr>
        <w:t xml:space="preserve"> Sample Changer. Low volumes (30 µL) of the sample were transferred to </w:t>
      </w:r>
      <w:proofErr w:type="gramStart"/>
      <w:r>
        <w:rPr>
          <w:u w:val="none"/>
        </w:rPr>
        <w:t>an</w:t>
      </w:r>
      <w:proofErr w:type="gramEnd"/>
      <w:r>
        <w:rPr>
          <w:u w:val="none"/>
        </w:rPr>
        <w:t xml:space="preserve"> vacuum-mounted, flow-through quartz capillary using the </w:t>
      </w:r>
      <w:proofErr w:type="spellStart"/>
      <w:r>
        <w:rPr>
          <w:u w:val="none"/>
        </w:rPr>
        <w:t>BioSAXS</w:t>
      </w:r>
      <w:proofErr w:type="spellEnd"/>
      <w:r>
        <w:rPr>
          <w:u w:val="none"/>
        </w:rPr>
        <w:t xml:space="preserve"> sample changer(35, 36). Two dimensional SAXS patterns were recorded using a PILATUS 6M detector. Images of the scattering signal were processed by the SASFLOW pipeline(37): all images were radially </w:t>
      </w:r>
      <w:proofErr w:type="gramStart"/>
      <w:r>
        <w:rPr>
          <w:u w:val="none"/>
        </w:rPr>
        <w:t>averaged</w:t>
      </w:r>
      <w:proofErr w:type="gramEnd"/>
      <w:r>
        <w:rPr>
          <w:u w:val="none"/>
        </w:rPr>
        <w:t xml:space="preserve"> and the frames were compared for radiation damage, the frames not affected by radiation damage were averaged. Blank references were used to subtract the background scattering. All SAXS further analysis were performed with ATSAS© Software(38). The p(R) functions were computed with GNOM(39).</w:t>
      </w:r>
    </w:p>
    <w:p w14:paraId="02A36833" w14:textId="77777777" w:rsidR="002400AD" w:rsidRDefault="002400AD" w:rsidP="002400AD">
      <w:pPr>
        <w:pStyle w:val="SMSubheading"/>
      </w:pPr>
    </w:p>
    <w:p w14:paraId="51E1271F" w14:textId="77777777" w:rsidR="002400AD" w:rsidRDefault="002400AD" w:rsidP="002400AD">
      <w:pPr>
        <w:pStyle w:val="SMSubheading"/>
      </w:pPr>
      <w:r>
        <w:t>Small Angle Neutrons Scattering (SANS)</w:t>
      </w:r>
    </w:p>
    <w:p w14:paraId="45A6ABC0" w14:textId="77777777" w:rsidR="002400AD" w:rsidRDefault="002400AD" w:rsidP="002400AD">
      <w:pPr>
        <w:pStyle w:val="SMSubheading"/>
        <w:rPr>
          <w:u w:val="none"/>
        </w:rPr>
      </w:pPr>
      <w:r>
        <w:rPr>
          <w:u w:val="none"/>
        </w:rPr>
        <w:t>SANS measurements were conducted at ZOOM beamline, in the ISIS Neutron and Muon Source beamline in the Rutherford Appleton Laboratory (Harwell, United Kingdom), proposal number RB2000156 (DOI:10.5286/ISIS.E.RB2000156). We have used 4m sample-to-detector distance, beam size at sample position of 8mm and a typical Q-range from 0.004Å-1 to 0.8Å-1 set by time-of-flight mode with wavelengths from 1.75Å to 16.5Å. The samples were placed inside a quartz cuvette on a multiple slot sample changer with controlled temperature of 20°C. We have subtracted the background and normalized the scattering intensity to the absolute scale. Data reduction was made using Mantid framework(40).</w:t>
      </w:r>
    </w:p>
    <w:p w14:paraId="2617CD47" w14:textId="77777777" w:rsidR="002400AD" w:rsidRDefault="002400AD" w:rsidP="002400AD">
      <w:pPr>
        <w:pStyle w:val="SMSubheading"/>
      </w:pPr>
    </w:p>
    <w:p w14:paraId="7A2ADF2D" w14:textId="77777777" w:rsidR="002400AD" w:rsidRDefault="002400AD" w:rsidP="002400AD">
      <w:pPr>
        <w:pStyle w:val="SMSubheading"/>
      </w:pPr>
      <w:r>
        <w:t>Automated High-Throughput Circular Dichroism (CD) Spectroscopy</w:t>
      </w:r>
    </w:p>
    <w:p w14:paraId="59C0BF00" w14:textId="77777777" w:rsidR="002400AD" w:rsidRDefault="002400AD" w:rsidP="002400AD">
      <w:pPr>
        <w:pStyle w:val="SMSubheading"/>
        <w:rPr>
          <w:u w:val="none"/>
        </w:rPr>
      </w:pPr>
      <w:r>
        <w:rPr>
          <w:u w:val="none"/>
        </w:rPr>
        <w:t xml:space="preserve">CD spectrum measurements were conducted with a J-1500 CD Spectrometer (JASCO, Inc.). 175µL of the sample were transferred to a 96-PCR Platte. Standard measurement parameters in a 2 mm cell path length: 200-310 nm wavelength range, 0.1 nm data acquisition interval, 4sec response, continuous scanning mode with 50nm/min scan speed and 1 nm bandwidth. The HT Module parameters were set for acquisition of 150µl sample volume and injection of 575 µL air </w:t>
      </w:r>
      <w:r>
        <w:rPr>
          <w:u w:val="none"/>
        </w:rPr>
        <w:lastRenderedPageBreak/>
        <w:t xml:space="preserve">to deliver the sample to the cell. Flushing between samples was done sequentially with 2x 200µL water, 2x 200µL </w:t>
      </w:r>
      <w:proofErr w:type="spellStart"/>
      <w:r>
        <w:rPr>
          <w:u w:val="none"/>
        </w:rPr>
        <w:t>EtOH:water</w:t>
      </w:r>
      <w:proofErr w:type="spellEnd"/>
      <w:r>
        <w:rPr>
          <w:u w:val="none"/>
        </w:rPr>
        <w:t xml:space="preserve"> (1:1) and 2x 200µL EtOH (96%). The drying of the tubing is set to 200sec. Blank references were used to subtract the background. Data analysis was performed with Spectra Manager Software (JASCO, Inc).</w:t>
      </w:r>
    </w:p>
    <w:p w14:paraId="526C545E" w14:textId="77777777" w:rsidR="002400AD" w:rsidRDefault="002400AD" w:rsidP="002400AD">
      <w:pPr>
        <w:pStyle w:val="SMSubheading"/>
        <w:rPr>
          <w:u w:val="none"/>
        </w:rPr>
      </w:pPr>
    </w:p>
    <w:p w14:paraId="20ED6D2C" w14:textId="77777777" w:rsidR="002400AD" w:rsidRDefault="002400AD" w:rsidP="002400AD">
      <w:pPr>
        <w:pStyle w:val="SMSubheading"/>
      </w:pPr>
      <w:r>
        <w:t xml:space="preserve">RNA Integrity measurements </w:t>
      </w:r>
    </w:p>
    <w:p w14:paraId="4F81EE5A" w14:textId="77777777" w:rsidR="002400AD" w:rsidRDefault="002400AD" w:rsidP="002400AD">
      <w:pPr>
        <w:pStyle w:val="SMSubheading"/>
        <w:rPr>
          <w:u w:val="none"/>
        </w:rPr>
      </w:pPr>
      <w:r>
        <w:rPr>
          <w:u w:val="none"/>
        </w:rPr>
        <w:t xml:space="preserve">RNA integrity measurements are </w:t>
      </w:r>
      <w:proofErr w:type="spellStart"/>
      <w:r>
        <w:rPr>
          <w:u w:val="none"/>
        </w:rPr>
        <w:t>perfomed</w:t>
      </w:r>
      <w:proofErr w:type="spellEnd"/>
      <w:r>
        <w:rPr>
          <w:u w:val="none"/>
        </w:rPr>
        <w:t xml:space="preserve"> using capillary electrophoresis (Fragment Analyzer, Agilent) using standard sensitivity kit (DNF-471-0500) from the released RNA. Analysis was </w:t>
      </w:r>
      <w:proofErr w:type="spellStart"/>
      <w:r>
        <w:rPr>
          <w:u w:val="none"/>
        </w:rPr>
        <w:t>perfomed</w:t>
      </w:r>
      <w:proofErr w:type="spellEnd"/>
      <w:r>
        <w:rPr>
          <w:u w:val="none"/>
        </w:rPr>
        <w:t xml:space="preserve"> using </w:t>
      </w:r>
      <w:proofErr w:type="spellStart"/>
      <w:r>
        <w:rPr>
          <w:u w:val="none"/>
        </w:rPr>
        <w:t>ProSize</w:t>
      </w:r>
      <w:proofErr w:type="spellEnd"/>
      <w:r>
        <w:rPr>
          <w:u w:val="none"/>
        </w:rPr>
        <w:t xml:space="preserve"> 3.0</w:t>
      </w:r>
    </w:p>
    <w:p w14:paraId="46A1C378" w14:textId="77777777" w:rsidR="002400AD" w:rsidRDefault="002400AD" w:rsidP="002400AD">
      <w:pPr>
        <w:pStyle w:val="SMSubheading"/>
        <w:rPr>
          <w:u w:val="none"/>
        </w:rPr>
      </w:pPr>
    </w:p>
    <w:p w14:paraId="46D4A517" w14:textId="77777777" w:rsidR="002400AD" w:rsidRDefault="002400AD" w:rsidP="002400AD">
      <w:pPr>
        <w:pStyle w:val="SMSubheading"/>
        <w:rPr>
          <w:u w:val="single"/>
        </w:rPr>
      </w:pPr>
      <w:r>
        <w:rPr>
          <w:u w:val="single"/>
        </w:rPr>
        <w:t>Human Serum Incubation</w:t>
      </w:r>
    </w:p>
    <w:p w14:paraId="66CE3CAB" w14:textId="77777777" w:rsidR="002400AD" w:rsidRDefault="002400AD" w:rsidP="002400AD">
      <w:pPr>
        <w:pStyle w:val="SMSubheading"/>
        <w:rPr>
          <w:u w:val="none"/>
        </w:rPr>
      </w:pPr>
      <w:proofErr w:type="spellStart"/>
      <w:r>
        <w:rPr>
          <w:u w:val="none"/>
        </w:rPr>
        <w:t>saRNA</w:t>
      </w:r>
      <w:proofErr w:type="spellEnd"/>
      <w:r>
        <w:rPr>
          <w:u w:val="none"/>
        </w:rPr>
        <w:t xml:space="preserve"> protection against </w:t>
      </w:r>
      <w:proofErr w:type="spellStart"/>
      <w:r>
        <w:rPr>
          <w:u w:val="none"/>
        </w:rPr>
        <w:t>RNAses</w:t>
      </w:r>
      <w:proofErr w:type="spellEnd"/>
      <w:r>
        <w:rPr>
          <w:u w:val="none"/>
        </w:rPr>
        <w:t xml:space="preserve"> can be evaluated by serum incubation, as </w:t>
      </w:r>
      <w:proofErr w:type="spellStart"/>
      <w:r>
        <w:rPr>
          <w:u w:val="none"/>
        </w:rPr>
        <w:t>saRNA</w:t>
      </w:r>
      <w:proofErr w:type="spellEnd"/>
      <w:r>
        <w:rPr>
          <w:u w:val="none"/>
        </w:rPr>
        <w:t xml:space="preserve">, </w:t>
      </w:r>
      <w:proofErr w:type="gramStart"/>
      <w:r>
        <w:rPr>
          <w:u w:val="none"/>
        </w:rPr>
        <w:t>similar to</w:t>
      </w:r>
      <w:proofErr w:type="gramEnd"/>
      <w:r>
        <w:rPr>
          <w:u w:val="none"/>
        </w:rPr>
        <w:t xml:space="preserve"> other RNAs, degrades very promptly in serum. Human serum was purchased from Sigma-Aldrich and a solution was prepared to dilute the samples in MBG5% (D-Glucose 5% w/v, 10mM MES, pH6.1) to a final concentration of 0.05mg/mL and 10% v/v human serum. Negative controls are incubated in MBG5%. The samples are incubated at 37°C for 30min and afterwards cooled down in a 4°C bath for 10min. Samples where the RNA is further released incorporated the corresponding amount of heparin (10fold concentration of sulfates to amines) into the sample during the 10min incubation at 4°C. For the preparation of the agarose gel, 100ml of 1% Agarose in TAE Buffer is used. 10µl of </w:t>
      </w:r>
      <w:proofErr w:type="spellStart"/>
      <w:r>
        <w:rPr>
          <w:u w:val="none"/>
        </w:rPr>
        <w:t>GelRed</w:t>
      </w:r>
      <w:proofErr w:type="spellEnd"/>
      <w:r>
        <w:rPr>
          <w:u w:val="none"/>
        </w:rPr>
        <w:t xml:space="preserve"> are added prior gel solidification for RNA fluorescent labeling. Each sample containing 1µg of RNA is diluted with gel loading buffer to a final volume of 24µl that is loaded into each well of the agarose gel. The samples then  run at 80V, 50mA for 40 min. UV-fluorescence is measured after 0.5 seconds of exposure time to enhance the visibility of faint bands.</w:t>
      </w:r>
    </w:p>
    <w:p w14:paraId="10FA59BF" w14:textId="77777777" w:rsidR="002400AD" w:rsidRDefault="002400AD" w:rsidP="002400AD">
      <w:pPr>
        <w:pStyle w:val="SMSubheading"/>
        <w:rPr>
          <w:u w:val="none"/>
        </w:rPr>
      </w:pPr>
    </w:p>
    <w:p w14:paraId="6F519DE5" w14:textId="77777777" w:rsidR="002400AD" w:rsidRDefault="002400AD" w:rsidP="002400AD">
      <w:pPr>
        <w:pStyle w:val="SMSubheading"/>
      </w:pPr>
      <w:r>
        <w:t>Statistics</w:t>
      </w:r>
    </w:p>
    <w:p w14:paraId="29234C29" w14:textId="77777777" w:rsidR="002400AD" w:rsidRDefault="002400AD" w:rsidP="002400AD">
      <w:pPr>
        <w:pStyle w:val="SMSubheading"/>
        <w:rPr>
          <w:u w:val="none"/>
        </w:rPr>
      </w:pPr>
      <w:r>
        <w:rPr>
          <w:u w:val="none"/>
        </w:rPr>
        <w:t>As long nothing otherwise is stated, data are presented as mean ± standard error of the mean, whereas in the figure legends, n is the number of independent experimental replicates and x is the number of is the number of independent replicates per group.</w:t>
      </w:r>
    </w:p>
    <w:p w14:paraId="4A2D7F03" w14:textId="77777777" w:rsidR="002400AD" w:rsidRDefault="002400AD" w:rsidP="002400AD">
      <w:pPr>
        <w:rPr>
          <w:u w:val="words"/>
        </w:rPr>
      </w:pPr>
      <w:r>
        <w:br w:type="page"/>
      </w:r>
    </w:p>
    <w:p w14:paraId="4E6E5FD2" w14:textId="77777777" w:rsidR="002400AD" w:rsidRDefault="002400AD" w:rsidP="002400AD">
      <w:pPr>
        <w:pStyle w:val="SMHeading"/>
      </w:pPr>
      <w:r>
        <w:lastRenderedPageBreak/>
        <w:t>Supplementary Figures</w:t>
      </w:r>
    </w:p>
    <w:p w14:paraId="7B5ECAEF" w14:textId="77777777" w:rsidR="002400AD" w:rsidRDefault="002400AD" w:rsidP="002400AD">
      <w:pPr>
        <w:pStyle w:val="SMText"/>
      </w:pPr>
    </w:p>
    <w:p w14:paraId="7E9C363F" w14:textId="77777777" w:rsidR="002400AD" w:rsidRDefault="002400AD" w:rsidP="002400AD">
      <w:pPr>
        <w:pStyle w:val="SMText"/>
      </w:pPr>
    </w:p>
    <w:p w14:paraId="49D9FFCE" w14:textId="77777777" w:rsidR="002400AD" w:rsidRDefault="002400AD" w:rsidP="002400AD">
      <w:pPr>
        <w:pStyle w:val="SMHeading"/>
        <w:rPr>
          <w:noProof/>
        </w:rPr>
      </w:pPr>
      <w:r>
        <w:rPr>
          <w:noProof/>
        </w:rPr>
        <w:object w:dxaOrig="8208" w:dyaOrig="8496" w14:anchorId="16B65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424.5pt" o:ole="">
            <v:imagedata r:id="rId4" o:title=""/>
          </v:shape>
          <o:OLEObject Type="Embed" ProgID="Prism9.Document" ShapeID="_x0000_i1025" DrawAspect="Content" ObjectID="_1729686103" r:id="rId5"/>
        </w:object>
      </w:r>
    </w:p>
    <w:p w14:paraId="4B37517C" w14:textId="77777777" w:rsidR="002400AD" w:rsidRDefault="002400AD" w:rsidP="002400AD">
      <w:pPr>
        <w:pStyle w:val="SMHeading"/>
      </w:pPr>
      <w:r>
        <w:t xml:space="preserve">Fig. S1.Formation of single RNA compacted species follows the same principles for mRNA as for </w:t>
      </w:r>
      <w:proofErr w:type="spellStart"/>
      <w:r>
        <w:t>saRNA</w:t>
      </w:r>
      <w:proofErr w:type="spellEnd"/>
      <w:r>
        <w:t xml:space="preserve">. </w:t>
      </w:r>
      <w:r>
        <w:rPr>
          <w:b w:val="0"/>
          <w:bCs w:val="0"/>
        </w:rPr>
        <w:t xml:space="preserve">Canonical non-modified mRNA was investigated under identical conditions as the previously reported data for </w:t>
      </w:r>
      <w:proofErr w:type="spellStart"/>
      <w:r>
        <w:rPr>
          <w:b w:val="0"/>
          <w:bCs w:val="0"/>
        </w:rPr>
        <w:t>saRNA</w:t>
      </w:r>
      <w:proofErr w:type="spellEnd"/>
      <w:r>
        <w:rPr>
          <w:b w:val="0"/>
          <w:bCs w:val="0"/>
        </w:rPr>
        <w:t>. (S1a) free RNA quantification under different N/P ratios is studied via agarose gel electrophoresis (n=3, x=2). (S1b) fraction of monomeric mRNA in solution determined via a combined centrifugation and UV-absorption assay (n=4, x=2). (S1c) hydrodynamic diameter of the different tested N/P ratios measured with dynamic light scattering (n=3, x=2). (S1d) luciferase mRNA expression after 24hrs of transfection in C2C12 cells (n=3, x=3). (S1e) viability of C2C12 cells after 24 hours of transfections with different N/P ratios</w:t>
      </w:r>
    </w:p>
    <w:p w14:paraId="243DDF1C" w14:textId="77777777" w:rsidR="002400AD" w:rsidRDefault="002400AD" w:rsidP="002400AD">
      <w:r>
        <w:br w:type="page"/>
      </w:r>
    </w:p>
    <w:p w14:paraId="74A4FF93" w14:textId="77777777" w:rsidR="002400AD" w:rsidRDefault="002400AD" w:rsidP="002400AD">
      <w:pPr>
        <w:pStyle w:val="SMHeading"/>
        <w:rPr>
          <w:noProof/>
        </w:rPr>
      </w:pPr>
      <w:r>
        <w:rPr>
          <w:noProof/>
        </w:rPr>
        <w:object w:dxaOrig="8928" w:dyaOrig="8928" w14:anchorId="6C977EFF">
          <v:shape id="_x0000_i1026" type="#_x0000_t75" style="width:446.25pt;height:446.25pt" o:ole="">
            <v:imagedata r:id="rId6" o:title=""/>
          </v:shape>
          <o:OLEObject Type="Embed" ProgID="Prism9.Document" ShapeID="_x0000_i1026" DrawAspect="Content" ObjectID="_1729686104" r:id="rId7"/>
        </w:object>
      </w:r>
    </w:p>
    <w:p w14:paraId="78ED9266" w14:textId="77777777" w:rsidR="002400AD" w:rsidRDefault="002400AD" w:rsidP="002400AD">
      <w:pPr>
        <w:pStyle w:val="SMHeading"/>
        <w:rPr>
          <w:b w:val="0"/>
          <w:bCs w:val="0"/>
        </w:rPr>
      </w:pPr>
      <w:r>
        <w:t xml:space="preserve">Fig. S2.Polyethyleneimine (PEI) length effect in the formation of single </w:t>
      </w:r>
      <w:proofErr w:type="spellStart"/>
      <w:r>
        <w:t>saRNA</w:t>
      </w:r>
      <w:proofErr w:type="spellEnd"/>
      <w:r>
        <w:t xml:space="preserve"> compacted species. </w:t>
      </w:r>
      <w:r>
        <w:rPr>
          <w:b w:val="0"/>
          <w:bCs w:val="0"/>
        </w:rPr>
        <w:t>(S2a) table of different linear PEI lengths, indicated as polymerization degree or repetitive units (</w:t>
      </w:r>
      <w:proofErr w:type="spellStart"/>
      <w:r>
        <w:rPr>
          <w:b w:val="0"/>
          <w:bCs w:val="0"/>
        </w:rPr>
        <w:t>ru</w:t>
      </w:r>
      <w:proofErr w:type="spellEnd"/>
      <w:r>
        <w:rPr>
          <w:b w:val="0"/>
          <w:bCs w:val="0"/>
        </w:rPr>
        <w:t xml:space="preserve">), with their respective molecular weight and polydispersity (PDI). (S2b) free RNA quantification under different N/P ratios studied via agarose gel electrophoresis for each of the different PEI lengths (n=3, x=2). (S2c) fraction of monomeric </w:t>
      </w:r>
      <w:proofErr w:type="spellStart"/>
      <w:r>
        <w:rPr>
          <w:b w:val="0"/>
          <w:bCs w:val="0"/>
        </w:rPr>
        <w:t>saRNA</w:t>
      </w:r>
      <w:proofErr w:type="spellEnd"/>
      <w:r>
        <w:rPr>
          <w:b w:val="0"/>
          <w:bCs w:val="0"/>
        </w:rPr>
        <w:t xml:space="preserve"> in solution determined via a combined centrifugation and UV-absorption assay after formulating </w:t>
      </w:r>
      <w:proofErr w:type="spellStart"/>
      <w:r>
        <w:rPr>
          <w:b w:val="0"/>
          <w:bCs w:val="0"/>
        </w:rPr>
        <w:t>saRNA</w:t>
      </w:r>
      <w:proofErr w:type="spellEnd"/>
      <w:r>
        <w:rPr>
          <w:b w:val="0"/>
          <w:bCs w:val="0"/>
        </w:rPr>
        <w:t xml:space="preserve"> at N/P120 with different PEI lengths (n=2, x=2). (S2d) Calculation of the N/P ratio at which 50% of the </w:t>
      </w:r>
      <w:proofErr w:type="spellStart"/>
      <w:r>
        <w:rPr>
          <w:b w:val="0"/>
          <w:bCs w:val="0"/>
        </w:rPr>
        <w:t>saRNA</w:t>
      </w:r>
      <w:proofErr w:type="spellEnd"/>
      <w:r>
        <w:rPr>
          <w:b w:val="0"/>
          <w:bCs w:val="0"/>
        </w:rPr>
        <w:t xml:space="preserve"> is found free for the different tested PEI lengths in S2b. (S2e) luciferase </w:t>
      </w:r>
      <w:proofErr w:type="spellStart"/>
      <w:r>
        <w:rPr>
          <w:b w:val="0"/>
          <w:bCs w:val="0"/>
        </w:rPr>
        <w:t>saRNA</w:t>
      </w:r>
      <w:proofErr w:type="spellEnd"/>
      <w:r>
        <w:rPr>
          <w:b w:val="0"/>
          <w:bCs w:val="0"/>
        </w:rPr>
        <w:t xml:space="preserve"> expression after 24hrs of transfection in C2C12 cells with </w:t>
      </w:r>
      <w:proofErr w:type="spellStart"/>
      <w:r>
        <w:rPr>
          <w:b w:val="0"/>
          <w:bCs w:val="0"/>
        </w:rPr>
        <w:t>saRNA</w:t>
      </w:r>
      <w:proofErr w:type="spellEnd"/>
      <w:r>
        <w:rPr>
          <w:b w:val="0"/>
          <w:bCs w:val="0"/>
        </w:rPr>
        <w:t xml:space="preserve"> formulated at N/P120 with different PEI lengths (n=2, x=3). (S2f) Luciferase expression in the muscle at peak expression- day 6- in the region of interest (muscle) after injecting 125ng of </w:t>
      </w:r>
      <w:proofErr w:type="spellStart"/>
      <w:r>
        <w:rPr>
          <w:b w:val="0"/>
          <w:bCs w:val="0"/>
        </w:rPr>
        <w:t>saRNA</w:t>
      </w:r>
      <w:proofErr w:type="spellEnd"/>
      <w:r>
        <w:rPr>
          <w:b w:val="0"/>
          <w:bCs w:val="0"/>
        </w:rPr>
        <w:t xml:space="preserve"> at N/P120 with different PEI lengths.</w:t>
      </w:r>
    </w:p>
    <w:p w14:paraId="4D1657C1" w14:textId="77777777" w:rsidR="002400AD" w:rsidRDefault="002400AD" w:rsidP="002400AD">
      <w:pPr>
        <w:rPr>
          <w:kern w:val="32"/>
          <w:szCs w:val="24"/>
        </w:rPr>
      </w:pPr>
      <w:r>
        <w:rPr>
          <w:b/>
          <w:bCs/>
        </w:rPr>
        <w:br w:type="page"/>
      </w:r>
    </w:p>
    <w:p w14:paraId="6D3154F6" w14:textId="77777777" w:rsidR="002400AD" w:rsidRDefault="002400AD" w:rsidP="002400AD">
      <w:pPr>
        <w:pStyle w:val="SMHeading"/>
        <w:rPr>
          <w:noProof/>
        </w:rPr>
      </w:pPr>
      <w:r>
        <w:rPr>
          <w:noProof/>
        </w:rPr>
        <w:object w:dxaOrig="8352" w:dyaOrig="3888" w14:anchorId="0AEFDCA0">
          <v:shape id="_x0000_i1027" type="#_x0000_t75" style="width:417.75pt;height:194.25pt" o:ole="">
            <v:imagedata r:id="rId8" o:title=""/>
          </v:shape>
          <o:OLEObject Type="Embed" ProgID="Prism9.Document" ShapeID="_x0000_i1027" DrawAspect="Content" ObjectID="_1729686105" r:id="rId9"/>
        </w:object>
      </w:r>
    </w:p>
    <w:p w14:paraId="18955702" w14:textId="77777777" w:rsidR="002400AD" w:rsidRDefault="002400AD" w:rsidP="002400AD">
      <w:pPr>
        <w:pStyle w:val="SMHeading"/>
        <w:rPr>
          <w:b w:val="0"/>
          <w:bCs w:val="0"/>
        </w:rPr>
      </w:pPr>
      <w:r>
        <w:t xml:space="preserve">Fig. S3. In-House Centrifugation and Analytical Centrifugation based quantification of monomeric RNA species. </w:t>
      </w:r>
      <w:r>
        <w:rPr>
          <w:b w:val="0"/>
          <w:bCs w:val="0"/>
        </w:rPr>
        <w:t xml:space="preserve">(S3a) The fraction of monomeric </w:t>
      </w:r>
      <w:proofErr w:type="spellStart"/>
      <w:r>
        <w:rPr>
          <w:b w:val="0"/>
          <w:bCs w:val="0"/>
        </w:rPr>
        <w:t>saRNA</w:t>
      </w:r>
      <w:proofErr w:type="spellEnd"/>
      <w:r>
        <w:rPr>
          <w:b w:val="0"/>
          <w:bCs w:val="0"/>
        </w:rPr>
        <w:t xml:space="preserve"> quantified with analytical centrifugation at different N/Ps compared to the in-house centrifugation assay. (S3b) the amount of RNA and PEI which is </w:t>
      </w:r>
      <w:proofErr w:type="spellStart"/>
      <w:r>
        <w:rPr>
          <w:b w:val="0"/>
          <w:bCs w:val="0"/>
        </w:rPr>
        <w:t>sedimenting</w:t>
      </w:r>
      <w:proofErr w:type="spellEnd"/>
      <w:r>
        <w:rPr>
          <w:b w:val="0"/>
          <w:bCs w:val="0"/>
        </w:rPr>
        <w:t xml:space="preserve"> with respect to the total, after using centrifugation assay, allows to determine the N/P ratio of the co-precipitation by measuring RNA concentration and PEI concentration of the supernatant and precipitate fraction over the course of the experiment.</w:t>
      </w:r>
    </w:p>
    <w:p w14:paraId="3437A219" w14:textId="77777777" w:rsidR="002400AD" w:rsidRDefault="002400AD" w:rsidP="002400AD">
      <w:pPr>
        <w:rPr>
          <w:kern w:val="32"/>
          <w:szCs w:val="24"/>
        </w:rPr>
      </w:pPr>
      <w:r>
        <w:rPr>
          <w:b/>
          <w:bCs/>
        </w:rPr>
        <w:br w:type="page"/>
      </w:r>
    </w:p>
    <w:p w14:paraId="55525FAA" w14:textId="77777777" w:rsidR="002400AD" w:rsidRDefault="002400AD" w:rsidP="002400AD">
      <w:pPr>
        <w:pStyle w:val="SMHeading"/>
      </w:pPr>
      <w:r>
        <w:object w:dxaOrig="5904" w:dyaOrig="6768" w14:anchorId="2EEF8D77">
          <v:shape id="_x0000_i1028" type="#_x0000_t75" style="width:295.5pt;height:338.25pt" o:ole="">
            <v:imagedata r:id="rId10" o:title=""/>
          </v:shape>
          <o:OLEObject Type="Embed" ProgID="Prism9.Document" ShapeID="_x0000_i1028" DrawAspect="Content" ObjectID="_1729686106" r:id="rId11"/>
        </w:object>
      </w:r>
    </w:p>
    <w:p w14:paraId="542CDAA4" w14:textId="77777777" w:rsidR="002400AD" w:rsidRDefault="002400AD" w:rsidP="002400AD">
      <w:pPr>
        <w:pStyle w:val="SMHeading"/>
        <w:rPr>
          <w:b w:val="0"/>
          <w:bCs w:val="0"/>
        </w:rPr>
      </w:pPr>
      <w:r>
        <w:t xml:space="preserve">Fig. S4. Small angle scattering analysis of single </w:t>
      </w:r>
      <w:proofErr w:type="spellStart"/>
      <w:r>
        <w:t>saRNA</w:t>
      </w:r>
      <w:proofErr w:type="spellEnd"/>
      <w:r>
        <w:t xml:space="preserve"> compacted species either with PEI, in a 50mM NaCl solution or in H</w:t>
      </w:r>
      <w:r>
        <w:rPr>
          <w:vertAlign w:val="subscript"/>
        </w:rPr>
        <w:t>2</w:t>
      </w:r>
      <w:r>
        <w:t xml:space="preserve">O. </w:t>
      </w:r>
      <w:r>
        <w:rPr>
          <w:b w:val="0"/>
          <w:bCs w:val="0"/>
        </w:rPr>
        <w:t xml:space="preserve">Single </w:t>
      </w:r>
      <w:proofErr w:type="spellStart"/>
      <w:r>
        <w:rPr>
          <w:b w:val="0"/>
          <w:bCs w:val="0"/>
        </w:rPr>
        <w:t>saRNA</w:t>
      </w:r>
      <w:proofErr w:type="spellEnd"/>
      <w:r>
        <w:rPr>
          <w:b w:val="0"/>
          <w:bCs w:val="0"/>
        </w:rPr>
        <w:t xml:space="preserve"> species compacted in PEI were isolated after centrifugation assay and reconcentrated to 0.2mg/</w:t>
      </w:r>
      <w:proofErr w:type="spellStart"/>
      <w:r>
        <w:rPr>
          <w:b w:val="0"/>
          <w:bCs w:val="0"/>
        </w:rPr>
        <w:t>mL.</w:t>
      </w:r>
      <w:proofErr w:type="spellEnd"/>
      <w:r>
        <w:rPr>
          <w:b w:val="0"/>
          <w:bCs w:val="0"/>
        </w:rPr>
        <w:t xml:space="preserve"> (S4a) Kratky Plot (</w:t>
      </w:r>
      <w:r>
        <w:rPr>
          <w:b w:val="0"/>
          <w:bCs w:val="0"/>
          <w:i/>
          <w:iCs/>
        </w:rPr>
        <w:t>q</w:t>
      </w:r>
      <w:r>
        <w:rPr>
          <w:b w:val="0"/>
          <w:bCs w:val="0"/>
          <w:i/>
          <w:iCs/>
          <w:vertAlign w:val="superscript"/>
        </w:rPr>
        <w:t>2</w:t>
      </w:r>
      <w:r>
        <w:rPr>
          <w:b w:val="0"/>
          <w:bCs w:val="0"/>
          <w:i/>
          <w:iCs/>
        </w:rPr>
        <w:t>I(q) vs q</w:t>
      </w:r>
      <w:r>
        <w:rPr>
          <w:b w:val="0"/>
          <w:bCs w:val="0"/>
        </w:rPr>
        <w:t>), derived from the SAXS profiles. The bell-shaped curve for the PEI sample reflects the compact shape, while RNA with NaCl is more extend and pure RNA reflects a rather stiff polymer.  (S4b) Guinier plot</w:t>
      </w:r>
      <w:bookmarkStart w:id="2" w:name="OLE_LINK1"/>
      <w:r>
        <w:rPr>
          <w:b w:val="0"/>
          <w:bCs w:val="0"/>
        </w:rPr>
        <w:t xml:space="preserve"> (ln(</w:t>
      </w:r>
      <w:r>
        <w:rPr>
          <w:b w:val="0"/>
          <w:bCs w:val="0"/>
          <w:i/>
          <w:iCs/>
        </w:rPr>
        <w:t>I</w:t>
      </w:r>
      <w:r>
        <w:rPr>
          <w:b w:val="0"/>
          <w:bCs w:val="0"/>
        </w:rPr>
        <w:t>(</w:t>
      </w:r>
      <w:r>
        <w:rPr>
          <w:b w:val="0"/>
          <w:bCs w:val="0"/>
          <w:i/>
          <w:iCs/>
        </w:rPr>
        <w:t>q</w:t>
      </w:r>
      <w:r>
        <w:rPr>
          <w:b w:val="0"/>
          <w:bCs w:val="0"/>
        </w:rPr>
        <w:t xml:space="preserve">)) vs. </w:t>
      </w:r>
      <w:r>
        <w:rPr>
          <w:b w:val="0"/>
          <w:bCs w:val="0"/>
          <w:i/>
          <w:iCs/>
        </w:rPr>
        <w:t>q</w:t>
      </w:r>
      <w:r>
        <w:rPr>
          <w:b w:val="0"/>
          <w:bCs w:val="0"/>
          <w:vertAlign w:val="superscript"/>
        </w:rPr>
        <w:t>2</w:t>
      </w:r>
      <w:r>
        <w:rPr>
          <w:b w:val="0"/>
          <w:bCs w:val="0"/>
        </w:rPr>
        <w:t>), derived from SAXS profiles in Fig3Aa</w:t>
      </w:r>
      <w:bookmarkEnd w:id="2"/>
      <w:r>
        <w:rPr>
          <w:b w:val="0"/>
          <w:bCs w:val="0"/>
        </w:rPr>
        <w:t xml:space="preserve">. The different size is reflected by a steeper decay for pure RNA. The linear slope for RNA with PEI reveals the absence of any large aggregates. (S4c) Small angle neutrons scattering (SANS) analysis of single </w:t>
      </w:r>
      <w:proofErr w:type="spellStart"/>
      <w:r>
        <w:rPr>
          <w:b w:val="0"/>
          <w:bCs w:val="0"/>
        </w:rPr>
        <w:t>saRNA</w:t>
      </w:r>
      <w:proofErr w:type="spellEnd"/>
      <w:r>
        <w:rPr>
          <w:b w:val="0"/>
          <w:bCs w:val="0"/>
        </w:rPr>
        <w:t xml:space="preserve"> species isolated after centrifugation assay after preparation in either pure H</w:t>
      </w:r>
      <w:r>
        <w:rPr>
          <w:b w:val="0"/>
          <w:bCs w:val="0"/>
          <w:vertAlign w:val="subscript"/>
        </w:rPr>
        <w:t>2</w:t>
      </w:r>
      <w:r>
        <w:rPr>
          <w:b w:val="0"/>
          <w:bCs w:val="0"/>
        </w:rPr>
        <w:t>O or D</w:t>
      </w:r>
      <w:r>
        <w:rPr>
          <w:b w:val="0"/>
          <w:bCs w:val="0"/>
          <w:vertAlign w:val="subscript"/>
        </w:rPr>
        <w:t>2</w:t>
      </w:r>
      <w:r>
        <w:rPr>
          <w:b w:val="0"/>
          <w:bCs w:val="0"/>
        </w:rPr>
        <w:t>O. The different percentage of D</w:t>
      </w:r>
      <w:r>
        <w:rPr>
          <w:b w:val="0"/>
          <w:bCs w:val="0"/>
          <w:vertAlign w:val="subscript"/>
        </w:rPr>
        <w:t>2</w:t>
      </w:r>
      <w:r>
        <w:rPr>
          <w:b w:val="0"/>
          <w:bCs w:val="0"/>
        </w:rPr>
        <w:t>O are reached after appropriate mixing of both solutions. (S4d) Guinier plot (ln(</w:t>
      </w:r>
      <w:r>
        <w:rPr>
          <w:b w:val="0"/>
          <w:bCs w:val="0"/>
          <w:i/>
          <w:iCs/>
        </w:rPr>
        <w:t>I</w:t>
      </w:r>
      <w:r>
        <w:rPr>
          <w:b w:val="0"/>
          <w:bCs w:val="0"/>
        </w:rPr>
        <w:t>(</w:t>
      </w:r>
      <w:r>
        <w:rPr>
          <w:b w:val="0"/>
          <w:bCs w:val="0"/>
          <w:i/>
          <w:iCs/>
        </w:rPr>
        <w:t>q</w:t>
      </w:r>
      <w:r>
        <w:rPr>
          <w:b w:val="0"/>
          <w:bCs w:val="0"/>
        </w:rPr>
        <w:t xml:space="preserve">)) vs. </w:t>
      </w:r>
      <w:r>
        <w:rPr>
          <w:b w:val="0"/>
          <w:bCs w:val="0"/>
          <w:i/>
          <w:iCs/>
        </w:rPr>
        <w:t>q</w:t>
      </w:r>
      <w:r>
        <w:rPr>
          <w:b w:val="0"/>
          <w:bCs w:val="0"/>
          <w:vertAlign w:val="superscript"/>
        </w:rPr>
        <w:t>2</w:t>
      </w:r>
      <w:r>
        <w:rPr>
          <w:b w:val="0"/>
          <w:bCs w:val="0"/>
        </w:rPr>
        <w:t>), derived from S4c.</w:t>
      </w:r>
    </w:p>
    <w:p w14:paraId="57CCB645" w14:textId="77777777" w:rsidR="002400AD" w:rsidRDefault="002400AD" w:rsidP="002400AD">
      <w:pPr>
        <w:rPr>
          <w:kern w:val="32"/>
          <w:szCs w:val="24"/>
        </w:rPr>
      </w:pPr>
      <w:r>
        <w:rPr>
          <w:b/>
          <w:bCs/>
        </w:rPr>
        <w:br w:type="page"/>
      </w:r>
    </w:p>
    <w:p w14:paraId="63795619" w14:textId="77777777" w:rsidR="002400AD" w:rsidRDefault="002400AD" w:rsidP="002400AD">
      <w:pPr>
        <w:pStyle w:val="SMHeading"/>
        <w:rPr>
          <w:noProof/>
        </w:rPr>
      </w:pPr>
      <w:r>
        <w:rPr>
          <w:noProof/>
        </w:rPr>
        <w:object w:dxaOrig="10224" w:dyaOrig="9360" w14:anchorId="3712CF92">
          <v:shape id="_x0000_i1029" type="#_x0000_t75" style="width:511.5pt;height:468pt" o:ole="">
            <v:imagedata r:id="rId12" o:title=""/>
          </v:shape>
          <o:OLEObject Type="Embed" ProgID="Prism9.Document" ShapeID="_x0000_i1029" DrawAspect="Content" ObjectID="_1729686107" r:id="rId13"/>
        </w:object>
      </w:r>
    </w:p>
    <w:p w14:paraId="40E8DF8A" w14:textId="77777777" w:rsidR="002400AD" w:rsidRDefault="002400AD" w:rsidP="002400AD">
      <w:pPr>
        <w:pStyle w:val="SMHeading"/>
      </w:pPr>
    </w:p>
    <w:p w14:paraId="40D47E89" w14:textId="77777777" w:rsidR="002400AD" w:rsidRDefault="002400AD" w:rsidP="002400AD">
      <w:pPr>
        <w:pStyle w:val="SMHeading"/>
        <w:rPr>
          <w:b w:val="0"/>
          <w:bCs w:val="0"/>
        </w:rPr>
      </w:pPr>
      <w:r>
        <w:t xml:space="preserve">Fig. S5. Stability of single </w:t>
      </w:r>
      <w:proofErr w:type="spellStart"/>
      <w:r>
        <w:t>saRNA</w:t>
      </w:r>
      <w:proofErr w:type="spellEnd"/>
      <w:r>
        <w:t xml:space="preserve"> compacted species at different conditions. </w:t>
      </w:r>
      <w:r>
        <w:rPr>
          <w:b w:val="0"/>
          <w:bCs w:val="0"/>
        </w:rPr>
        <w:t>The lyophilized samples here shown required prior reconstitution with H</w:t>
      </w:r>
      <w:r>
        <w:rPr>
          <w:b w:val="0"/>
          <w:bCs w:val="0"/>
          <w:vertAlign w:val="subscript"/>
        </w:rPr>
        <w:t>2</w:t>
      </w:r>
      <w:r>
        <w:rPr>
          <w:b w:val="0"/>
          <w:bCs w:val="0"/>
        </w:rPr>
        <w:t xml:space="preserve">O to original volume amount prior lyophilization. (S5a) Luciferase </w:t>
      </w:r>
      <w:proofErr w:type="spellStart"/>
      <w:r>
        <w:rPr>
          <w:b w:val="0"/>
          <w:bCs w:val="0"/>
        </w:rPr>
        <w:t>saRNA</w:t>
      </w:r>
      <w:proofErr w:type="spellEnd"/>
      <w:r>
        <w:rPr>
          <w:b w:val="0"/>
          <w:bCs w:val="0"/>
        </w:rPr>
        <w:t xml:space="preserve"> expression after 24hrs of transfection in C2C12 cells (n=3, x=3) immediately after formulation of </w:t>
      </w:r>
      <w:proofErr w:type="spellStart"/>
      <w:r>
        <w:rPr>
          <w:b w:val="0"/>
          <w:bCs w:val="0"/>
        </w:rPr>
        <w:t>saRNA</w:t>
      </w:r>
      <w:proofErr w:type="spellEnd"/>
      <w:r>
        <w:rPr>
          <w:b w:val="0"/>
          <w:bCs w:val="0"/>
        </w:rPr>
        <w:t xml:space="preserve">. Frozen and lyophilized samples represent the activity immediately after formulation and thawing the freeze sample or reconstituting the lyophilized sample. (S5b) Z-averaged hydrodynamic diameter of the single compacted species immediately after formulation of </w:t>
      </w:r>
      <w:proofErr w:type="spellStart"/>
      <w:r>
        <w:rPr>
          <w:b w:val="0"/>
          <w:bCs w:val="0"/>
        </w:rPr>
        <w:t>saRNA</w:t>
      </w:r>
      <w:proofErr w:type="spellEnd"/>
      <w:r>
        <w:rPr>
          <w:b w:val="0"/>
          <w:bCs w:val="0"/>
        </w:rPr>
        <w:t xml:space="preserve">. Frozen and lyophilized samples represent the activity immediately after formulation and thawing the freeze sample or reconstituting the lyophilized sample. (S5c) RNA stability measured with capillary electrophoresis at different time points. (S5d) RNA degradation was measured by agarose gel electrophoresis after incubation with </w:t>
      </w:r>
      <w:r>
        <w:rPr>
          <w:b w:val="0"/>
          <w:bCs w:val="0"/>
        </w:rPr>
        <w:lastRenderedPageBreak/>
        <w:t xml:space="preserve">serum for 30min at 37°C. Three samples of RNA either at N/P0 (naked </w:t>
      </w:r>
      <w:proofErr w:type="spellStart"/>
      <w:r>
        <w:rPr>
          <w:b w:val="0"/>
          <w:bCs w:val="0"/>
        </w:rPr>
        <w:t>saRNA</w:t>
      </w:r>
      <w:proofErr w:type="spellEnd"/>
      <w:r>
        <w:rPr>
          <w:b w:val="0"/>
          <w:bCs w:val="0"/>
        </w:rPr>
        <w:t xml:space="preserve"> in formulation buffer), N/P12 or N/P120 are incubated in buffer or serum. A third group represents said three samples after incubation in serum and posterior release of the RNA by incubation in the appropriate amount of heparin at 4°C for 10min. For the tested samples in serum or in serum plus posterior incubation in heparin, an extra control is included (N/P0*), where N/P0 sample is incubated in buffer instead of serum. </w:t>
      </w:r>
    </w:p>
    <w:p w14:paraId="33071999" w14:textId="77777777" w:rsidR="002400AD" w:rsidRDefault="002400AD" w:rsidP="002400AD">
      <w:pPr>
        <w:rPr>
          <w:kern w:val="32"/>
          <w:szCs w:val="24"/>
        </w:rPr>
      </w:pPr>
      <w:r>
        <w:rPr>
          <w:b/>
          <w:bCs/>
        </w:rPr>
        <w:br w:type="page"/>
      </w:r>
    </w:p>
    <w:p w14:paraId="326DD587" w14:textId="77777777" w:rsidR="002400AD" w:rsidRDefault="002400AD" w:rsidP="002400AD">
      <w:pPr>
        <w:pStyle w:val="SMHeading"/>
        <w:rPr>
          <w:b w:val="0"/>
          <w:bCs w:val="0"/>
        </w:rPr>
      </w:pPr>
      <w:r>
        <w:rPr>
          <w:noProof/>
        </w:rPr>
        <w:object w:dxaOrig="9072" w:dyaOrig="6912" w14:anchorId="67B1D680">
          <v:shape id="_x0000_i1030" type="#_x0000_t75" style="width:453.75pt;height:345.75pt" o:ole="">
            <v:imagedata r:id="rId14" o:title=""/>
          </v:shape>
          <o:OLEObject Type="Embed" ProgID="Prism9.Document" ShapeID="_x0000_i1030" DrawAspect="Content" ObjectID="_1729686108" r:id="rId15"/>
        </w:object>
      </w:r>
    </w:p>
    <w:p w14:paraId="3AA578CE" w14:textId="77777777" w:rsidR="002400AD" w:rsidRDefault="002400AD" w:rsidP="002400AD">
      <w:pPr>
        <w:jc w:val="both"/>
      </w:pPr>
      <w:r>
        <w:rPr>
          <w:b/>
          <w:bCs/>
        </w:rPr>
        <w:t xml:space="preserve">Fig. S6. Compaction of </w:t>
      </w:r>
      <w:proofErr w:type="spellStart"/>
      <w:r>
        <w:rPr>
          <w:b/>
          <w:bCs/>
        </w:rPr>
        <w:t>saRNA</w:t>
      </w:r>
      <w:proofErr w:type="spellEnd"/>
      <w:r>
        <w:rPr>
          <w:b/>
          <w:bCs/>
        </w:rPr>
        <w:t xml:space="preserve"> with PEI follows the same trend observed during heat denaturation rather with ions such as Na</w:t>
      </w:r>
      <w:r>
        <w:rPr>
          <w:b/>
          <w:bCs/>
          <w:vertAlign w:val="superscript"/>
        </w:rPr>
        <w:t>+</w:t>
      </w:r>
      <w:r>
        <w:t xml:space="preserve">. (S6a) Circular dichroism spectrum of </w:t>
      </w:r>
      <w:proofErr w:type="spellStart"/>
      <w:r>
        <w:t>saRNA</w:t>
      </w:r>
      <w:proofErr w:type="spellEnd"/>
      <w:r>
        <w:t xml:space="preserve"> during a temperature ramping experiment, where the temperature increases by 10°C every 15min after incubating 5min at the desired temperature prior </w:t>
      </w:r>
      <w:proofErr w:type="spellStart"/>
      <w:r>
        <w:t>adquisition</w:t>
      </w:r>
      <w:proofErr w:type="spellEnd"/>
      <w:r>
        <w:t xml:space="preserve"> of spectrum (x=4 per temperature). (S6b) Circular dichroism of </w:t>
      </w:r>
      <w:proofErr w:type="spellStart"/>
      <w:r>
        <w:t>saRNA</w:t>
      </w:r>
      <w:proofErr w:type="spellEnd"/>
      <w:r>
        <w:t xml:space="preserve"> formulated at different N/P ratios. (S6c) Circular dichroism spectrum of </w:t>
      </w:r>
      <w:proofErr w:type="spellStart"/>
      <w:r>
        <w:t>saRNA</w:t>
      </w:r>
      <w:proofErr w:type="spellEnd"/>
      <w:r>
        <w:t xml:space="preserve"> under different concentration of NaCl. (S6d) Peak position of the circular dichroism spectrum of </w:t>
      </w:r>
      <w:proofErr w:type="spellStart"/>
      <w:r>
        <w:t>saRNA</w:t>
      </w:r>
      <w:proofErr w:type="spellEnd"/>
      <w:r>
        <w:t xml:space="preserve"> under different conditions (S6a-S6b-S6c) plotted against the relative increment of the tested conditions (increment of temperature, increment of N/P ratio or increment of NaCl concentration).</w:t>
      </w:r>
    </w:p>
    <w:p w14:paraId="79184BBA" w14:textId="77777777" w:rsidR="002400AD" w:rsidRDefault="002400AD" w:rsidP="002400AD">
      <w:r>
        <w:rPr>
          <w:sz w:val="24"/>
          <w:szCs w:val="24"/>
        </w:rPr>
        <w:br w:type="page"/>
      </w:r>
    </w:p>
    <w:p w14:paraId="341E170E" w14:textId="3FEBB6E0" w:rsidR="002400AD" w:rsidRDefault="002400AD" w:rsidP="002400AD">
      <w:pPr>
        <w:jc w:val="both"/>
      </w:pPr>
      <w:r>
        <w:rPr>
          <w:noProof/>
        </w:rPr>
        <w:lastRenderedPageBreak/>
        <w:drawing>
          <wp:inline distT="0" distB="0" distL="0" distR="0" wp14:anchorId="2C7ECAC3" wp14:editId="4D047AE6">
            <wp:extent cx="5943600" cy="3069590"/>
            <wp:effectExtent l="0" t="0" r="0" b="0"/>
            <wp:docPr id="1" name="Picture 1"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video gam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069590"/>
                    </a:xfrm>
                    <a:prstGeom prst="rect">
                      <a:avLst/>
                    </a:prstGeom>
                    <a:noFill/>
                    <a:ln>
                      <a:noFill/>
                    </a:ln>
                  </pic:spPr>
                </pic:pic>
              </a:graphicData>
            </a:graphic>
          </wp:inline>
        </w:drawing>
      </w:r>
    </w:p>
    <w:p w14:paraId="016750ED" w14:textId="77777777" w:rsidR="002400AD" w:rsidRDefault="002400AD" w:rsidP="002400AD">
      <w:r>
        <w:rPr>
          <w:b/>
          <w:bCs/>
        </w:rPr>
        <w:t xml:space="preserve">Fig. S7. Representative bioluminescence imaging in BALB/c mice 6 days after </w:t>
      </w:r>
      <w:proofErr w:type="spellStart"/>
      <w:r>
        <w:rPr>
          <w:b/>
          <w:bCs/>
        </w:rPr>
        <w:t>i.m</w:t>
      </w:r>
      <w:proofErr w:type="spellEnd"/>
      <w:r>
        <w:rPr>
          <w:b/>
          <w:bCs/>
        </w:rPr>
        <w:t xml:space="preserve"> injection of PEI-complexed </w:t>
      </w:r>
      <w:proofErr w:type="spellStart"/>
      <w:r>
        <w:rPr>
          <w:b/>
          <w:bCs/>
        </w:rPr>
        <w:t>saRNA</w:t>
      </w:r>
      <w:proofErr w:type="spellEnd"/>
      <w:r>
        <w:rPr>
          <w:b/>
          <w:bCs/>
        </w:rPr>
        <w:t xml:space="preserve"> encoding for firefly luciferase</w:t>
      </w:r>
      <w:r>
        <w:t xml:space="preserve">. (S7a)Luciferase expression in the tibialis posterior muscle at peak expression- day 6- after injecting 62,5ng of </w:t>
      </w:r>
      <w:proofErr w:type="spellStart"/>
      <w:r>
        <w:t>saRNA</w:t>
      </w:r>
      <w:proofErr w:type="spellEnd"/>
      <w:r>
        <w:t xml:space="preserve"> at different N/P ratios. (S7b)Luciferase expression in the tibialis posterior muscle at peak expression- day 6- after injecting 125ng of </w:t>
      </w:r>
      <w:proofErr w:type="spellStart"/>
      <w:r>
        <w:t>saRNA</w:t>
      </w:r>
      <w:proofErr w:type="spellEnd"/>
      <w:r>
        <w:t xml:space="preserve"> at N/P120 with different PEI lengths.</w:t>
      </w:r>
    </w:p>
    <w:p w14:paraId="364656A0"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AD"/>
    <w:rsid w:val="002400AD"/>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74192"/>
  <w15:chartTrackingRefBased/>
  <w15:docId w15:val="{D2894583-F689-44BF-8247-FBA331EC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0AD"/>
    <w:pPr>
      <w:spacing w:after="0" w:line="240" w:lineRule="auto"/>
    </w:pPr>
    <w:rPr>
      <w:rFonts w:ascii="Times New Roman" w:eastAsia="Calibri" w:hAnsi="Times New Roman" w:cs="Times New Roman"/>
      <w:sz w:val="20"/>
      <w:szCs w:val="20"/>
    </w:rPr>
  </w:style>
  <w:style w:type="paragraph" w:styleId="Heading1">
    <w:name w:val="heading 1"/>
    <w:basedOn w:val="Normal"/>
    <w:next w:val="Normal"/>
    <w:link w:val="Heading1Char"/>
    <w:uiPriority w:val="9"/>
    <w:qFormat/>
    <w:rsid w:val="002400A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MContent">
    <w:name w:val="SOMContent"/>
    <w:basedOn w:val="Normal"/>
    <w:rsid w:val="002400AD"/>
    <w:pPr>
      <w:spacing w:before="120"/>
    </w:pPr>
    <w:rPr>
      <w:rFonts w:eastAsia="Times New Roman"/>
      <w:sz w:val="24"/>
      <w:szCs w:val="24"/>
    </w:rPr>
  </w:style>
  <w:style w:type="paragraph" w:customStyle="1" w:styleId="SOMHead">
    <w:name w:val="SOMHead"/>
    <w:basedOn w:val="Normal"/>
    <w:rsid w:val="002400AD"/>
    <w:pPr>
      <w:keepNext/>
      <w:spacing w:before="240"/>
      <w:outlineLvl w:val="0"/>
    </w:pPr>
    <w:rPr>
      <w:rFonts w:eastAsia="Times New Roman"/>
      <w:b/>
      <w:kern w:val="28"/>
      <w:sz w:val="24"/>
      <w:szCs w:val="24"/>
    </w:rPr>
  </w:style>
  <w:style w:type="paragraph" w:customStyle="1" w:styleId="SMHeading">
    <w:name w:val="SM Heading"/>
    <w:basedOn w:val="Heading1"/>
    <w:qFormat/>
    <w:rsid w:val="002400AD"/>
    <w:pPr>
      <w:keepLines w:val="0"/>
      <w:spacing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2400AD"/>
    <w:rPr>
      <w:rFonts w:eastAsia="Times New Roman"/>
      <w:sz w:val="24"/>
      <w:u w:val="words"/>
    </w:rPr>
  </w:style>
  <w:style w:type="paragraph" w:customStyle="1" w:styleId="SMText">
    <w:name w:val="SM Text"/>
    <w:basedOn w:val="Normal"/>
    <w:qFormat/>
    <w:rsid w:val="002400AD"/>
    <w:pPr>
      <w:ind w:firstLine="480"/>
    </w:pPr>
    <w:rPr>
      <w:rFonts w:eastAsia="Times New Roman"/>
      <w:sz w:val="24"/>
    </w:rPr>
  </w:style>
  <w:style w:type="character" w:customStyle="1" w:styleId="Heading1Char">
    <w:name w:val="Heading 1 Char"/>
    <w:basedOn w:val="DefaultParagraphFont"/>
    <w:link w:val="Heading1"/>
    <w:uiPriority w:val="9"/>
    <w:rsid w:val="002400A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40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5.bin"/><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3703</Words>
  <Characters>21113</Characters>
  <Application>Microsoft Office Word</Application>
  <DocSecurity>0</DocSecurity>
  <Lines>175</Lines>
  <Paragraphs>49</Paragraphs>
  <ScaleCrop>false</ScaleCrop>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2022-11-11T22:35:00Z</dcterms:created>
  <dcterms:modified xsi:type="dcterms:W3CDTF">2022-11-11T22:35:00Z</dcterms:modified>
</cp:coreProperties>
</file>