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S</w:t>
      </w:r>
      <w:r>
        <w:rPr>
          <w:rFonts w:hint="eastAsia" w:ascii="Times New Roman" w:hAnsi="Times New Roman" w:cs="Times New Roman"/>
          <w:b/>
          <w:bCs/>
          <w:sz w:val="24"/>
        </w:rPr>
        <w:t>1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MYL2 expression and clinicopathological characteristics in </w:t>
      </w:r>
      <w:r>
        <w:rPr>
          <w:rFonts w:hint="eastAsia" w:ascii="Times New Roman" w:hAnsi="Times New Roman" w:cs="Times New Roman"/>
          <w:sz w:val="24"/>
        </w:rPr>
        <w:t>HNSCC</w:t>
      </w:r>
      <w:r>
        <w:rPr>
          <w:rFonts w:ascii="Times New Roman" w:hAnsi="Times New Roman" w:cs="Times New Roman"/>
          <w:sz w:val="24"/>
        </w:rPr>
        <w:t>: a logistic regression analysis</w:t>
      </w:r>
    </w:p>
    <w:p>
      <w:pPr>
        <w:rPr>
          <w:rFonts w:ascii="Times New Roman" w:hAnsi="Times New Roman" w:cs="Times New Roman"/>
          <w:sz w:val="24"/>
        </w:rPr>
      </w:pP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3"/>
        <w:gridCol w:w="1061"/>
        <w:gridCol w:w="1992"/>
        <w:gridCol w:w="101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73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b/>
                <w:bCs/>
                <w:color w:val="000000"/>
                <w:kern w:val="0"/>
                <w:sz w:val="18"/>
                <w:szCs w:val="18"/>
              </w:rPr>
              <w:t>Characteristics</w:t>
            </w:r>
          </w:p>
        </w:tc>
        <w:tc>
          <w:tcPr>
            <w:tcW w:w="1061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b/>
                <w:bCs/>
                <w:color w:val="000000"/>
                <w:kern w:val="0"/>
                <w:sz w:val="18"/>
                <w:szCs w:val="18"/>
              </w:rPr>
              <w:t>Total(N)</w:t>
            </w:r>
          </w:p>
        </w:tc>
        <w:tc>
          <w:tcPr>
            <w:tcW w:w="1992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b/>
                <w:bCs/>
                <w:color w:val="000000"/>
                <w:kern w:val="0"/>
                <w:sz w:val="18"/>
                <w:szCs w:val="18"/>
              </w:rPr>
              <w:t>Odds Ratio(OR)</w:t>
            </w:r>
          </w:p>
        </w:tc>
        <w:tc>
          <w:tcPr>
            <w:tcW w:w="1011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b/>
                <w:bCs/>
                <w:color w:val="000000"/>
                <w:kern w:val="0"/>
                <w:sz w:val="18"/>
                <w:szCs w:val="18"/>
              </w:rPr>
              <w:t>P-value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Age (&gt;60 vs. &lt;=60)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501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0.806 (0.567-1.144)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0.228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Gender (Male vs. Female)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502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0.922 (0.620-1.369)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0.687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T stage (T3&amp;T4 vs. T1&amp;T2)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487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0.817 (0.564-1.182)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0.285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N stage (N2&amp;N3 vs. N0&amp;N1)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480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0.746 (0.509-1.090)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0.130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jaVu Sans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Clinical stage (Stage III&amp;Stage IV vs. Stage I&amp;Stage II)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jaVu Sans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488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jaVu Sans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0.574 (0.372-0.876)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jaVu Sans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jaVu Sans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Radiation therapy (Yes vs. No)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jaVu Sans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441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jaVu Sans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0.649 (0.436-0.963)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jaVu Sans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Histologic grade (G3&amp;G4 vs. G1&amp;G2)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483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0.843 (0.557-1.272)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0.416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Alcohol history (Yes vs. No)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491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1.140 (0.781-1.668)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0.497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Smoker (Yes vs. No)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492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0.754 (0.491-1.152)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0.193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7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Lymphovascular invasion (Yes vs. No)</w:t>
            </w:r>
          </w:p>
        </w:tc>
        <w:tc>
          <w:tcPr>
            <w:tcW w:w="106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341</w:t>
            </w:r>
          </w:p>
        </w:tc>
        <w:tc>
          <w:tcPr>
            <w:tcW w:w="199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1.363 (0.874-2.133)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0.173</w:t>
            </w:r>
          </w:p>
        </w:tc>
      </w:tr>
    </w:tbl>
    <w:p>
      <w:pPr>
        <w:rPr>
          <w:rFonts w:ascii="Times New Roman" w:hAnsi="Times New Roman" w:cs="Times New Roman"/>
          <w:sz w:val="24"/>
        </w:rPr>
      </w:pPr>
    </w:p>
    <w:p>
      <w:pPr>
        <w:spacing w:before="100" w:after="100"/>
        <w:ind w:left="100" w:right="100"/>
        <w:jc w:val="center"/>
        <w:rPr>
          <w:rFonts w:ascii="Times New Roman" w:hAnsi="Times New Roman" w:eastAsia="DejaVu Sans" w:cs="Times New Roman"/>
          <w:color w:val="000000"/>
          <w:sz w:val="18"/>
          <w:szCs w:val="18"/>
        </w:rPr>
      </w:pPr>
      <w:r>
        <w:rPr>
          <w:rFonts w:ascii="Times New Roman" w:hAnsi="Times New Roman" w:eastAsia="DejaVu Sans" w:cs="Times New Roman"/>
          <w:color w:val="000000"/>
          <w:sz w:val="18"/>
          <w:szCs w:val="18"/>
        </w:rPr>
        <w:t>T: topographical distribution; N: lymph node metastases; M: distant metastasis; Bold values are statistically significant (</w:t>
      </w:r>
      <w:r>
        <w:rPr>
          <w:rFonts w:ascii="Times New Roman" w:hAnsi="Times New Roman" w:eastAsia="DejaVu Sans" w:cs="Times New Roman"/>
          <w:i/>
          <w:iCs/>
          <w:color w:val="000000"/>
          <w:sz w:val="18"/>
          <w:szCs w:val="18"/>
        </w:rPr>
        <w:t>P</w:t>
      </w:r>
      <w:r>
        <w:rPr>
          <w:rFonts w:ascii="Times New Roman" w:hAnsi="Times New Roman" w:eastAsia="宋体" w:cs="Times New Roman"/>
          <w:color w:val="000000"/>
          <w:sz w:val="18"/>
          <w:szCs w:val="18"/>
        </w:rPr>
        <w:t>&lt;</w:t>
      </w:r>
      <w:r>
        <w:rPr>
          <w:rFonts w:ascii="Times New Roman" w:hAnsi="Times New Roman" w:eastAsia="DejaVu Sans" w:cs="Times New Roman"/>
          <w:color w:val="000000"/>
          <w:sz w:val="18"/>
          <w:szCs w:val="18"/>
        </w:rPr>
        <w:t xml:space="preserve"> 0.05).</w:t>
      </w:r>
    </w:p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Table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S</w:t>
      </w:r>
      <w:r>
        <w:rPr>
          <w:rFonts w:hint="eastAsia" w:ascii="Times New Roman" w:hAnsi="Times New Roman" w:cs="Times New Roman"/>
          <w:b/>
          <w:bCs/>
          <w:sz w:val="24"/>
        </w:rPr>
        <w:t>2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 </w:t>
      </w:r>
      <w:r>
        <w:rPr>
          <w:rFonts w:ascii="Times New Roman" w:hAnsi="Times New Roman" w:cs="Times New Roman"/>
          <w:sz w:val="24"/>
        </w:rPr>
        <w:t>Cox regression analysis of the clinical variables, and overall survival in TCGA cohorts.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061"/>
        <w:gridCol w:w="2151"/>
        <w:gridCol w:w="1011"/>
        <w:gridCol w:w="461"/>
        <w:gridCol w:w="2151"/>
        <w:gridCol w:w="101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40" w:type="dxa"/>
            <w:vMerge w:val="restart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b/>
                <w:bCs/>
                <w:color w:val="000000"/>
                <w:kern w:val="0"/>
                <w:sz w:val="18"/>
                <w:szCs w:val="18"/>
              </w:rPr>
              <w:t>Characteristics</w:t>
            </w:r>
          </w:p>
        </w:tc>
        <w:tc>
          <w:tcPr>
            <w:tcW w:w="1061" w:type="dxa"/>
            <w:vMerge w:val="restart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b/>
                <w:bCs/>
                <w:color w:val="000000"/>
                <w:kern w:val="0"/>
                <w:sz w:val="18"/>
                <w:szCs w:val="18"/>
              </w:rPr>
              <w:t>Total(N)</w:t>
            </w:r>
          </w:p>
        </w:tc>
        <w:tc>
          <w:tcPr>
            <w:tcW w:w="3162" w:type="dxa"/>
            <w:gridSpan w:val="2"/>
            <w:tcBorders>
              <w:top w:val="single" w:color="000000" w:sz="12" w:space="0"/>
              <w:left w:val="nil"/>
              <w:bottom w:val="single" w:color="666666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b/>
                <w:bCs/>
                <w:color w:val="000000"/>
                <w:kern w:val="0"/>
                <w:sz w:val="18"/>
                <w:szCs w:val="18"/>
              </w:rPr>
              <w:t>Univariate analysis</w:t>
            </w:r>
          </w:p>
        </w:tc>
        <w:tc>
          <w:tcPr>
            <w:tcW w:w="461" w:type="dxa"/>
            <w:vMerge w:val="restart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162" w:type="dxa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b/>
                <w:bCs/>
                <w:color w:val="000000"/>
                <w:kern w:val="0"/>
                <w:sz w:val="18"/>
                <w:szCs w:val="18"/>
              </w:rPr>
              <w:t>Multivariate analysis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40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MS Mincho" w:cs="Times New Roman"/>
                <w:b/>
                <w:bCs/>
                <w:kern w:val="0"/>
                <w:sz w:val="24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MS Mincho" w:cs="Times New Roman"/>
                <w:b/>
                <w:bCs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single" w:color="666666" w:sz="8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b/>
                <w:bCs/>
                <w:color w:val="000000"/>
                <w:kern w:val="0"/>
                <w:sz w:val="18"/>
                <w:szCs w:val="18"/>
              </w:rPr>
              <w:t>Hazard ratio (95% CI)</w:t>
            </w:r>
          </w:p>
        </w:tc>
        <w:tc>
          <w:tcPr>
            <w:tcW w:w="1011" w:type="dxa"/>
            <w:tcBorders>
              <w:top w:val="single" w:color="666666" w:sz="8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b/>
                <w:bCs/>
                <w:color w:val="000000"/>
                <w:kern w:val="0"/>
                <w:sz w:val="18"/>
                <w:szCs w:val="18"/>
              </w:rPr>
              <w:t>P-value</w:t>
            </w:r>
          </w:p>
        </w:tc>
        <w:tc>
          <w:tcPr>
            <w:tcW w:w="461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MS Mincho" w:cs="Times New Roman"/>
                <w:b/>
                <w:bCs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single" w:color="666666" w:sz="8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b/>
                <w:bCs/>
                <w:color w:val="000000"/>
                <w:kern w:val="0"/>
                <w:sz w:val="18"/>
                <w:szCs w:val="18"/>
              </w:rPr>
              <w:t>Hazard ratio (95% CI)</w:t>
            </w:r>
          </w:p>
        </w:tc>
        <w:tc>
          <w:tcPr>
            <w:tcW w:w="1011" w:type="dxa"/>
            <w:tcBorders>
              <w:top w:val="single" w:color="666666" w:sz="8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b/>
                <w:bCs/>
                <w:color w:val="000000"/>
                <w:kern w:val="0"/>
                <w:sz w:val="18"/>
                <w:szCs w:val="18"/>
              </w:rPr>
              <w:t>P-value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Age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501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&lt;=60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245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&gt;60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256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1.252 (0.956-1.639)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0.102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Gender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501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134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367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0.764 (0.574-1.018)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0.066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0.767 (0.499-1.178)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0.225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T stage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486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T1&amp;T2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176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T3&amp;T4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310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1.245 (0.932-1.661)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0.137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N stage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479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N0&amp;N1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318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N2&amp;N3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161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1.384 (1.040-1.842)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b/>
                <w:color w:val="000000"/>
                <w:kern w:val="0"/>
                <w:sz w:val="18"/>
                <w:szCs w:val="18"/>
              </w:rPr>
              <w:t>0.026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1.666 (1.089-2.549)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b/>
                <w:color w:val="000000"/>
                <w:kern w:val="0"/>
                <w:sz w:val="18"/>
                <w:szCs w:val="18"/>
              </w:rPr>
              <w:t>0.019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M stage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476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471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M1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4.745 (1.748-12.883)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b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7.820 (1.045-58.521)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b/>
                <w:color w:val="000000"/>
                <w:kern w:val="0"/>
                <w:sz w:val="18"/>
                <w:szCs w:val="18"/>
              </w:rPr>
              <w:t>0.045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Clinical stage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487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Stage I&amp;Stage II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113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Stage III&amp;Stage IV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374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1.217 (0.878-1.688)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0.238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bookmarkStart w:id="0" w:name="_Hlk105335470"/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Radiation therapy</w:t>
            </w:r>
            <w:bookmarkEnd w:id="0"/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440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153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287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0.613 (0.452-0.831)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b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0.482 (0.312-0.743)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b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Lymphovascular invasion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340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218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122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1.699 (1.211-2.384)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b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2.018 (1.300-3.131)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b/>
                <w:color w:val="000000"/>
                <w:kern w:val="0"/>
                <w:sz w:val="18"/>
                <w:szCs w:val="18"/>
              </w:rPr>
              <w:t>0.002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Lymphnode neck dissection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498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90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408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0.731 (0.526-1.016)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0.062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0.693 (0.328-1.464)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0.337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Histologic grade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482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G1&amp;G2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361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G3&amp;G4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121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0.939 (0.688-1.282)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0.692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MYL2</w:t>
            </w:r>
          </w:p>
        </w:tc>
        <w:tc>
          <w:tcPr>
            <w:tcW w:w="106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501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1.051 (1.001-1.104)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b/>
                <w:color w:val="000000"/>
                <w:kern w:val="0"/>
                <w:sz w:val="18"/>
                <w:szCs w:val="18"/>
              </w:rPr>
              <w:t>0.045</w:t>
            </w:r>
          </w:p>
        </w:tc>
        <w:tc>
          <w:tcPr>
            <w:tcW w:w="46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  <w:t>1.068 (1.001-1.139)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ascii="Times New Roman" w:hAnsi="Times New Roman" w:eastAsia="MS Mincho" w:cs="Times New Roman"/>
                <w:kern w:val="0"/>
                <w:sz w:val="24"/>
              </w:rPr>
            </w:pPr>
            <w:r>
              <w:rPr>
                <w:rFonts w:ascii="Times New Roman" w:hAnsi="Times New Roman" w:eastAsia="DejaVu Sans" w:cs="Times New Roman"/>
                <w:b/>
                <w:color w:val="000000"/>
                <w:kern w:val="0"/>
                <w:sz w:val="18"/>
                <w:szCs w:val="18"/>
              </w:rPr>
              <w:t>0.045</w:t>
            </w:r>
          </w:p>
        </w:tc>
      </w:tr>
    </w:tbl>
    <w:p>
      <w:pPr>
        <w:rPr>
          <w:rFonts w:ascii="Times New Roman" w:hAnsi="Times New Roman" w:cs="Times New Roman"/>
          <w:sz w:val="24"/>
        </w:rPr>
      </w:pPr>
    </w:p>
    <w:p>
      <w:pPr>
        <w:spacing w:before="100" w:after="100"/>
        <w:ind w:left="100" w:right="100"/>
        <w:jc w:val="center"/>
        <w:rPr>
          <w:rFonts w:ascii="Times New Roman" w:hAnsi="Times New Roman" w:eastAsia="DejaVu Sans" w:cs="Times New Roman"/>
          <w:color w:val="000000"/>
          <w:sz w:val="18"/>
          <w:szCs w:val="18"/>
        </w:rPr>
      </w:pPr>
      <w:r>
        <w:rPr>
          <w:rFonts w:ascii="Times New Roman" w:hAnsi="Times New Roman" w:eastAsia="DejaVu Sans" w:cs="Times New Roman"/>
          <w:color w:val="000000"/>
          <w:sz w:val="18"/>
          <w:szCs w:val="18"/>
        </w:rPr>
        <w:t>T: topographical distribution; N: lymph node metastases; M: distant metastasis; Bold values are statistically significant (</w:t>
      </w:r>
      <w:r>
        <w:rPr>
          <w:rFonts w:ascii="Times New Roman" w:hAnsi="Times New Roman" w:eastAsia="DejaVu Sans" w:cs="Times New Roman"/>
          <w:i/>
          <w:iCs/>
          <w:color w:val="000000"/>
          <w:sz w:val="18"/>
          <w:szCs w:val="18"/>
        </w:rPr>
        <w:t>P</w:t>
      </w:r>
      <w:r>
        <w:rPr>
          <w:rFonts w:ascii="Times New Roman" w:hAnsi="Times New Roman" w:eastAsia="宋体" w:cs="Times New Roman"/>
          <w:color w:val="000000"/>
          <w:sz w:val="18"/>
          <w:szCs w:val="18"/>
        </w:rPr>
        <w:t>&lt;</w:t>
      </w:r>
      <w:r>
        <w:rPr>
          <w:rFonts w:ascii="Times New Roman" w:hAnsi="Times New Roman" w:eastAsia="DejaVu Sans" w:cs="Times New Roman"/>
          <w:color w:val="000000"/>
          <w:sz w:val="18"/>
          <w:szCs w:val="18"/>
        </w:rPr>
        <w:t xml:space="preserve"> 0.05).</w:t>
      </w:r>
    </w:p>
    <w:p>
      <w:pPr>
        <w:rPr>
          <w:rFonts w:ascii="Times New Roman" w:hAnsi="Times New Roman" w:cs="Times New Roman"/>
          <w:sz w:val="24"/>
        </w:rPr>
      </w:pPr>
    </w:p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Table S3 </w:t>
      </w:r>
      <w:r>
        <w:rPr>
          <w:rFonts w:ascii="Times New Roman" w:hAnsi="Times New Roman" w:cs="Times New Roman"/>
          <w:sz w:val="24"/>
        </w:rPr>
        <w:t xml:space="preserve">The 10 most significant pathways with q-value 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tbl>
      <w:tblPr>
        <w:tblStyle w:val="2"/>
        <w:tblW w:w="8260" w:type="dxa"/>
        <w:tblInd w:w="-20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7"/>
        <w:gridCol w:w="1818"/>
        <w:gridCol w:w="1147"/>
        <w:gridCol w:w="1050"/>
        <w:gridCol w:w="1085"/>
        <w:gridCol w:w="149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667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HNSC-MYL2</w:t>
            </w:r>
          </w:p>
        </w:tc>
        <w:tc>
          <w:tcPr>
            <w:tcW w:w="1818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Description</w:t>
            </w:r>
          </w:p>
        </w:tc>
        <w:tc>
          <w:tcPr>
            <w:tcW w:w="1147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NES</w:t>
            </w:r>
          </w:p>
        </w:tc>
        <w:tc>
          <w:tcPr>
            <w:tcW w:w="105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pvalue</w:t>
            </w:r>
          </w:p>
        </w:tc>
        <w:tc>
          <w:tcPr>
            <w:tcW w:w="1085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p.adjust</w:t>
            </w:r>
          </w:p>
        </w:tc>
        <w:tc>
          <w:tcPr>
            <w:tcW w:w="1493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DejaVu Sans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 xml:space="preserve">q </w:t>
            </w:r>
            <w:r>
              <w:rPr>
                <w:rFonts w:hint="default" w:ascii="Times New Roman" w:hAnsi="Times New Roman" w:eastAsia="DejaVu Sans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67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hsa04260</w:t>
            </w:r>
          </w:p>
        </w:tc>
        <w:tc>
          <w:tcPr>
            <w:tcW w:w="1818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Cardiac muscle contraction</w:t>
            </w:r>
          </w:p>
        </w:tc>
        <w:tc>
          <w:tcPr>
            <w:tcW w:w="1147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2.406614239</w:t>
            </w:r>
          </w:p>
        </w:tc>
        <w:tc>
          <w:tcPr>
            <w:tcW w:w="105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1.00E-10</w:t>
            </w:r>
          </w:p>
        </w:tc>
        <w:tc>
          <w:tcPr>
            <w:tcW w:w="1085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9.80E-09</w:t>
            </w:r>
          </w:p>
        </w:tc>
        <w:tc>
          <w:tcPr>
            <w:tcW w:w="1493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8.91E-09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hsa05410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Hypertrophic cardiomyopathy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2.393740063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1.00E-10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9.80E-09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8.91E-09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hsa04261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Adrenergic signaling in cardiomyocytes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2.3755821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1.00E-10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9.80E-09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8.91E-09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hsa05414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Dilated cardiomyopathy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2.347137913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1.18E-10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9.80E-09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8.91E-09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hsa04510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Focal adhesion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2.198534693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1.79E-10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1.18E-08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1.08E-08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hsa05412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Arrhythmogenic right ventricular cardiomyopathy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2.215597484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3.30E-08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1.82E-06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1.66E-06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hsa04020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Calcium signaling pathway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1.871816152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5.82E-06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0.000274998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0.000250117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hsa04022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cGMP-PKG signaling pathway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1.927660712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8.05E-06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0.000332981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0.000302854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hsa04512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ECM-receptor interaction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1.980107153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5.20E-05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0.001433124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0.001303462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6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hsa05416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Viral myocarditis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1.941560841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5.01E-05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0.001433124</w:t>
            </w:r>
          </w:p>
        </w:tc>
        <w:tc>
          <w:tcPr>
            <w:tcW w:w="149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0.001303462</w:t>
            </w:r>
          </w:p>
        </w:tc>
      </w:tr>
    </w:tbl>
    <w:p/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drawing>
          <wp:inline distT="0" distB="0" distL="114300" distR="114300">
            <wp:extent cx="5964555" cy="5815965"/>
            <wp:effectExtent l="0" t="0" r="4445" b="635"/>
            <wp:docPr id="1" name="图片 1" descr="AnalysisReport.te6ep8raf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nalysisReport.te6ep8raf_01"/>
                    <pic:cNvPicPr>
                      <a:picLocks noChangeAspect="1"/>
                    </pic:cNvPicPr>
                  </pic:nvPicPr>
                  <pic:blipFill>
                    <a:blip r:embed="rId4"/>
                    <a:srcRect l="22014" t="22339" r="25851" b="2937"/>
                    <a:stretch>
                      <a:fillRect/>
                    </a:stretch>
                  </pic:blipFill>
                  <pic:spPr>
                    <a:xfrm>
                      <a:off x="0" y="0"/>
                      <a:ext cx="5964555" cy="5815965"/>
                    </a:xfrm>
                    <a:prstGeom prst="round2Diag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Figure S1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Cluster-ID is used to color nodes, and nodes with the same cluster-ID are generally close to one other(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metascape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).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yMWJhMGUwOTc5NGYyZWY5MmUyODY5OTVkZDA1NWIifQ=="/>
  </w:docVars>
  <w:rsids>
    <w:rsidRoot w:val="00000000"/>
    <w:rsid w:val="04AC6167"/>
    <w:rsid w:val="19A11767"/>
    <w:rsid w:val="3518758D"/>
    <w:rsid w:val="394003E2"/>
    <w:rsid w:val="47D904F2"/>
    <w:rsid w:val="54B22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427</Words>
  <Characters>2784</Characters>
  <Lines>0</Lines>
  <Paragraphs>0</Paragraphs>
  <TotalTime>0</TotalTime>
  <ScaleCrop>false</ScaleCrop>
  <LinksUpToDate>false</LinksUpToDate>
  <CharactersWithSpaces>2982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2022-08-31T02:23:00Z</dcterms:created>
  <dc:creator>62788</dc:creator>
  <cp:lastModifiedBy>哪溡埖幵誰茬</cp:lastModifiedBy>
  <dcterms:modified xsi:type="dcterms:W3CDTF">2022-09-26T04:48:31Z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7390CE346653478D9CE20C8F939577E7</vt:lpwstr>
  </property>
</Properties>
</file>