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4BE1B" w14:textId="566BD8DD" w:rsidR="00516EBE" w:rsidRPr="00417D9D" w:rsidRDefault="00516EBE" w:rsidP="00417D9D">
      <w:pPr>
        <w:pStyle w:val="Heading1"/>
      </w:pPr>
      <w:bookmarkStart w:id="0" w:name="_Hlk99957468"/>
      <w:r w:rsidRPr="001D1013">
        <w:t>Appendix</w:t>
      </w:r>
    </w:p>
    <w:p w14:paraId="614DEEB8" w14:textId="4FA7F19B" w:rsidR="00516EBE" w:rsidRDefault="00C0048F" w:rsidP="00516EBE">
      <w:pPr>
        <w:spacing w:after="0" w:line="240" w:lineRule="auto"/>
        <w:rPr>
          <w:rFonts w:ascii="Times New Roman" w:hAnsi="Times New Roman" w:cs="Times New Roman"/>
          <w:sz w:val="20"/>
          <w:szCs w:val="20"/>
        </w:rPr>
      </w:pPr>
      <w:r w:rsidRPr="00C0048F">
        <w:rPr>
          <w:rFonts w:ascii="Times New Roman" w:hAnsi="Times New Roman" w:cs="Times New Roman"/>
          <w:b/>
          <w:bCs/>
          <w:sz w:val="20"/>
          <w:szCs w:val="20"/>
        </w:rPr>
        <w:t>Appendix</w:t>
      </w:r>
      <w:r>
        <w:rPr>
          <w:rFonts w:ascii="Times New Roman" w:hAnsi="Times New Roman" w:cs="Times New Roman"/>
          <w:b/>
          <w:bCs/>
          <w:sz w:val="20"/>
          <w:szCs w:val="20"/>
        </w:rPr>
        <w:t xml:space="preserve"> </w:t>
      </w:r>
      <w:r w:rsidR="00516EBE" w:rsidRPr="001D1013">
        <w:rPr>
          <w:rFonts w:ascii="Times New Roman" w:hAnsi="Times New Roman" w:cs="Times New Roman"/>
          <w:b/>
          <w:bCs/>
          <w:sz w:val="20"/>
          <w:szCs w:val="20"/>
        </w:rPr>
        <w:t>Table 1.</w:t>
      </w:r>
      <w:r w:rsidR="00516EBE" w:rsidRPr="001D1013">
        <w:rPr>
          <w:rFonts w:ascii="Times New Roman" w:hAnsi="Times New Roman" w:cs="Times New Roman"/>
          <w:sz w:val="20"/>
          <w:szCs w:val="20"/>
        </w:rPr>
        <w:t xml:space="preserve"> Abbreviations and expanded names of 76 brain regions in primate connectome. These regions are bilateral, </w:t>
      </w:r>
      <w:r w:rsidR="00516EBE">
        <w:rPr>
          <w:rFonts w:ascii="Times New Roman" w:hAnsi="Times New Roman" w:cs="Times New Roman"/>
          <w:sz w:val="20"/>
          <w:szCs w:val="20"/>
        </w:rPr>
        <w:t>a</w:t>
      </w:r>
      <w:r w:rsidR="00516EBE" w:rsidRPr="001D1013">
        <w:rPr>
          <w:rFonts w:ascii="Times New Roman" w:hAnsi="Times New Roman" w:cs="Times New Roman"/>
          <w:sz w:val="20"/>
          <w:szCs w:val="20"/>
        </w:rPr>
        <w:t xml:space="preserve">nd thus, there are only 38 listed because there are each of these regions in both the left and right hemispheres. </w:t>
      </w:r>
    </w:p>
    <w:p w14:paraId="05CBEBAE" w14:textId="77777777" w:rsidR="00516EBE" w:rsidRPr="008C323E" w:rsidRDefault="00516EBE" w:rsidP="00516EBE">
      <w:pPr>
        <w:spacing w:after="0" w:line="240" w:lineRule="auto"/>
        <w:rPr>
          <w:rFonts w:ascii="Times New Roman" w:hAnsi="Times New Roman" w:cs="Times New Roman"/>
          <w:sz w:val="4"/>
          <w:szCs w:val="4"/>
        </w:rPr>
      </w:pPr>
    </w:p>
    <w:tbl>
      <w:tblPr>
        <w:tblStyle w:val="GridTable3-Accent5"/>
        <w:tblW w:w="6750" w:type="dxa"/>
        <w:tblLook w:val="0420" w:firstRow="1" w:lastRow="0" w:firstColumn="0" w:lastColumn="0" w:noHBand="0" w:noVBand="1"/>
      </w:tblPr>
      <w:tblGrid>
        <w:gridCol w:w="1408"/>
        <w:gridCol w:w="5342"/>
      </w:tblGrid>
      <w:tr w:rsidR="00516EBE" w:rsidRPr="009C4174" w14:paraId="5243F96D" w14:textId="77777777" w:rsidTr="004C762E">
        <w:trPr>
          <w:cnfStyle w:val="100000000000" w:firstRow="1" w:lastRow="0" w:firstColumn="0" w:lastColumn="0" w:oddVBand="0" w:evenVBand="0" w:oddHBand="0" w:evenHBand="0" w:firstRowFirstColumn="0" w:firstRowLastColumn="0" w:lastRowFirstColumn="0" w:lastRowLastColumn="0"/>
          <w:trHeight w:val="288"/>
        </w:trPr>
        <w:tc>
          <w:tcPr>
            <w:tcW w:w="1408" w:type="dxa"/>
            <w:shd w:val="clear" w:color="auto" w:fill="BDD6EE" w:themeFill="accent5" w:themeFillTint="66"/>
            <w:noWrap/>
            <w:hideMark/>
          </w:tcPr>
          <w:p w14:paraId="7B1D15B9"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Abbreviation</w:t>
            </w:r>
          </w:p>
        </w:tc>
        <w:tc>
          <w:tcPr>
            <w:tcW w:w="5342" w:type="dxa"/>
            <w:shd w:val="clear" w:color="auto" w:fill="BDD6EE" w:themeFill="accent5" w:themeFillTint="66"/>
            <w:noWrap/>
            <w:hideMark/>
          </w:tcPr>
          <w:p w14:paraId="25D75E28"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Region</w:t>
            </w:r>
          </w:p>
        </w:tc>
      </w:tr>
      <w:tr w:rsidR="00516EBE" w:rsidRPr="009C4174" w14:paraId="52DBBE12"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14C49CB9"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A1</w:t>
            </w:r>
          </w:p>
        </w:tc>
        <w:tc>
          <w:tcPr>
            <w:tcW w:w="5342" w:type="dxa"/>
            <w:noWrap/>
            <w:hideMark/>
          </w:tcPr>
          <w:p w14:paraId="55BD1BAE"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primary auditory cortex</w:t>
            </w:r>
          </w:p>
        </w:tc>
      </w:tr>
      <w:tr w:rsidR="00516EBE" w:rsidRPr="009C4174" w14:paraId="13258555" w14:textId="77777777" w:rsidTr="004C762E">
        <w:trPr>
          <w:trHeight w:val="288"/>
        </w:trPr>
        <w:tc>
          <w:tcPr>
            <w:tcW w:w="1408" w:type="dxa"/>
            <w:noWrap/>
            <w:hideMark/>
          </w:tcPr>
          <w:p w14:paraId="5317ACE7"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A2</w:t>
            </w:r>
          </w:p>
        </w:tc>
        <w:tc>
          <w:tcPr>
            <w:tcW w:w="5342" w:type="dxa"/>
            <w:noWrap/>
            <w:hideMark/>
          </w:tcPr>
          <w:p w14:paraId="4E50F721"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secondary auditory cortex</w:t>
            </w:r>
          </w:p>
        </w:tc>
      </w:tr>
      <w:tr w:rsidR="00516EBE" w:rsidRPr="009C4174" w14:paraId="560439AF"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2178C747"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AMYG</w:t>
            </w:r>
          </w:p>
        </w:tc>
        <w:tc>
          <w:tcPr>
            <w:tcW w:w="5342" w:type="dxa"/>
            <w:noWrap/>
            <w:hideMark/>
          </w:tcPr>
          <w:p w14:paraId="3181A784"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amygdala</w:t>
            </w:r>
          </w:p>
        </w:tc>
      </w:tr>
      <w:tr w:rsidR="00516EBE" w:rsidRPr="009C4174" w14:paraId="668E7002" w14:textId="77777777" w:rsidTr="004C762E">
        <w:trPr>
          <w:trHeight w:val="288"/>
        </w:trPr>
        <w:tc>
          <w:tcPr>
            <w:tcW w:w="1408" w:type="dxa"/>
            <w:noWrap/>
            <w:hideMark/>
          </w:tcPr>
          <w:p w14:paraId="7B25DA65"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CCA</w:t>
            </w:r>
          </w:p>
        </w:tc>
        <w:tc>
          <w:tcPr>
            <w:tcW w:w="5342" w:type="dxa"/>
            <w:noWrap/>
            <w:hideMark/>
          </w:tcPr>
          <w:p w14:paraId="76383D23"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cingulate cortex anterior</w:t>
            </w:r>
          </w:p>
        </w:tc>
      </w:tr>
      <w:tr w:rsidR="00516EBE" w:rsidRPr="009C4174" w14:paraId="154E1AFC"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016BE628"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CCP</w:t>
            </w:r>
          </w:p>
        </w:tc>
        <w:tc>
          <w:tcPr>
            <w:tcW w:w="5342" w:type="dxa"/>
            <w:noWrap/>
            <w:hideMark/>
          </w:tcPr>
          <w:p w14:paraId="23692F73"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cingulate cortex posterior</w:t>
            </w:r>
          </w:p>
        </w:tc>
      </w:tr>
      <w:tr w:rsidR="00516EBE" w:rsidRPr="009C4174" w14:paraId="79A0F01C" w14:textId="77777777" w:rsidTr="004C762E">
        <w:trPr>
          <w:trHeight w:val="288"/>
        </w:trPr>
        <w:tc>
          <w:tcPr>
            <w:tcW w:w="1408" w:type="dxa"/>
            <w:noWrap/>
            <w:hideMark/>
          </w:tcPr>
          <w:p w14:paraId="706DEA1B"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CCR</w:t>
            </w:r>
          </w:p>
        </w:tc>
        <w:tc>
          <w:tcPr>
            <w:tcW w:w="5342" w:type="dxa"/>
            <w:noWrap/>
            <w:hideMark/>
          </w:tcPr>
          <w:p w14:paraId="43BB0AFA"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cingulate cortex retrosplenialis</w:t>
            </w:r>
          </w:p>
        </w:tc>
      </w:tr>
      <w:tr w:rsidR="00516EBE" w:rsidRPr="009C4174" w14:paraId="710E5A01"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2E285377"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CCS</w:t>
            </w:r>
          </w:p>
        </w:tc>
        <w:tc>
          <w:tcPr>
            <w:tcW w:w="5342" w:type="dxa"/>
            <w:noWrap/>
            <w:hideMark/>
          </w:tcPr>
          <w:p w14:paraId="5C16C848"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cingulate cortex subgenualis</w:t>
            </w:r>
          </w:p>
        </w:tc>
      </w:tr>
      <w:tr w:rsidR="00516EBE" w:rsidRPr="009C4174" w14:paraId="36C2655F" w14:textId="77777777" w:rsidTr="004C762E">
        <w:trPr>
          <w:trHeight w:val="288"/>
        </w:trPr>
        <w:tc>
          <w:tcPr>
            <w:tcW w:w="1408" w:type="dxa"/>
            <w:noWrap/>
            <w:hideMark/>
          </w:tcPr>
          <w:p w14:paraId="4E9FCF20"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FEF</w:t>
            </w:r>
          </w:p>
        </w:tc>
        <w:tc>
          <w:tcPr>
            <w:tcW w:w="5342" w:type="dxa"/>
            <w:noWrap/>
            <w:hideMark/>
          </w:tcPr>
          <w:p w14:paraId="63D9D4B7"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frontal eye field</w:t>
            </w:r>
          </w:p>
        </w:tc>
      </w:tr>
      <w:tr w:rsidR="00516EBE" w:rsidRPr="009C4174" w14:paraId="723BD866"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5AB7AEC6"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G</w:t>
            </w:r>
          </w:p>
        </w:tc>
        <w:tc>
          <w:tcPr>
            <w:tcW w:w="5342" w:type="dxa"/>
            <w:noWrap/>
            <w:hideMark/>
          </w:tcPr>
          <w:p w14:paraId="53B8C3C9"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gustatory cortex</w:t>
            </w:r>
          </w:p>
        </w:tc>
      </w:tr>
      <w:tr w:rsidR="00516EBE" w:rsidRPr="009C4174" w14:paraId="660BE216" w14:textId="77777777" w:rsidTr="004C762E">
        <w:trPr>
          <w:trHeight w:val="288"/>
        </w:trPr>
        <w:tc>
          <w:tcPr>
            <w:tcW w:w="1408" w:type="dxa"/>
            <w:noWrap/>
            <w:hideMark/>
          </w:tcPr>
          <w:p w14:paraId="7CE9ADD9"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HC</w:t>
            </w:r>
          </w:p>
        </w:tc>
        <w:tc>
          <w:tcPr>
            <w:tcW w:w="5342" w:type="dxa"/>
            <w:noWrap/>
            <w:hideMark/>
          </w:tcPr>
          <w:p w14:paraId="2BBF5425"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hippocampal cortex</w:t>
            </w:r>
          </w:p>
        </w:tc>
      </w:tr>
      <w:tr w:rsidR="00516EBE" w:rsidRPr="009C4174" w14:paraId="0C62F69F"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70ED4D3E"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IA</w:t>
            </w:r>
          </w:p>
        </w:tc>
        <w:tc>
          <w:tcPr>
            <w:tcW w:w="5342" w:type="dxa"/>
            <w:noWrap/>
            <w:hideMark/>
          </w:tcPr>
          <w:p w14:paraId="5AB928E6"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insula anterior</w:t>
            </w:r>
          </w:p>
        </w:tc>
      </w:tr>
      <w:tr w:rsidR="00516EBE" w:rsidRPr="009C4174" w14:paraId="3E7391A7" w14:textId="77777777" w:rsidTr="004C762E">
        <w:trPr>
          <w:trHeight w:val="288"/>
        </w:trPr>
        <w:tc>
          <w:tcPr>
            <w:tcW w:w="1408" w:type="dxa"/>
            <w:noWrap/>
            <w:hideMark/>
          </w:tcPr>
          <w:p w14:paraId="4B9BD6ED"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IP</w:t>
            </w:r>
          </w:p>
        </w:tc>
        <w:tc>
          <w:tcPr>
            <w:tcW w:w="5342" w:type="dxa"/>
            <w:noWrap/>
            <w:hideMark/>
          </w:tcPr>
          <w:p w14:paraId="34911F89"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insula posterior</w:t>
            </w:r>
          </w:p>
        </w:tc>
      </w:tr>
      <w:tr w:rsidR="00516EBE" w:rsidRPr="009C4174" w14:paraId="21320F59"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72A7870F"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M1</w:t>
            </w:r>
          </w:p>
        </w:tc>
        <w:tc>
          <w:tcPr>
            <w:tcW w:w="5342" w:type="dxa"/>
            <w:noWrap/>
            <w:hideMark/>
          </w:tcPr>
          <w:p w14:paraId="1FF55106"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primary motor cortex</w:t>
            </w:r>
          </w:p>
        </w:tc>
      </w:tr>
      <w:tr w:rsidR="00516EBE" w:rsidRPr="009C4174" w14:paraId="6C66F466" w14:textId="77777777" w:rsidTr="004C762E">
        <w:trPr>
          <w:trHeight w:val="288"/>
        </w:trPr>
        <w:tc>
          <w:tcPr>
            <w:tcW w:w="1408" w:type="dxa"/>
            <w:noWrap/>
            <w:hideMark/>
          </w:tcPr>
          <w:p w14:paraId="18839DB4"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PCI</w:t>
            </w:r>
          </w:p>
        </w:tc>
        <w:tc>
          <w:tcPr>
            <w:tcW w:w="5342" w:type="dxa"/>
            <w:noWrap/>
            <w:hideMark/>
          </w:tcPr>
          <w:p w14:paraId="0C45CA1A"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parietal cortex inferior</w:t>
            </w:r>
          </w:p>
        </w:tc>
      </w:tr>
      <w:tr w:rsidR="00516EBE" w:rsidRPr="009C4174" w14:paraId="29D02071"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44BAECA8"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PCIP</w:t>
            </w:r>
          </w:p>
        </w:tc>
        <w:tc>
          <w:tcPr>
            <w:tcW w:w="5342" w:type="dxa"/>
            <w:noWrap/>
            <w:hideMark/>
          </w:tcPr>
          <w:p w14:paraId="5215CFC2"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parietal cortex intraparietal sulcus</w:t>
            </w:r>
          </w:p>
        </w:tc>
      </w:tr>
      <w:tr w:rsidR="00516EBE" w:rsidRPr="009C4174" w14:paraId="0CF0D33A" w14:textId="77777777" w:rsidTr="004C762E">
        <w:trPr>
          <w:trHeight w:val="288"/>
        </w:trPr>
        <w:tc>
          <w:tcPr>
            <w:tcW w:w="1408" w:type="dxa"/>
            <w:noWrap/>
            <w:hideMark/>
          </w:tcPr>
          <w:p w14:paraId="30795629"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PCM</w:t>
            </w:r>
          </w:p>
        </w:tc>
        <w:tc>
          <w:tcPr>
            <w:tcW w:w="5342" w:type="dxa"/>
            <w:noWrap/>
            <w:hideMark/>
          </w:tcPr>
          <w:p w14:paraId="39EB24D5"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parietal cortex medial</w:t>
            </w:r>
          </w:p>
        </w:tc>
      </w:tr>
      <w:tr w:rsidR="00516EBE" w:rsidRPr="009C4174" w14:paraId="61E42979"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0DE4155D"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PCS</w:t>
            </w:r>
          </w:p>
        </w:tc>
        <w:tc>
          <w:tcPr>
            <w:tcW w:w="5342" w:type="dxa"/>
            <w:noWrap/>
            <w:hideMark/>
          </w:tcPr>
          <w:p w14:paraId="02145A98"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parietal cortex superior</w:t>
            </w:r>
          </w:p>
        </w:tc>
      </w:tr>
      <w:tr w:rsidR="00516EBE" w:rsidRPr="009C4174" w14:paraId="26E42AA8" w14:textId="77777777" w:rsidTr="004C762E">
        <w:trPr>
          <w:trHeight w:val="288"/>
        </w:trPr>
        <w:tc>
          <w:tcPr>
            <w:tcW w:w="1408" w:type="dxa"/>
            <w:noWrap/>
            <w:hideMark/>
          </w:tcPr>
          <w:p w14:paraId="0917DFE7"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PFCCL</w:t>
            </w:r>
          </w:p>
        </w:tc>
        <w:tc>
          <w:tcPr>
            <w:tcW w:w="5342" w:type="dxa"/>
            <w:noWrap/>
            <w:hideMark/>
          </w:tcPr>
          <w:p w14:paraId="73F55C55"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prefrontal cortex centrolateral</w:t>
            </w:r>
          </w:p>
        </w:tc>
      </w:tr>
      <w:tr w:rsidR="00516EBE" w:rsidRPr="009C4174" w14:paraId="764C0544"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1A453996"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PFCDL</w:t>
            </w:r>
          </w:p>
        </w:tc>
        <w:tc>
          <w:tcPr>
            <w:tcW w:w="5342" w:type="dxa"/>
            <w:noWrap/>
            <w:hideMark/>
          </w:tcPr>
          <w:p w14:paraId="6CBEFF10"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prefrontal cortex dorsolateral</w:t>
            </w:r>
          </w:p>
        </w:tc>
      </w:tr>
      <w:tr w:rsidR="00516EBE" w:rsidRPr="009C4174" w14:paraId="7462284C" w14:textId="77777777" w:rsidTr="004C762E">
        <w:trPr>
          <w:trHeight w:val="288"/>
        </w:trPr>
        <w:tc>
          <w:tcPr>
            <w:tcW w:w="1408" w:type="dxa"/>
            <w:noWrap/>
            <w:hideMark/>
          </w:tcPr>
          <w:p w14:paraId="5D72F6AA"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PFCDM</w:t>
            </w:r>
          </w:p>
        </w:tc>
        <w:tc>
          <w:tcPr>
            <w:tcW w:w="5342" w:type="dxa"/>
            <w:noWrap/>
            <w:hideMark/>
          </w:tcPr>
          <w:p w14:paraId="1E6DC66E"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prefrontal cortex dorsomedial</w:t>
            </w:r>
          </w:p>
        </w:tc>
      </w:tr>
      <w:tr w:rsidR="00516EBE" w:rsidRPr="009C4174" w14:paraId="24A39C23"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74B0F09B"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PFCM</w:t>
            </w:r>
          </w:p>
        </w:tc>
        <w:tc>
          <w:tcPr>
            <w:tcW w:w="5342" w:type="dxa"/>
            <w:noWrap/>
            <w:hideMark/>
          </w:tcPr>
          <w:p w14:paraId="430B5408"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prefrontal cortex medial</w:t>
            </w:r>
          </w:p>
        </w:tc>
      </w:tr>
      <w:tr w:rsidR="00516EBE" w:rsidRPr="009C4174" w14:paraId="0D30E628" w14:textId="77777777" w:rsidTr="004C762E">
        <w:trPr>
          <w:trHeight w:val="288"/>
        </w:trPr>
        <w:tc>
          <w:tcPr>
            <w:tcW w:w="1408" w:type="dxa"/>
            <w:noWrap/>
            <w:hideMark/>
          </w:tcPr>
          <w:p w14:paraId="33A9AD67"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PFCORB</w:t>
            </w:r>
          </w:p>
        </w:tc>
        <w:tc>
          <w:tcPr>
            <w:tcW w:w="5342" w:type="dxa"/>
            <w:noWrap/>
            <w:hideMark/>
          </w:tcPr>
          <w:p w14:paraId="0F6E1539"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prefrontal cortex orbital</w:t>
            </w:r>
          </w:p>
        </w:tc>
      </w:tr>
      <w:tr w:rsidR="00516EBE" w:rsidRPr="009C4174" w14:paraId="20F47261"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27FA33B8"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PFCPOL</w:t>
            </w:r>
          </w:p>
        </w:tc>
        <w:tc>
          <w:tcPr>
            <w:tcW w:w="5342" w:type="dxa"/>
            <w:noWrap/>
            <w:hideMark/>
          </w:tcPr>
          <w:p w14:paraId="449EF39C"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prefrontal cortex pole</w:t>
            </w:r>
          </w:p>
        </w:tc>
      </w:tr>
      <w:tr w:rsidR="00516EBE" w:rsidRPr="009C4174" w14:paraId="48E3D233" w14:textId="77777777" w:rsidTr="004C762E">
        <w:trPr>
          <w:trHeight w:val="288"/>
        </w:trPr>
        <w:tc>
          <w:tcPr>
            <w:tcW w:w="1408" w:type="dxa"/>
            <w:noWrap/>
            <w:hideMark/>
          </w:tcPr>
          <w:p w14:paraId="5CD4AA62"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PFCVL</w:t>
            </w:r>
          </w:p>
        </w:tc>
        <w:tc>
          <w:tcPr>
            <w:tcW w:w="5342" w:type="dxa"/>
            <w:noWrap/>
            <w:hideMark/>
          </w:tcPr>
          <w:p w14:paraId="659965D0"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prefrontal cortex ventrolateral</w:t>
            </w:r>
          </w:p>
        </w:tc>
      </w:tr>
      <w:tr w:rsidR="00516EBE" w:rsidRPr="009C4174" w14:paraId="1B9D7ED7"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6703CF1C"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PHC</w:t>
            </w:r>
          </w:p>
        </w:tc>
        <w:tc>
          <w:tcPr>
            <w:tcW w:w="5342" w:type="dxa"/>
            <w:noWrap/>
            <w:hideMark/>
          </w:tcPr>
          <w:p w14:paraId="182D442F"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parahippocampal cortex</w:t>
            </w:r>
          </w:p>
        </w:tc>
      </w:tr>
      <w:tr w:rsidR="00516EBE" w:rsidRPr="009C4174" w14:paraId="04D9019D" w14:textId="77777777" w:rsidTr="004C762E">
        <w:trPr>
          <w:trHeight w:val="288"/>
        </w:trPr>
        <w:tc>
          <w:tcPr>
            <w:tcW w:w="1408" w:type="dxa"/>
            <w:noWrap/>
            <w:hideMark/>
          </w:tcPr>
          <w:p w14:paraId="0417C7B0"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PMCDL</w:t>
            </w:r>
          </w:p>
        </w:tc>
        <w:tc>
          <w:tcPr>
            <w:tcW w:w="5342" w:type="dxa"/>
            <w:noWrap/>
            <w:hideMark/>
          </w:tcPr>
          <w:p w14:paraId="1F546CA7"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premotor cortex dorsolateral</w:t>
            </w:r>
          </w:p>
        </w:tc>
      </w:tr>
      <w:tr w:rsidR="00516EBE" w:rsidRPr="009C4174" w14:paraId="03D1E15A"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141F8754"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PMCM</w:t>
            </w:r>
          </w:p>
        </w:tc>
        <w:tc>
          <w:tcPr>
            <w:tcW w:w="5342" w:type="dxa"/>
            <w:noWrap/>
            <w:hideMark/>
          </w:tcPr>
          <w:p w14:paraId="18976A33"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premotor cortex medial (supplementary motor cortex)</w:t>
            </w:r>
          </w:p>
        </w:tc>
      </w:tr>
      <w:tr w:rsidR="00516EBE" w:rsidRPr="009C4174" w14:paraId="59A0F97D" w14:textId="77777777" w:rsidTr="004C762E">
        <w:trPr>
          <w:trHeight w:val="288"/>
        </w:trPr>
        <w:tc>
          <w:tcPr>
            <w:tcW w:w="1408" w:type="dxa"/>
            <w:noWrap/>
            <w:hideMark/>
          </w:tcPr>
          <w:p w14:paraId="25BEDD5D"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PMCVL</w:t>
            </w:r>
          </w:p>
        </w:tc>
        <w:tc>
          <w:tcPr>
            <w:tcW w:w="5342" w:type="dxa"/>
            <w:noWrap/>
            <w:hideMark/>
          </w:tcPr>
          <w:p w14:paraId="263EFDF2"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premotor cortex ventrolateral</w:t>
            </w:r>
          </w:p>
        </w:tc>
      </w:tr>
      <w:tr w:rsidR="00516EBE" w:rsidRPr="009C4174" w14:paraId="38E8B17B"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0F9022AE"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S1</w:t>
            </w:r>
          </w:p>
        </w:tc>
        <w:tc>
          <w:tcPr>
            <w:tcW w:w="5342" w:type="dxa"/>
            <w:noWrap/>
            <w:hideMark/>
          </w:tcPr>
          <w:p w14:paraId="278F20C3"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primary somatosensory cortex</w:t>
            </w:r>
          </w:p>
        </w:tc>
      </w:tr>
      <w:tr w:rsidR="00516EBE" w:rsidRPr="009C4174" w14:paraId="76F5A5C0" w14:textId="77777777" w:rsidTr="004C762E">
        <w:trPr>
          <w:trHeight w:val="288"/>
        </w:trPr>
        <w:tc>
          <w:tcPr>
            <w:tcW w:w="1408" w:type="dxa"/>
            <w:noWrap/>
            <w:hideMark/>
          </w:tcPr>
          <w:p w14:paraId="51ED90F4"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S2</w:t>
            </w:r>
          </w:p>
        </w:tc>
        <w:tc>
          <w:tcPr>
            <w:tcW w:w="5342" w:type="dxa"/>
            <w:noWrap/>
            <w:hideMark/>
          </w:tcPr>
          <w:p w14:paraId="21DEAF3E"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secondary somatosensory cortex</w:t>
            </w:r>
          </w:p>
        </w:tc>
      </w:tr>
      <w:tr w:rsidR="00516EBE" w:rsidRPr="009C4174" w14:paraId="16D6B8A4"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48E4BAD9"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TCC</w:t>
            </w:r>
          </w:p>
        </w:tc>
        <w:tc>
          <w:tcPr>
            <w:tcW w:w="5342" w:type="dxa"/>
            <w:noWrap/>
            <w:hideMark/>
          </w:tcPr>
          <w:p w14:paraId="09E0F9AB"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temporal cortex central</w:t>
            </w:r>
          </w:p>
        </w:tc>
      </w:tr>
      <w:tr w:rsidR="00516EBE" w:rsidRPr="009C4174" w14:paraId="58B2F366" w14:textId="77777777" w:rsidTr="004C762E">
        <w:trPr>
          <w:trHeight w:val="288"/>
        </w:trPr>
        <w:tc>
          <w:tcPr>
            <w:tcW w:w="1408" w:type="dxa"/>
            <w:noWrap/>
            <w:hideMark/>
          </w:tcPr>
          <w:p w14:paraId="467622CD"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TCI</w:t>
            </w:r>
          </w:p>
        </w:tc>
        <w:tc>
          <w:tcPr>
            <w:tcW w:w="5342" w:type="dxa"/>
            <w:noWrap/>
            <w:hideMark/>
          </w:tcPr>
          <w:p w14:paraId="3D21E74B"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temporal cortex inferior</w:t>
            </w:r>
          </w:p>
        </w:tc>
      </w:tr>
      <w:tr w:rsidR="00516EBE" w:rsidRPr="009C4174" w14:paraId="25020E4A"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64307103"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TCPOL</w:t>
            </w:r>
          </w:p>
        </w:tc>
        <w:tc>
          <w:tcPr>
            <w:tcW w:w="5342" w:type="dxa"/>
            <w:noWrap/>
            <w:hideMark/>
          </w:tcPr>
          <w:p w14:paraId="316C5B94"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temporal cortex pole</w:t>
            </w:r>
          </w:p>
        </w:tc>
      </w:tr>
      <w:tr w:rsidR="00516EBE" w:rsidRPr="009C4174" w14:paraId="288AFE1F" w14:textId="77777777" w:rsidTr="004C762E">
        <w:trPr>
          <w:trHeight w:val="288"/>
        </w:trPr>
        <w:tc>
          <w:tcPr>
            <w:tcW w:w="1408" w:type="dxa"/>
            <w:noWrap/>
            <w:hideMark/>
          </w:tcPr>
          <w:p w14:paraId="5AEAF856"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TCS</w:t>
            </w:r>
          </w:p>
        </w:tc>
        <w:tc>
          <w:tcPr>
            <w:tcW w:w="5342" w:type="dxa"/>
            <w:noWrap/>
            <w:hideMark/>
          </w:tcPr>
          <w:p w14:paraId="0345D1B7"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temporal cortex superior</w:t>
            </w:r>
          </w:p>
        </w:tc>
      </w:tr>
      <w:tr w:rsidR="00516EBE" w:rsidRPr="009C4174" w14:paraId="635F54AF"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7743BE48"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TCV</w:t>
            </w:r>
          </w:p>
        </w:tc>
        <w:tc>
          <w:tcPr>
            <w:tcW w:w="5342" w:type="dxa"/>
            <w:noWrap/>
            <w:hideMark/>
          </w:tcPr>
          <w:p w14:paraId="7CE7CAE3"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temporal cortex ventral</w:t>
            </w:r>
          </w:p>
        </w:tc>
      </w:tr>
      <w:tr w:rsidR="00516EBE" w:rsidRPr="009C4174" w14:paraId="48EC0E2B" w14:textId="77777777" w:rsidTr="004C762E">
        <w:trPr>
          <w:trHeight w:val="288"/>
        </w:trPr>
        <w:tc>
          <w:tcPr>
            <w:tcW w:w="1408" w:type="dxa"/>
            <w:noWrap/>
            <w:hideMark/>
          </w:tcPr>
          <w:p w14:paraId="5B409EE8"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V1</w:t>
            </w:r>
          </w:p>
        </w:tc>
        <w:tc>
          <w:tcPr>
            <w:tcW w:w="5342" w:type="dxa"/>
            <w:noWrap/>
            <w:hideMark/>
          </w:tcPr>
          <w:p w14:paraId="591D023F"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primary visual cortex</w:t>
            </w:r>
          </w:p>
        </w:tc>
      </w:tr>
      <w:tr w:rsidR="00516EBE" w:rsidRPr="009C4174" w14:paraId="63581CC8" w14:textId="77777777" w:rsidTr="004C762E">
        <w:trPr>
          <w:cnfStyle w:val="000000100000" w:firstRow="0" w:lastRow="0" w:firstColumn="0" w:lastColumn="0" w:oddVBand="0" w:evenVBand="0" w:oddHBand="1" w:evenHBand="0" w:firstRowFirstColumn="0" w:firstRowLastColumn="0" w:lastRowFirstColumn="0" w:lastRowLastColumn="0"/>
          <w:trHeight w:val="288"/>
        </w:trPr>
        <w:tc>
          <w:tcPr>
            <w:tcW w:w="1408" w:type="dxa"/>
            <w:noWrap/>
            <w:hideMark/>
          </w:tcPr>
          <w:p w14:paraId="22E854F3"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V2</w:t>
            </w:r>
          </w:p>
        </w:tc>
        <w:tc>
          <w:tcPr>
            <w:tcW w:w="5342" w:type="dxa"/>
            <w:noWrap/>
            <w:hideMark/>
          </w:tcPr>
          <w:p w14:paraId="460FB323"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secondary visual cortex</w:t>
            </w:r>
          </w:p>
        </w:tc>
      </w:tr>
      <w:tr w:rsidR="00516EBE" w:rsidRPr="009C4174" w14:paraId="4F8F31DF" w14:textId="77777777" w:rsidTr="004C762E">
        <w:trPr>
          <w:trHeight w:val="288"/>
        </w:trPr>
        <w:tc>
          <w:tcPr>
            <w:tcW w:w="1408" w:type="dxa"/>
            <w:noWrap/>
            <w:hideMark/>
          </w:tcPr>
          <w:p w14:paraId="4655010B"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lastRenderedPageBreak/>
              <w:t>CC</w:t>
            </w:r>
          </w:p>
        </w:tc>
        <w:tc>
          <w:tcPr>
            <w:tcW w:w="5342" w:type="dxa"/>
            <w:noWrap/>
            <w:hideMark/>
          </w:tcPr>
          <w:p w14:paraId="4615DB69" w14:textId="77777777" w:rsidR="00516EBE" w:rsidRPr="009C4174" w:rsidRDefault="00516EBE" w:rsidP="004C762E">
            <w:pPr>
              <w:rPr>
                <w:rFonts w:ascii="Calibri" w:eastAsia="Times New Roman" w:hAnsi="Calibri" w:cs="Calibri"/>
                <w:color w:val="000000"/>
              </w:rPr>
            </w:pPr>
            <w:r w:rsidRPr="009C4174">
              <w:rPr>
                <w:rFonts w:ascii="Calibri" w:eastAsia="Times New Roman" w:hAnsi="Calibri" w:cs="Calibri"/>
                <w:color w:val="000000"/>
              </w:rPr>
              <w:t xml:space="preserve"> ---</w:t>
            </w:r>
          </w:p>
        </w:tc>
      </w:tr>
    </w:tbl>
    <w:p w14:paraId="437912FA" w14:textId="77777777" w:rsidR="00516EBE" w:rsidRPr="001D1013" w:rsidRDefault="00516EBE" w:rsidP="00516EBE">
      <w:pPr>
        <w:spacing w:after="100" w:afterAutospacing="1" w:line="240" w:lineRule="auto"/>
        <w:rPr>
          <w:rFonts w:ascii="Times New Roman" w:hAnsi="Times New Roman" w:cs="Times New Roman"/>
        </w:rPr>
      </w:pPr>
      <w:r w:rsidRPr="001D1013">
        <w:rPr>
          <w:rFonts w:ascii="Times New Roman" w:hAnsi="Times New Roman" w:cs="Times New Roman"/>
          <w:noProof/>
        </w:rPr>
        <w:drawing>
          <wp:inline distT="0" distB="0" distL="0" distR="0" wp14:anchorId="7FC1F076" wp14:editId="46D531B0">
            <wp:extent cx="6202680" cy="1127760"/>
            <wp:effectExtent l="0" t="0" r="7620" b="0"/>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2680" cy="1127760"/>
                    </a:xfrm>
                    <a:prstGeom prst="rect">
                      <a:avLst/>
                    </a:prstGeom>
                    <a:noFill/>
                    <a:ln>
                      <a:noFill/>
                    </a:ln>
                  </pic:spPr>
                </pic:pic>
              </a:graphicData>
            </a:graphic>
          </wp:inline>
        </w:drawing>
      </w:r>
    </w:p>
    <w:p w14:paraId="16D9C7EE" w14:textId="0D784616" w:rsidR="00516EBE" w:rsidRPr="001D1013" w:rsidRDefault="00C0048F" w:rsidP="00516EBE">
      <w:pPr>
        <w:spacing w:after="100" w:afterAutospacing="1" w:line="240" w:lineRule="auto"/>
        <w:rPr>
          <w:rFonts w:ascii="Times New Roman" w:hAnsi="Times New Roman" w:cs="Times New Roman"/>
          <w:sz w:val="20"/>
          <w:szCs w:val="20"/>
        </w:rPr>
      </w:pPr>
      <w:r w:rsidRPr="00C0048F">
        <w:rPr>
          <w:rFonts w:ascii="Times New Roman" w:hAnsi="Times New Roman" w:cs="Times New Roman"/>
          <w:b/>
          <w:bCs/>
          <w:sz w:val="20"/>
          <w:szCs w:val="20"/>
        </w:rPr>
        <w:t>Appendix</w:t>
      </w:r>
      <w:r>
        <w:rPr>
          <w:rFonts w:ascii="Times New Roman" w:hAnsi="Times New Roman" w:cs="Times New Roman"/>
          <w:b/>
          <w:bCs/>
          <w:sz w:val="20"/>
          <w:szCs w:val="20"/>
        </w:rPr>
        <w:t xml:space="preserve"> </w:t>
      </w:r>
      <w:r w:rsidR="00516EBE" w:rsidRPr="001D1013">
        <w:rPr>
          <w:rFonts w:ascii="Times New Roman" w:hAnsi="Times New Roman" w:cs="Times New Roman"/>
          <w:b/>
          <w:bCs/>
          <w:sz w:val="20"/>
          <w:szCs w:val="20"/>
        </w:rPr>
        <w:t xml:space="preserve">Figure 1. </w:t>
      </w:r>
      <w:r w:rsidR="00516EBE" w:rsidRPr="001D1013">
        <w:rPr>
          <w:rFonts w:ascii="Times New Roman" w:hAnsi="Times New Roman" w:cs="Times New Roman"/>
          <w:sz w:val="20"/>
          <w:szCs w:val="20"/>
        </w:rPr>
        <w:t>Pseudocode for initialization function of modularity algorithm. This method unpacks the connectome from the output node (M1), identifying all of its source nodes.</w:t>
      </w:r>
    </w:p>
    <w:p w14:paraId="3BD7B766" w14:textId="77777777" w:rsidR="00516EBE" w:rsidRPr="001D1013" w:rsidRDefault="00516EBE" w:rsidP="00516EBE">
      <w:pPr>
        <w:spacing w:after="100" w:afterAutospacing="1" w:line="240" w:lineRule="auto"/>
        <w:rPr>
          <w:rFonts w:ascii="Times New Roman" w:hAnsi="Times New Roman" w:cs="Times New Roman"/>
        </w:rPr>
      </w:pPr>
      <w:r w:rsidRPr="001D1013">
        <w:rPr>
          <w:rFonts w:ascii="Times New Roman" w:hAnsi="Times New Roman" w:cs="Times New Roman"/>
          <w:noProof/>
        </w:rPr>
        <w:drawing>
          <wp:inline distT="0" distB="0" distL="0" distR="0" wp14:anchorId="12D22E33" wp14:editId="3033063B">
            <wp:extent cx="6202680" cy="5897880"/>
            <wp:effectExtent l="0" t="0" r="7620" b="762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2680" cy="5897880"/>
                    </a:xfrm>
                    <a:prstGeom prst="rect">
                      <a:avLst/>
                    </a:prstGeom>
                    <a:noFill/>
                    <a:ln>
                      <a:noFill/>
                    </a:ln>
                  </pic:spPr>
                </pic:pic>
              </a:graphicData>
            </a:graphic>
          </wp:inline>
        </w:drawing>
      </w:r>
    </w:p>
    <w:p w14:paraId="5DA397E6" w14:textId="7D31C7F6" w:rsidR="00516EBE" w:rsidRPr="001D1013" w:rsidRDefault="00C0048F" w:rsidP="00516EBE">
      <w:pPr>
        <w:spacing w:after="100" w:afterAutospacing="1" w:line="240" w:lineRule="auto"/>
        <w:rPr>
          <w:rFonts w:ascii="Times New Roman" w:hAnsi="Times New Roman" w:cs="Times New Roman"/>
          <w:sz w:val="20"/>
          <w:szCs w:val="20"/>
        </w:rPr>
      </w:pPr>
      <w:r w:rsidRPr="00C0048F">
        <w:rPr>
          <w:rFonts w:ascii="Times New Roman" w:hAnsi="Times New Roman" w:cs="Times New Roman"/>
          <w:b/>
          <w:bCs/>
          <w:sz w:val="20"/>
          <w:szCs w:val="20"/>
        </w:rPr>
        <w:lastRenderedPageBreak/>
        <w:t>Appendix</w:t>
      </w:r>
      <w:r>
        <w:rPr>
          <w:rFonts w:ascii="Times New Roman" w:hAnsi="Times New Roman" w:cs="Times New Roman"/>
          <w:b/>
          <w:bCs/>
          <w:sz w:val="20"/>
          <w:szCs w:val="20"/>
        </w:rPr>
        <w:t xml:space="preserve"> </w:t>
      </w:r>
      <w:r w:rsidR="00516EBE" w:rsidRPr="001D1013">
        <w:rPr>
          <w:rFonts w:ascii="Times New Roman" w:hAnsi="Times New Roman" w:cs="Times New Roman"/>
          <w:b/>
          <w:bCs/>
          <w:sz w:val="20"/>
          <w:szCs w:val="20"/>
        </w:rPr>
        <w:t xml:space="preserve">Figure 2. </w:t>
      </w:r>
      <w:r w:rsidR="00516EBE" w:rsidRPr="001D1013">
        <w:rPr>
          <w:rFonts w:ascii="Times New Roman" w:hAnsi="Times New Roman" w:cs="Times New Roman"/>
          <w:sz w:val="20"/>
          <w:szCs w:val="20"/>
        </w:rPr>
        <w:t>Pseudocode for unpacking function of modularity algorithm. This method initializes the algorithm and further unpacks the connectome dependent on the desired depth of unpacking.</w:t>
      </w:r>
    </w:p>
    <w:p w14:paraId="68073635" w14:textId="77777777" w:rsidR="00516EBE" w:rsidRPr="001D1013" w:rsidRDefault="00516EBE" w:rsidP="00516EBE">
      <w:pPr>
        <w:spacing w:after="100" w:afterAutospacing="1" w:line="240" w:lineRule="auto"/>
        <w:rPr>
          <w:rFonts w:ascii="Times New Roman" w:hAnsi="Times New Roman" w:cs="Times New Roman"/>
        </w:rPr>
      </w:pPr>
      <w:r w:rsidRPr="001D1013">
        <w:rPr>
          <w:rFonts w:ascii="Times New Roman" w:hAnsi="Times New Roman" w:cs="Times New Roman"/>
          <w:noProof/>
        </w:rPr>
        <w:drawing>
          <wp:inline distT="0" distB="0" distL="0" distR="0" wp14:anchorId="3D62D82E" wp14:editId="140C302F">
            <wp:extent cx="6208395" cy="4684862"/>
            <wp:effectExtent l="0" t="0" r="1905" b="1905"/>
            <wp:docPr id="11" name="Picture 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email&#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8395" cy="4684862"/>
                    </a:xfrm>
                    <a:prstGeom prst="rect">
                      <a:avLst/>
                    </a:prstGeom>
                    <a:noFill/>
                    <a:ln>
                      <a:noFill/>
                    </a:ln>
                  </pic:spPr>
                </pic:pic>
              </a:graphicData>
            </a:graphic>
          </wp:inline>
        </w:drawing>
      </w:r>
    </w:p>
    <w:p w14:paraId="3712DB90" w14:textId="58E30533" w:rsidR="007222D8" w:rsidRPr="00417D9D" w:rsidRDefault="00C0048F" w:rsidP="00417D9D">
      <w:pPr>
        <w:spacing w:after="100" w:afterAutospacing="1" w:line="240" w:lineRule="auto"/>
        <w:rPr>
          <w:rFonts w:ascii="Times New Roman" w:hAnsi="Times New Roman" w:cs="Times New Roman"/>
          <w:sz w:val="20"/>
          <w:szCs w:val="20"/>
        </w:rPr>
      </w:pPr>
      <w:r w:rsidRPr="00C0048F">
        <w:rPr>
          <w:rFonts w:ascii="Times New Roman" w:hAnsi="Times New Roman" w:cs="Times New Roman"/>
          <w:b/>
          <w:bCs/>
          <w:sz w:val="20"/>
          <w:szCs w:val="20"/>
        </w:rPr>
        <w:t>Appendix</w:t>
      </w:r>
      <w:r>
        <w:rPr>
          <w:rFonts w:ascii="Times New Roman" w:hAnsi="Times New Roman" w:cs="Times New Roman"/>
          <w:b/>
          <w:bCs/>
          <w:sz w:val="20"/>
          <w:szCs w:val="20"/>
        </w:rPr>
        <w:t xml:space="preserve"> </w:t>
      </w:r>
      <w:r w:rsidR="00516EBE" w:rsidRPr="001D1013">
        <w:rPr>
          <w:rFonts w:ascii="Times New Roman" w:hAnsi="Times New Roman" w:cs="Times New Roman"/>
          <w:b/>
          <w:bCs/>
          <w:sz w:val="20"/>
          <w:szCs w:val="20"/>
        </w:rPr>
        <w:t xml:space="preserve">Figure 3. </w:t>
      </w:r>
      <w:r w:rsidR="00516EBE" w:rsidRPr="001D1013">
        <w:rPr>
          <w:rFonts w:ascii="Times New Roman" w:hAnsi="Times New Roman" w:cs="Times New Roman"/>
          <w:sz w:val="20"/>
          <w:szCs w:val="20"/>
        </w:rPr>
        <w:t>Pseudocode for rebuilding function of modularity algorithm. This method unpacks the connectome, and from the input node (V1), traces all possible paths back to the output node. This portion of the modularity algorithm is self-constrained by only considering the input node from the final layer of unpacking, further constrained by the number of steps the algorithm can take along the followed paths.</w:t>
      </w:r>
      <w:bookmarkEnd w:id="0"/>
    </w:p>
    <w:sectPr w:rsidR="007222D8" w:rsidRPr="00417D9D" w:rsidSect="00F815F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6CDA5" w14:textId="77777777" w:rsidR="00477F84" w:rsidRDefault="00477F84" w:rsidP="007173DF">
      <w:pPr>
        <w:spacing w:after="0" w:line="240" w:lineRule="auto"/>
      </w:pPr>
      <w:r>
        <w:separator/>
      </w:r>
    </w:p>
  </w:endnote>
  <w:endnote w:type="continuationSeparator" w:id="0">
    <w:p w14:paraId="7691ACF0" w14:textId="77777777" w:rsidR="00477F84" w:rsidRDefault="00477F84" w:rsidP="007173DF">
      <w:pPr>
        <w:spacing w:after="0" w:line="240" w:lineRule="auto"/>
      </w:pPr>
      <w:r>
        <w:continuationSeparator/>
      </w:r>
    </w:p>
  </w:endnote>
  <w:endnote w:type="continuationNotice" w:id="1">
    <w:p w14:paraId="36DAACDF" w14:textId="77777777" w:rsidR="00477F84" w:rsidRDefault="00477F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182D3" w14:textId="77777777" w:rsidR="002E5DB6" w:rsidRDefault="002E5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5050860"/>
      <w:docPartObj>
        <w:docPartGallery w:val="Page Numbers (Bottom of Page)"/>
        <w:docPartUnique/>
      </w:docPartObj>
    </w:sdtPr>
    <w:sdtEndPr>
      <w:rPr>
        <w:noProof/>
      </w:rPr>
    </w:sdtEndPr>
    <w:sdtContent>
      <w:p w14:paraId="65B9BF58" w14:textId="5732206F" w:rsidR="00626396" w:rsidRDefault="00626396">
        <w:pPr>
          <w:pStyle w:val="Footer"/>
        </w:pPr>
        <w:r>
          <w:fldChar w:fldCharType="begin"/>
        </w:r>
        <w:r>
          <w:instrText xml:space="preserve"> PAGE   \* MERGEFORMAT </w:instrText>
        </w:r>
        <w:r>
          <w:fldChar w:fldCharType="separate"/>
        </w:r>
        <w:r>
          <w:rPr>
            <w:noProof/>
          </w:rPr>
          <w:t>2</w:t>
        </w:r>
        <w:r>
          <w:rPr>
            <w:noProof/>
          </w:rPr>
          <w:fldChar w:fldCharType="end"/>
        </w:r>
      </w:p>
    </w:sdtContent>
  </w:sdt>
  <w:p w14:paraId="568A2457" w14:textId="77777777" w:rsidR="00204B4C" w:rsidRDefault="00204B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E536C" w14:textId="77777777" w:rsidR="002E5DB6" w:rsidRDefault="002E5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69D4E" w14:textId="77777777" w:rsidR="00477F84" w:rsidRDefault="00477F84" w:rsidP="007173DF">
      <w:pPr>
        <w:spacing w:after="0" w:line="240" w:lineRule="auto"/>
      </w:pPr>
      <w:r>
        <w:separator/>
      </w:r>
    </w:p>
  </w:footnote>
  <w:footnote w:type="continuationSeparator" w:id="0">
    <w:p w14:paraId="33540793" w14:textId="77777777" w:rsidR="00477F84" w:rsidRDefault="00477F84" w:rsidP="007173DF">
      <w:pPr>
        <w:spacing w:after="0" w:line="240" w:lineRule="auto"/>
      </w:pPr>
      <w:r>
        <w:continuationSeparator/>
      </w:r>
    </w:p>
  </w:footnote>
  <w:footnote w:type="continuationNotice" w:id="1">
    <w:p w14:paraId="31CB2987" w14:textId="77777777" w:rsidR="00477F84" w:rsidRDefault="00477F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83B96" w14:textId="77777777" w:rsidR="002E5DB6" w:rsidRDefault="002E5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530AD" w14:textId="77777777" w:rsidR="002E5DB6" w:rsidRDefault="002E5D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8D3BF" w14:textId="77777777" w:rsidR="002E5DB6" w:rsidRDefault="002E5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6EF50B8"/>
    <w:multiLevelType w:val="hybridMultilevel"/>
    <w:tmpl w:val="637C17A8"/>
    <w:lvl w:ilvl="0" w:tplc="F73435C0">
      <w:start w:val="1"/>
      <w:numFmt w:val="decimal"/>
      <w:suff w:val="space"/>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3544FA"/>
    <w:multiLevelType w:val="hybridMultilevel"/>
    <w:tmpl w:val="DCAA264E"/>
    <w:lvl w:ilvl="0" w:tplc="392CA998">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W2NDS0MLGwNDQ3sTBR0lEKTi0uzszPAykwqgUAUm6k5CwAAAA="/>
  </w:docVars>
  <w:rsids>
    <w:rsidRoot w:val="00F815F4"/>
    <w:rsid w:val="00002883"/>
    <w:rsid w:val="0000290A"/>
    <w:rsid w:val="00002D58"/>
    <w:rsid w:val="0000407A"/>
    <w:rsid w:val="00005587"/>
    <w:rsid w:val="000076CC"/>
    <w:rsid w:val="00007F09"/>
    <w:rsid w:val="0001124E"/>
    <w:rsid w:val="000156A2"/>
    <w:rsid w:val="00022486"/>
    <w:rsid w:val="0002306C"/>
    <w:rsid w:val="000246E1"/>
    <w:rsid w:val="000260A1"/>
    <w:rsid w:val="0002762E"/>
    <w:rsid w:val="0002767D"/>
    <w:rsid w:val="00032CF9"/>
    <w:rsid w:val="000341AC"/>
    <w:rsid w:val="00037F83"/>
    <w:rsid w:val="00041500"/>
    <w:rsid w:val="00041BE2"/>
    <w:rsid w:val="00050433"/>
    <w:rsid w:val="000610D5"/>
    <w:rsid w:val="0006329E"/>
    <w:rsid w:val="000647BE"/>
    <w:rsid w:val="00065C00"/>
    <w:rsid w:val="00071641"/>
    <w:rsid w:val="00073F46"/>
    <w:rsid w:val="000763BC"/>
    <w:rsid w:val="00080BDC"/>
    <w:rsid w:val="00081337"/>
    <w:rsid w:val="00081C40"/>
    <w:rsid w:val="00082241"/>
    <w:rsid w:val="00090F2C"/>
    <w:rsid w:val="00093A9C"/>
    <w:rsid w:val="00094745"/>
    <w:rsid w:val="00097BF3"/>
    <w:rsid w:val="000A485E"/>
    <w:rsid w:val="000B245A"/>
    <w:rsid w:val="000C122F"/>
    <w:rsid w:val="000D1C62"/>
    <w:rsid w:val="000D3650"/>
    <w:rsid w:val="000D51FE"/>
    <w:rsid w:val="000D540B"/>
    <w:rsid w:val="000D55DD"/>
    <w:rsid w:val="000E7616"/>
    <w:rsid w:val="000F11A8"/>
    <w:rsid w:val="000F3326"/>
    <w:rsid w:val="000F4B30"/>
    <w:rsid w:val="000F5E75"/>
    <w:rsid w:val="00104B50"/>
    <w:rsid w:val="001076C3"/>
    <w:rsid w:val="00110638"/>
    <w:rsid w:val="001132A4"/>
    <w:rsid w:val="00115B2B"/>
    <w:rsid w:val="001161D9"/>
    <w:rsid w:val="00123CC4"/>
    <w:rsid w:val="00123FE0"/>
    <w:rsid w:val="0012414B"/>
    <w:rsid w:val="001249B2"/>
    <w:rsid w:val="00124E84"/>
    <w:rsid w:val="00127637"/>
    <w:rsid w:val="00130BC3"/>
    <w:rsid w:val="001366B1"/>
    <w:rsid w:val="00141687"/>
    <w:rsid w:val="0014171D"/>
    <w:rsid w:val="00142455"/>
    <w:rsid w:val="001436FC"/>
    <w:rsid w:val="00143755"/>
    <w:rsid w:val="0014646F"/>
    <w:rsid w:val="001533F7"/>
    <w:rsid w:val="00153C32"/>
    <w:rsid w:val="001551EC"/>
    <w:rsid w:val="00156DE6"/>
    <w:rsid w:val="00157702"/>
    <w:rsid w:val="00161B05"/>
    <w:rsid w:val="00162918"/>
    <w:rsid w:val="00172D5D"/>
    <w:rsid w:val="00175A8C"/>
    <w:rsid w:val="00175E7D"/>
    <w:rsid w:val="0017741C"/>
    <w:rsid w:val="001814A4"/>
    <w:rsid w:val="0018595F"/>
    <w:rsid w:val="00190919"/>
    <w:rsid w:val="00190B6D"/>
    <w:rsid w:val="00195C5D"/>
    <w:rsid w:val="001973C9"/>
    <w:rsid w:val="001A0244"/>
    <w:rsid w:val="001A4F57"/>
    <w:rsid w:val="001B2FFB"/>
    <w:rsid w:val="001C0CEB"/>
    <w:rsid w:val="001C149E"/>
    <w:rsid w:val="001C14E8"/>
    <w:rsid w:val="001C28F6"/>
    <w:rsid w:val="001C5256"/>
    <w:rsid w:val="001D1013"/>
    <w:rsid w:val="001D5C7E"/>
    <w:rsid w:val="001D6484"/>
    <w:rsid w:val="001D7492"/>
    <w:rsid w:val="001E437D"/>
    <w:rsid w:val="001E451A"/>
    <w:rsid w:val="001E715B"/>
    <w:rsid w:val="001F1C76"/>
    <w:rsid w:val="001F4C49"/>
    <w:rsid w:val="00204B4C"/>
    <w:rsid w:val="00204D5F"/>
    <w:rsid w:val="00210779"/>
    <w:rsid w:val="00212208"/>
    <w:rsid w:val="00212CB8"/>
    <w:rsid w:val="002138C0"/>
    <w:rsid w:val="00223ED4"/>
    <w:rsid w:val="00224555"/>
    <w:rsid w:val="00224D38"/>
    <w:rsid w:val="002308B1"/>
    <w:rsid w:val="0023582C"/>
    <w:rsid w:val="00240566"/>
    <w:rsid w:val="002453F7"/>
    <w:rsid w:val="00247A56"/>
    <w:rsid w:val="00251F30"/>
    <w:rsid w:val="002540EC"/>
    <w:rsid w:val="00263182"/>
    <w:rsid w:val="00266AC3"/>
    <w:rsid w:val="00267C38"/>
    <w:rsid w:val="00271DDB"/>
    <w:rsid w:val="002738D3"/>
    <w:rsid w:val="002773BE"/>
    <w:rsid w:val="002838A1"/>
    <w:rsid w:val="002912D1"/>
    <w:rsid w:val="00292DC6"/>
    <w:rsid w:val="0029356B"/>
    <w:rsid w:val="0029411A"/>
    <w:rsid w:val="00295802"/>
    <w:rsid w:val="002960AE"/>
    <w:rsid w:val="00297F6B"/>
    <w:rsid w:val="002A191C"/>
    <w:rsid w:val="002B6427"/>
    <w:rsid w:val="002C0A83"/>
    <w:rsid w:val="002C5D2B"/>
    <w:rsid w:val="002C701D"/>
    <w:rsid w:val="002D0CC1"/>
    <w:rsid w:val="002D2F39"/>
    <w:rsid w:val="002D30A9"/>
    <w:rsid w:val="002D7DE1"/>
    <w:rsid w:val="002E1D65"/>
    <w:rsid w:val="002E5DB6"/>
    <w:rsid w:val="002E6350"/>
    <w:rsid w:val="002E7C45"/>
    <w:rsid w:val="002F0304"/>
    <w:rsid w:val="002F266D"/>
    <w:rsid w:val="002F368C"/>
    <w:rsid w:val="002F64D6"/>
    <w:rsid w:val="002F6950"/>
    <w:rsid w:val="002F6BC6"/>
    <w:rsid w:val="002F6E75"/>
    <w:rsid w:val="0030187A"/>
    <w:rsid w:val="003027BD"/>
    <w:rsid w:val="00302862"/>
    <w:rsid w:val="003043B1"/>
    <w:rsid w:val="00304503"/>
    <w:rsid w:val="0030567F"/>
    <w:rsid w:val="00314701"/>
    <w:rsid w:val="00315734"/>
    <w:rsid w:val="00315762"/>
    <w:rsid w:val="00316CCB"/>
    <w:rsid w:val="00316DF9"/>
    <w:rsid w:val="003178BD"/>
    <w:rsid w:val="0031791E"/>
    <w:rsid w:val="00322489"/>
    <w:rsid w:val="00323659"/>
    <w:rsid w:val="00323955"/>
    <w:rsid w:val="003255ED"/>
    <w:rsid w:val="00330D08"/>
    <w:rsid w:val="00330F08"/>
    <w:rsid w:val="0033621A"/>
    <w:rsid w:val="00345BEB"/>
    <w:rsid w:val="00346210"/>
    <w:rsid w:val="00347B79"/>
    <w:rsid w:val="00347D53"/>
    <w:rsid w:val="00351673"/>
    <w:rsid w:val="00352ACB"/>
    <w:rsid w:val="00352FB0"/>
    <w:rsid w:val="00355309"/>
    <w:rsid w:val="00356384"/>
    <w:rsid w:val="0035779F"/>
    <w:rsid w:val="0036206D"/>
    <w:rsid w:val="003628D3"/>
    <w:rsid w:val="00363E52"/>
    <w:rsid w:val="00364CFC"/>
    <w:rsid w:val="00364D3D"/>
    <w:rsid w:val="00370443"/>
    <w:rsid w:val="003705B2"/>
    <w:rsid w:val="00370E44"/>
    <w:rsid w:val="00372A5D"/>
    <w:rsid w:val="00374348"/>
    <w:rsid w:val="00374F18"/>
    <w:rsid w:val="003767D9"/>
    <w:rsid w:val="003823C7"/>
    <w:rsid w:val="003830B1"/>
    <w:rsid w:val="00386503"/>
    <w:rsid w:val="00386696"/>
    <w:rsid w:val="0038752C"/>
    <w:rsid w:val="00391B62"/>
    <w:rsid w:val="00392158"/>
    <w:rsid w:val="0039381F"/>
    <w:rsid w:val="00395CE5"/>
    <w:rsid w:val="003A0DF4"/>
    <w:rsid w:val="003A128E"/>
    <w:rsid w:val="003A1EDE"/>
    <w:rsid w:val="003A4F0E"/>
    <w:rsid w:val="003B3B0C"/>
    <w:rsid w:val="003B3F97"/>
    <w:rsid w:val="003B4909"/>
    <w:rsid w:val="003B5A7C"/>
    <w:rsid w:val="003B6A3D"/>
    <w:rsid w:val="003B6BB4"/>
    <w:rsid w:val="003B6CE3"/>
    <w:rsid w:val="003C3405"/>
    <w:rsid w:val="003C38BC"/>
    <w:rsid w:val="003C3EF5"/>
    <w:rsid w:val="003C43DC"/>
    <w:rsid w:val="003C5906"/>
    <w:rsid w:val="003C7364"/>
    <w:rsid w:val="003E10F6"/>
    <w:rsid w:val="003E1BFA"/>
    <w:rsid w:val="003E2748"/>
    <w:rsid w:val="003E2FB2"/>
    <w:rsid w:val="003E6D2A"/>
    <w:rsid w:val="003F14D9"/>
    <w:rsid w:val="00401965"/>
    <w:rsid w:val="004058A7"/>
    <w:rsid w:val="0040590B"/>
    <w:rsid w:val="00410A42"/>
    <w:rsid w:val="00410BA1"/>
    <w:rsid w:val="00411163"/>
    <w:rsid w:val="00412896"/>
    <w:rsid w:val="00413C40"/>
    <w:rsid w:val="00415549"/>
    <w:rsid w:val="0041769D"/>
    <w:rsid w:val="00417D9D"/>
    <w:rsid w:val="00421AEE"/>
    <w:rsid w:val="0042280E"/>
    <w:rsid w:val="00424E35"/>
    <w:rsid w:val="00433337"/>
    <w:rsid w:val="004402AD"/>
    <w:rsid w:val="00442361"/>
    <w:rsid w:val="00450164"/>
    <w:rsid w:val="00450CC3"/>
    <w:rsid w:val="0045147B"/>
    <w:rsid w:val="00457C12"/>
    <w:rsid w:val="00461BF8"/>
    <w:rsid w:val="00462035"/>
    <w:rsid w:val="00462139"/>
    <w:rsid w:val="004645D0"/>
    <w:rsid w:val="00477F84"/>
    <w:rsid w:val="00484204"/>
    <w:rsid w:val="0049372D"/>
    <w:rsid w:val="00493A88"/>
    <w:rsid w:val="00497A82"/>
    <w:rsid w:val="004A33ED"/>
    <w:rsid w:val="004A35E7"/>
    <w:rsid w:val="004A54D1"/>
    <w:rsid w:val="004B0FAB"/>
    <w:rsid w:val="004B1AD6"/>
    <w:rsid w:val="004B36F5"/>
    <w:rsid w:val="004B4929"/>
    <w:rsid w:val="004C1814"/>
    <w:rsid w:val="004C3620"/>
    <w:rsid w:val="004C7956"/>
    <w:rsid w:val="004D2609"/>
    <w:rsid w:val="004D5F73"/>
    <w:rsid w:val="004D6DA4"/>
    <w:rsid w:val="004E1C89"/>
    <w:rsid w:val="004F52DE"/>
    <w:rsid w:val="004F639C"/>
    <w:rsid w:val="004F6BEA"/>
    <w:rsid w:val="00504322"/>
    <w:rsid w:val="00512B1E"/>
    <w:rsid w:val="005137DC"/>
    <w:rsid w:val="00516394"/>
    <w:rsid w:val="00516EBE"/>
    <w:rsid w:val="0052181B"/>
    <w:rsid w:val="00521A88"/>
    <w:rsid w:val="00535E82"/>
    <w:rsid w:val="00536867"/>
    <w:rsid w:val="00536FA7"/>
    <w:rsid w:val="00541563"/>
    <w:rsid w:val="00550AA6"/>
    <w:rsid w:val="00551086"/>
    <w:rsid w:val="005555D5"/>
    <w:rsid w:val="0055641A"/>
    <w:rsid w:val="005564C7"/>
    <w:rsid w:val="0056076F"/>
    <w:rsid w:val="00567354"/>
    <w:rsid w:val="00567E21"/>
    <w:rsid w:val="00570304"/>
    <w:rsid w:val="00580330"/>
    <w:rsid w:val="005811A0"/>
    <w:rsid w:val="00586967"/>
    <w:rsid w:val="005874FA"/>
    <w:rsid w:val="00590613"/>
    <w:rsid w:val="00593E32"/>
    <w:rsid w:val="005949A1"/>
    <w:rsid w:val="00597983"/>
    <w:rsid w:val="005979E2"/>
    <w:rsid w:val="00597B05"/>
    <w:rsid w:val="005A02B0"/>
    <w:rsid w:val="005A119D"/>
    <w:rsid w:val="005A6D1E"/>
    <w:rsid w:val="005B14EE"/>
    <w:rsid w:val="005B7E73"/>
    <w:rsid w:val="005C3B38"/>
    <w:rsid w:val="005D085F"/>
    <w:rsid w:val="005D1EAA"/>
    <w:rsid w:val="005D661F"/>
    <w:rsid w:val="005D6C8F"/>
    <w:rsid w:val="005E0A25"/>
    <w:rsid w:val="005E397B"/>
    <w:rsid w:val="005E7605"/>
    <w:rsid w:val="005F530B"/>
    <w:rsid w:val="005F7258"/>
    <w:rsid w:val="005F7B65"/>
    <w:rsid w:val="00601BC8"/>
    <w:rsid w:val="00602CE5"/>
    <w:rsid w:val="00603402"/>
    <w:rsid w:val="00604384"/>
    <w:rsid w:val="00607DFF"/>
    <w:rsid w:val="00620673"/>
    <w:rsid w:val="00620B52"/>
    <w:rsid w:val="006218D5"/>
    <w:rsid w:val="006259B6"/>
    <w:rsid w:val="00625FCB"/>
    <w:rsid w:val="00626396"/>
    <w:rsid w:val="00627660"/>
    <w:rsid w:val="0063151B"/>
    <w:rsid w:val="00633301"/>
    <w:rsid w:val="00635E57"/>
    <w:rsid w:val="00637843"/>
    <w:rsid w:val="006423A8"/>
    <w:rsid w:val="00645A2A"/>
    <w:rsid w:val="006515BB"/>
    <w:rsid w:val="00653527"/>
    <w:rsid w:val="006542B2"/>
    <w:rsid w:val="0065565D"/>
    <w:rsid w:val="00657964"/>
    <w:rsid w:val="00663030"/>
    <w:rsid w:val="00665FBC"/>
    <w:rsid w:val="00666567"/>
    <w:rsid w:val="00667B29"/>
    <w:rsid w:val="00671D97"/>
    <w:rsid w:val="00672D04"/>
    <w:rsid w:val="00675F38"/>
    <w:rsid w:val="00681EBB"/>
    <w:rsid w:val="00684083"/>
    <w:rsid w:val="006853BE"/>
    <w:rsid w:val="00686E9E"/>
    <w:rsid w:val="00691DFA"/>
    <w:rsid w:val="00692436"/>
    <w:rsid w:val="00695A1A"/>
    <w:rsid w:val="00697E03"/>
    <w:rsid w:val="006A1712"/>
    <w:rsid w:val="006A1B78"/>
    <w:rsid w:val="006A56B8"/>
    <w:rsid w:val="006B06CD"/>
    <w:rsid w:val="006B0F01"/>
    <w:rsid w:val="006B1383"/>
    <w:rsid w:val="006B6D74"/>
    <w:rsid w:val="006C194B"/>
    <w:rsid w:val="006C24FC"/>
    <w:rsid w:val="006C29E9"/>
    <w:rsid w:val="006C39FD"/>
    <w:rsid w:val="006C4159"/>
    <w:rsid w:val="006C4716"/>
    <w:rsid w:val="006C54A2"/>
    <w:rsid w:val="006C6FB6"/>
    <w:rsid w:val="006D2BE6"/>
    <w:rsid w:val="006D3AD0"/>
    <w:rsid w:val="006D5D48"/>
    <w:rsid w:val="006E2D8A"/>
    <w:rsid w:val="006E3689"/>
    <w:rsid w:val="006E55F7"/>
    <w:rsid w:val="006E56C1"/>
    <w:rsid w:val="006E5D1A"/>
    <w:rsid w:val="006E67AC"/>
    <w:rsid w:val="006E706F"/>
    <w:rsid w:val="006F5B7A"/>
    <w:rsid w:val="006F744F"/>
    <w:rsid w:val="006F7CEE"/>
    <w:rsid w:val="00703073"/>
    <w:rsid w:val="00703A97"/>
    <w:rsid w:val="007042BC"/>
    <w:rsid w:val="007051DB"/>
    <w:rsid w:val="00712102"/>
    <w:rsid w:val="00713EED"/>
    <w:rsid w:val="0071442A"/>
    <w:rsid w:val="00716DEF"/>
    <w:rsid w:val="007173DF"/>
    <w:rsid w:val="00721057"/>
    <w:rsid w:val="00721DA3"/>
    <w:rsid w:val="007222D8"/>
    <w:rsid w:val="0072651F"/>
    <w:rsid w:val="0073344C"/>
    <w:rsid w:val="00733A9F"/>
    <w:rsid w:val="00733AC4"/>
    <w:rsid w:val="007361DD"/>
    <w:rsid w:val="0073657D"/>
    <w:rsid w:val="007427DA"/>
    <w:rsid w:val="00746D15"/>
    <w:rsid w:val="0075162E"/>
    <w:rsid w:val="00751F65"/>
    <w:rsid w:val="007534B9"/>
    <w:rsid w:val="00755450"/>
    <w:rsid w:val="00757406"/>
    <w:rsid w:val="007608DF"/>
    <w:rsid w:val="00762F00"/>
    <w:rsid w:val="0076584C"/>
    <w:rsid w:val="0076698A"/>
    <w:rsid w:val="00770D29"/>
    <w:rsid w:val="00773D91"/>
    <w:rsid w:val="00774565"/>
    <w:rsid w:val="00782385"/>
    <w:rsid w:val="00787AFA"/>
    <w:rsid w:val="0079768F"/>
    <w:rsid w:val="00797A92"/>
    <w:rsid w:val="007A0C84"/>
    <w:rsid w:val="007A0D6B"/>
    <w:rsid w:val="007A5EEE"/>
    <w:rsid w:val="007A736F"/>
    <w:rsid w:val="007B06C9"/>
    <w:rsid w:val="007B250E"/>
    <w:rsid w:val="007B34A5"/>
    <w:rsid w:val="007B362B"/>
    <w:rsid w:val="007B4470"/>
    <w:rsid w:val="007B6854"/>
    <w:rsid w:val="007B6C13"/>
    <w:rsid w:val="007C3457"/>
    <w:rsid w:val="007C458E"/>
    <w:rsid w:val="007D0887"/>
    <w:rsid w:val="007D4C0A"/>
    <w:rsid w:val="007D5F49"/>
    <w:rsid w:val="007D6532"/>
    <w:rsid w:val="007D73DB"/>
    <w:rsid w:val="007E11CC"/>
    <w:rsid w:val="007E3016"/>
    <w:rsid w:val="007E6B2F"/>
    <w:rsid w:val="007F3C49"/>
    <w:rsid w:val="007F4478"/>
    <w:rsid w:val="007F6C2B"/>
    <w:rsid w:val="00800358"/>
    <w:rsid w:val="00802151"/>
    <w:rsid w:val="00804140"/>
    <w:rsid w:val="00804486"/>
    <w:rsid w:val="00804B35"/>
    <w:rsid w:val="00804DDE"/>
    <w:rsid w:val="00807870"/>
    <w:rsid w:val="0081352D"/>
    <w:rsid w:val="00817BBE"/>
    <w:rsid w:val="00820193"/>
    <w:rsid w:val="00826061"/>
    <w:rsid w:val="008265E7"/>
    <w:rsid w:val="0082661B"/>
    <w:rsid w:val="00826C4E"/>
    <w:rsid w:val="008271F4"/>
    <w:rsid w:val="0083154E"/>
    <w:rsid w:val="00832EEB"/>
    <w:rsid w:val="0083646E"/>
    <w:rsid w:val="00841FA3"/>
    <w:rsid w:val="00844E87"/>
    <w:rsid w:val="00846E5B"/>
    <w:rsid w:val="008475E7"/>
    <w:rsid w:val="00851E7D"/>
    <w:rsid w:val="008528F6"/>
    <w:rsid w:val="00853384"/>
    <w:rsid w:val="00853929"/>
    <w:rsid w:val="00860E38"/>
    <w:rsid w:val="008654CA"/>
    <w:rsid w:val="00866E3F"/>
    <w:rsid w:val="0086776F"/>
    <w:rsid w:val="00874424"/>
    <w:rsid w:val="00875AAA"/>
    <w:rsid w:val="00876ADE"/>
    <w:rsid w:val="008812BE"/>
    <w:rsid w:val="008828E6"/>
    <w:rsid w:val="008867A8"/>
    <w:rsid w:val="008868C3"/>
    <w:rsid w:val="00892497"/>
    <w:rsid w:val="00894D83"/>
    <w:rsid w:val="0089611E"/>
    <w:rsid w:val="008A0690"/>
    <w:rsid w:val="008A1B92"/>
    <w:rsid w:val="008A6EB8"/>
    <w:rsid w:val="008B0201"/>
    <w:rsid w:val="008B25C3"/>
    <w:rsid w:val="008B7DCC"/>
    <w:rsid w:val="008C0ABE"/>
    <w:rsid w:val="008C548D"/>
    <w:rsid w:val="008C5824"/>
    <w:rsid w:val="008D5866"/>
    <w:rsid w:val="008D662E"/>
    <w:rsid w:val="008E07AE"/>
    <w:rsid w:val="008E2F07"/>
    <w:rsid w:val="008F38D4"/>
    <w:rsid w:val="008F4973"/>
    <w:rsid w:val="00903386"/>
    <w:rsid w:val="00903EAB"/>
    <w:rsid w:val="00905200"/>
    <w:rsid w:val="00913FC8"/>
    <w:rsid w:val="009148CF"/>
    <w:rsid w:val="00922756"/>
    <w:rsid w:val="009312C8"/>
    <w:rsid w:val="00935F13"/>
    <w:rsid w:val="0093626F"/>
    <w:rsid w:val="00940CB7"/>
    <w:rsid w:val="00941F85"/>
    <w:rsid w:val="00942E76"/>
    <w:rsid w:val="0095209A"/>
    <w:rsid w:val="00954017"/>
    <w:rsid w:val="00956960"/>
    <w:rsid w:val="00956BD1"/>
    <w:rsid w:val="00960070"/>
    <w:rsid w:val="00960D6B"/>
    <w:rsid w:val="0096356E"/>
    <w:rsid w:val="00963E8D"/>
    <w:rsid w:val="00966022"/>
    <w:rsid w:val="00970C16"/>
    <w:rsid w:val="009713C2"/>
    <w:rsid w:val="009728F7"/>
    <w:rsid w:val="00972FA3"/>
    <w:rsid w:val="00973740"/>
    <w:rsid w:val="00976433"/>
    <w:rsid w:val="00977068"/>
    <w:rsid w:val="0098062C"/>
    <w:rsid w:val="009816D8"/>
    <w:rsid w:val="00981A88"/>
    <w:rsid w:val="009844AA"/>
    <w:rsid w:val="00984F73"/>
    <w:rsid w:val="009873B0"/>
    <w:rsid w:val="00994721"/>
    <w:rsid w:val="00997B74"/>
    <w:rsid w:val="009A187B"/>
    <w:rsid w:val="009A2271"/>
    <w:rsid w:val="009A5081"/>
    <w:rsid w:val="009A512C"/>
    <w:rsid w:val="009B4F51"/>
    <w:rsid w:val="009C0859"/>
    <w:rsid w:val="009C1835"/>
    <w:rsid w:val="009C1B87"/>
    <w:rsid w:val="009C28B2"/>
    <w:rsid w:val="009C40DC"/>
    <w:rsid w:val="009C7D29"/>
    <w:rsid w:val="009D0F17"/>
    <w:rsid w:val="009D424D"/>
    <w:rsid w:val="009D6A29"/>
    <w:rsid w:val="009D6D7E"/>
    <w:rsid w:val="009E1D4F"/>
    <w:rsid w:val="009E2D5D"/>
    <w:rsid w:val="009E50E8"/>
    <w:rsid w:val="009E6789"/>
    <w:rsid w:val="009E6CC6"/>
    <w:rsid w:val="009E6E95"/>
    <w:rsid w:val="009F0725"/>
    <w:rsid w:val="009F0E15"/>
    <w:rsid w:val="009F3370"/>
    <w:rsid w:val="009F4CC6"/>
    <w:rsid w:val="00A01BFD"/>
    <w:rsid w:val="00A06F21"/>
    <w:rsid w:val="00A11E27"/>
    <w:rsid w:val="00A124E0"/>
    <w:rsid w:val="00A219A5"/>
    <w:rsid w:val="00A24841"/>
    <w:rsid w:val="00A303AA"/>
    <w:rsid w:val="00A30930"/>
    <w:rsid w:val="00A36298"/>
    <w:rsid w:val="00A373D0"/>
    <w:rsid w:val="00A4332B"/>
    <w:rsid w:val="00A46CA0"/>
    <w:rsid w:val="00A56014"/>
    <w:rsid w:val="00A6092D"/>
    <w:rsid w:val="00A61292"/>
    <w:rsid w:val="00A6244C"/>
    <w:rsid w:val="00A62879"/>
    <w:rsid w:val="00A645F4"/>
    <w:rsid w:val="00A64D53"/>
    <w:rsid w:val="00A66ED7"/>
    <w:rsid w:val="00A722F0"/>
    <w:rsid w:val="00A740B0"/>
    <w:rsid w:val="00A747D8"/>
    <w:rsid w:val="00A74A6C"/>
    <w:rsid w:val="00A7723B"/>
    <w:rsid w:val="00A77891"/>
    <w:rsid w:val="00A80685"/>
    <w:rsid w:val="00A815E5"/>
    <w:rsid w:val="00A81AE6"/>
    <w:rsid w:val="00A90E31"/>
    <w:rsid w:val="00A92C1A"/>
    <w:rsid w:val="00A93755"/>
    <w:rsid w:val="00A97B45"/>
    <w:rsid w:val="00AA4FA9"/>
    <w:rsid w:val="00AB0632"/>
    <w:rsid w:val="00AB0FED"/>
    <w:rsid w:val="00AB28F4"/>
    <w:rsid w:val="00AB3499"/>
    <w:rsid w:val="00AB4616"/>
    <w:rsid w:val="00AC0A4F"/>
    <w:rsid w:val="00AC111F"/>
    <w:rsid w:val="00AC3A99"/>
    <w:rsid w:val="00AC4F09"/>
    <w:rsid w:val="00AC6A6D"/>
    <w:rsid w:val="00AC6A6F"/>
    <w:rsid w:val="00AD2C32"/>
    <w:rsid w:val="00AD4F48"/>
    <w:rsid w:val="00AD568D"/>
    <w:rsid w:val="00AD750F"/>
    <w:rsid w:val="00AE0014"/>
    <w:rsid w:val="00AE0B21"/>
    <w:rsid w:val="00AE26CB"/>
    <w:rsid w:val="00AE50D7"/>
    <w:rsid w:val="00AE5430"/>
    <w:rsid w:val="00AE5784"/>
    <w:rsid w:val="00AE5F4A"/>
    <w:rsid w:val="00AF6B25"/>
    <w:rsid w:val="00B00ECE"/>
    <w:rsid w:val="00B01FB4"/>
    <w:rsid w:val="00B0270C"/>
    <w:rsid w:val="00B044EA"/>
    <w:rsid w:val="00B07304"/>
    <w:rsid w:val="00B122BC"/>
    <w:rsid w:val="00B12F1D"/>
    <w:rsid w:val="00B13920"/>
    <w:rsid w:val="00B15019"/>
    <w:rsid w:val="00B166F5"/>
    <w:rsid w:val="00B178D6"/>
    <w:rsid w:val="00B22151"/>
    <w:rsid w:val="00B23617"/>
    <w:rsid w:val="00B25D78"/>
    <w:rsid w:val="00B27958"/>
    <w:rsid w:val="00B308C9"/>
    <w:rsid w:val="00B41C14"/>
    <w:rsid w:val="00B43DAB"/>
    <w:rsid w:val="00B45136"/>
    <w:rsid w:val="00B46590"/>
    <w:rsid w:val="00B46B4E"/>
    <w:rsid w:val="00B513E0"/>
    <w:rsid w:val="00B5622D"/>
    <w:rsid w:val="00B610FC"/>
    <w:rsid w:val="00B61ADB"/>
    <w:rsid w:val="00B61C98"/>
    <w:rsid w:val="00B634DC"/>
    <w:rsid w:val="00B647A6"/>
    <w:rsid w:val="00B66871"/>
    <w:rsid w:val="00B66886"/>
    <w:rsid w:val="00B7044E"/>
    <w:rsid w:val="00B73FCD"/>
    <w:rsid w:val="00B751E1"/>
    <w:rsid w:val="00B75527"/>
    <w:rsid w:val="00B75947"/>
    <w:rsid w:val="00B812D8"/>
    <w:rsid w:val="00B839E2"/>
    <w:rsid w:val="00B85992"/>
    <w:rsid w:val="00B863A3"/>
    <w:rsid w:val="00B935CF"/>
    <w:rsid w:val="00B93815"/>
    <w:rsid w:val="00B94B68"/>
    <w:rsid w:val="00B95A78"/>
    <w:rsid w:val="00BA0C62"/>
    <w:rsid w:val="00BA2E34"/>
    <w:rsid w:val="00BA4824"/>
    <w:rsid w:val="00BA591D"/>
    <w:rsid w:val="00BB216E"/>
    <w:rsid w:val="00BB3B7A"/>
    <w:rsid w:val="00BB7154"/>
    <w:rsid w:val="00BB7778"/>
    <w:rsid w:val="00BC0838"/>
    <w:rsid w:val="00BC76B6"/>
    <w:rsid w:val="00BD5AA4"/>
    <w:rsid w:val="00BE1600"/>
    <w:rsid w:val="00BE1DD5"/>
    <w:rsid w:val="00BE27BC"/>
    <w:rsid w:val="00BE3C06"/>
    <w:rsid w:val="00BE5524"/>
    <w:rsid w:val="00BF1F91"/>
    <w:rsid w:val="00BF4B82"/>
    <w:rsid w:val="00BF65EB"/>
    <w:rsid w:val="00BF7837"/>
    <w:rsid w:val="00C0048F"/>
    <w:rsid w:val="00C00572"/>
    <w:rsid w:val="00C068F7"/>
    <w:rsid w:val="00C1593F"/>
    <w:rsid w:val="00C17FA3"/>
    <w:rsid w:val="00C328F4"/>
    <w:rsid w:val="00C35AAB"/>
    <w:rsid w:val="00C37E1C"/>
    <w:rsid w:val="00C37E47"/>
    <w:rsid w:val="00C4449C"/>
    <w:rsid w:val="00C45C85"/>
    <w:rsid w:val="00C5185D"/>
    <w:rsid w:val="00C523E7"/>
    <w:rsid w:val="00C54B5E"/>
    <w:rsid w:val="00C56DEC"/>
    <w:rsid w:val="00C60B49"/>
    <w:rsid w:val="00C6363D"/>
    <w:rsid w:val="00C710B0"/>
    <w:rsid w:val="00C71811"/>
    <w:rsid w:val="00C72FB2"/>
    <w:rsid w:val="00C749E7"/>
    <w:rsid w:val="00C80CDF"/>
    <w:rsid w:val="00C80D25"/>
    <w:rsid w:val="00C844CA"/>
    <w:rsid w:val="00C876D1"/>
    <w:rsid w:val="00C92233"/>
    <w:rsid w:val="00C929DD"/>
    <w:rsid w:val="00C953F8"/>
    <w:rsid w:val="00C96BFC"/>
    <w:rsid w:val="00CA4B2F"/>
    <w:rsid w:val="00CA56AD"/>
    <w:rsid w:val="00CA68D0"/>
    <w:rsid w:val="00CB45E5"/>
    <w:rsid w:val="00CB5C85"/>
    <w:rsid w:val="00CB6AE6"/>
    <w:rsid w:val="00CB7ECD"/>
    <w:rsid w:val="00CC011D"/>
    <w:rsid w:val="00CC1BAB"/>
    <w:rsid w:val="00CC2DFF"/>
    <w:rsid w:val="00CC33F4"/>
    <w:rsid w:val="00CC4023"/>
    <w:rsid w:val="00CD72AC"/>
    <w:rsid w:val="00CE0EB7"/>
    <w:rsid w:val="00CE13BE"/>
    <w:rsid w:val="00CE3EF0"/>
    <w:rsid w:val="00CE568C"/>
    <w:rsid w:val="00CE7FCC"/>
    <w:rsid w:val="00CF5F93"/>
    <w:rsid w:val="00CF6BEB"/>
    <w:rsid w:val="00D03F81"/>
    <w:rsid w:val="00D12228"/>
    <w:rsid w:val="00D16933"/>
    <w:rsid w:val="00D212F8"/>
    <w:rsid w:val="00D21C14"/>
    <w:rsid w:val="00D220C6"/>
    <w:rsid w:val="00D26DE6"/>
    <w:rsid w:val="00D27D0C"/>
    <w:rsid w:val="00D30984"/>
    <w:rsid w:val="00D34F84"/>
    <w:rsid w:val="00D35428"/>
    <w:rsid w:val="00D42CA7"/>
    <w:rsid w:val="00D50DF7"/>
    <w:rsid w:val="00D5106F"/>
    <w:rsid w:val="00D5265F"/>
    <w:rsid w:val="00D52865"/>
    <w:rsid w:val="00D5542E"/>
    <w:rsid w:val="00D561F6"/>
    <w:rsid w:val="00D57271"/>
    <w:rsid w:val="00D62FB6"/>
    <w:rsid w:val="00D640BE"/>
    <w:rsid w:val="00D65FC8"/>
    <w:rsid w:val="00D67802"/>
    <w:rsid w:val="00D713FF"/>
    <w:rsid w:val="00D7461D"/>
    <w:rsid w:val="00D7543C"/>
    <w:rsid w:val="00D77048"/>
    <w:rsid w:val="00D77B00"/>
    <w:rsid w:val="00D831CF"/>
    <w:rsid w:val="00D85365"/>
    <w:rsid w:val="00D859E5"/>
    <w:rsid w:val="00D865A8"/>
    <w:rsid w:val="00D8742B"/>
    <w:rsid w:val="00D87BE0"/>
    <w:rsid w:val="00D90741"/>
    <w:rsid w:val="00D91949"/>
    <w:rsid w:val="00D95CF2"/>
    <w:rsid w:val="00D970CC"/>
    <w:rsid w:val="00DA3B13"/>
    <w:rsid w:val="00DA4307"/>
    <w:rsid w:val="00DA5353"/>
    <w:rsid w:val="00DA563D"/>
    <w:rsid w:val="00DB1210"/>
    <w:rsid w:val="00DB2BF3"/>
    <w:rsid w:val="00DB5BB2"/>
    <w:rsid w:val="00DC04FB"/>
    <w:rsid w:val="00DC0C35"/>
    <w:rsid w:val="00DC560E"/>
    <w:rsid w:val="00DD2778"/>
    <w:rsid w:val="00DD42CD"/>
    <w:rsid w:val="00DD4F0E"/>
    <w:rsid w:val="00DE21AB"/>
    <w:rsid w:val="00DE47F8"/>
    <w:rsid w:val="00DE5399"/>
    <w:rsid w:val="00DF1721"/>
    <w:rsid w:val="00DF318E"/>
    <w:rsid w:val="00DF50B9"/>
    <w:rsid w:val="00DF69C9"/>
    <w:rsid w:val="00E013D0"/>
    <w:rsid w:val="00E01A23"/>
    <w:rsid w:val="00E02F44"/>
    <w:rsid w:val="00E0558B"/>
    <w:rsid w:val="00E173C6"/>
    <w:rsid w:val="00E177E2"/>
    <w:rsid w:val="00E22EB5"/>
    <w:rsid w:val="00E22FFE"/>
    <w:rsid w:val="00E23C95"/>
    <w:rsid w:val="00E23E5B"/>
    <w:rsid w:val="00E32442"/>
    <w:rsid w:val="00E37FC8"/>
    <w:rsid w:val="00E402B5"/>
    <w:rsid w:val="00E41D91"/>
    <w:rsid w:val="00E45E66"/>
    <w:rsid w:val="00E51CB9"/>
    <w:rsid w:val="00E63ECC"/>
    <w:rsid w:val="00E65DA4"/>
    <w:rsid w:val="00E6759F"/>
    <w:rsid w:val="00E67C68"/>
    <w:rsid w:val="00E67D95"/>
    <w:rsid w:val="00E70A1F"/>
    <w:rsid w:val="00E71966"/>
    <w:rsid w:val="00E71E26"/>
    <w:rsid w:val="00E75112"/>
    <w:rsid w:val="00E75616"/>
    <w:rsid w:val="00E86FF6"/>
    <w:rsid w:val="00E87E50"/>
    <w:rsid w:val="00E9062E"/>
    <w:rsid w:val="00E926AA"/>
    <w:rsid w:val="00E942B5"/>
    <w:rsid w:val="00E94D9F"/>
    <w:rsid w:val="00E97AC2"/>
    <w:rsid w:val="00E97E14"/>
    <w:rsid w:val="00E97EFE"/>
    <w:rsid w:val="00EA20F4"/>
    <w:rsid w:val="00EA5216"/>
    <w:rsid w:val="00EA5D3C"/>
    <w:rsid w:val="00EA664B"/>
    <w:rsid w:val="00EB1360"/>
    <w:rsid w:val="00EB315E"/>
    <w:rsid w:val="00EB43B3"/>
    <w:rsid w:val="00EB6233"/>
    <w:rsid w:val="00EC3619"/>
    <w:rsid w:val="00EC3E48"/>
    <w:rsid w:val="00ED3E62"/>
    <w:rsid w:val="00ED6907"/>
    <w:rsid w:val="00EE2A04"/>
    <w:rsid w:val="00EE52A7"/>
    <w:rsid w:val="00EE7F16"/>
    <w:rsid w:val="00EF40F5"/>
    <w:rsid w:val="00EF4DD9"/>
    <w:rsid w:val="00EF5487"/>
    <w:rsid w:val="00EF5863"/>
    <w:rsid w:val="00F00035"/>
    <w:rsid w:val="00F01B2B"/>
    <w:rsid w:val="00F01CA4"/>
    <w:rsid w:val="00F04979"/>
    <w:rsid w:val="00F1011E"/>
    <w:rsid w:val="00F105D6"/>
    <w:rsid w:val="00F1158B"/>
    <w:rsid w:val="00F144FD"/>
    <w:rsid w:val="00F15615"/>
    <w:rsid w:val="00F17597"/>
    <w:rsid w:val="00F21158"/>
    <w:rsid w:val="00F233B2"/>
    <w:rsid w:val="00F278DE"/>
    <w:rsid w:val="00F311D5"/>
    <w:rsid w:val="00F32E14"/>
    <w:rsid w:val="00F3314E"/>
    <w:rsid w:val="00F369C5"/>
    <w:rsid w:val="00F40621"/>
    <w:rsid w:val="00F41648"/>
    <w:rsid w:val="00F44BC7"/>
    <w:rsid w:val="00F461EB"/>
    <w:rsid w:val="00F52E77"/>
    <w:rsid w:val="00F543E9"/>
    <w:rsid w:val="00F553DE"/>
    <w:rsid w:val="00F63297"/>
    <w:rsid w:val="00F639C4"/>
    <w:rsid w:val="00F723FA"/>
    <w:rsid w:val="00F727C5"/>
    <w:rsid w:val="00F74166"/>
    <w:rsid w:val="00F7520C"/>
    <w:rsid w:val="00F815F4"/>
    <w:rsid w:val="00F84C82"/>
    <w:rsid w:val="00F86F86"/>
    <w:rsid w:val="00F9138B"/>
    <w:rsid w:val="00F9307A"/>
    <w:rsid w:val="00F93BFC"/>
    <w:rsid w:val="00F94674"/>
    <w:rsid w:val="00F9503E"/>
    <w:rsid w:val="00F965E7"/>
    <w:rsid w:val="00F968EA"/>
    <w:rsid w:val="00FA63DA"/>
    <w:rsid w:val="00FA76A9"/>
    <w:rsid w:val="00FB362F"/>
    <w:rsid w:val="00FB57A2"/>
    <w:rsid w:val="00FB7C6F"/>
    <w:rsid w:val="00FB7F58"/>
    <w:rsid w:val="00FC11B7"/>
    <w:rsid w:val="00FC28E2"/>
    <w:rsid w:val="00FC35FB"/>
    <w:rsid w:val="00FC376C"/>
    <w:rsid w:val="00FD5FCF"/>
    <w:rsid w:val="00FD7410"/>
    <w:rsid w:val="00FD777D"/>
    <w:rsid w:val="00FE1CB4"/>
    <w:rsid w:val="00FE2665"/>
    <w:rsid w:val="00FE2DFC"/>
    <w:rsid w:val="00FE3512"/>
    <w:rsid w:val="00FE7015"/>
    <w:rsid w:val="00FE72C4"/>
    <w:rsid w:val="00FF048A"/>
    <w:rsid w:val="00FF3059"/>
    <w:rsid w:val="00FF33BB"/>
    <w:rsid w:val="00FF3E35"/>
    <w:rsid w:val="00FF7904"/>
    <w:rsid w:val="023CA260"/>
    <w:rsid w:val="042178C0"/>
    <w:rsid w:val="045E454C"/>
    <w:rsid w:val="05BD4921"/>
    <w:rsid w:val="05D0ABC7"/>
    <w:rsid w:val="07591982"/>
    <w:rsid w:val="08D9590E"/>
    <w:rsid w:val="0BE62518"/>
    <w:rsid w:val="1B11E118"/>
    <w:rsid w:val="1BCF0EC5"/>
    <w:rsid w:val="2185547F"/>
    <w:rsid w:val="23F5FEBB"/>
    <w:rsid w:val="2AAF903F"/>
    <w:rsid w:val="2B8AC537"/>
    <w:rsid w:val="2C4B60A0"/>
    <w:rsid w:val="2D8957B4"/>
    <w:rsid w:val="2F7C9D67"/>
    <w:rsid w:val="30B58659"/>
    <w:rsid w:val="31A75008"/>
    <w:rsid w:val="348C6F92"/>
    <w:rsid w:val="36DC1ED4"/>
    <w:rsid w:val="37EE9A10"/>
    <w:rsid w:val="382E2E06"/>
    <w:rsid w:val="3B9C8561"/>
    <w:rsid w:val="45094F5B"/>
    <w:rsid w:val="464CC627"/>
    <w:rsid w:val="487ACB00"/>
    <w:rsid w:val="4AB00846"/>
    <w:rsid w:val="4B2A0DAE"/>
    <w:rsid w:val="500F4622"/>
    <w:rsid w:val="516313C0"/>
    <w:rsid w:val="51917BA4"/>
    <w:rsid w:val="57CD1AC8"/>
    <w:rsid w:val="58BB8E6C"/>
    <w:rsid w:val="5938EBCB"/>
    <w:rsid w:val="610E6A12"/>
    <w:rsid w:val="62CD1010"/>
    <w:rsid w:val="65678FDF"/>
    <w:rsid w:val="67A7719F"/>
    <w:rsid w:val="6EF57CD3"/>
    <w:rsid w:val="7210A127"/>
    <w:rsid w:val="77D4A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B60F1"/>
  <w15:docId w15:val="{4C92E749-5B1C-4DDD-8D91-349E6EFB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0D7"/>
  </w:style>
  <w:style w:type="paragraph" w:styleId="Heading1">
    <w:name w:val="heading 1"/>
    <w:basedOn w:val="Normal"/>
    <w:next w:val="Normal"/>
    <w:link w:val="Heading1Char"/>
    <w:uiPriority w:val="9"/>
    <w:qFormat/>
    <w:rsid w:val="007173DF"/>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7173DF"/>
    <w:pPr>
      <w:keepNext/>
      <w:keepLines/>
      <w:spacing w:before="40" w:after="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7173DF"/>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List">
    <w:name w:val="Author List"/>
    <w:aliases w:val="Keywords,Abstract"/>
    <w:basedOn w:val="Subtitle"/>
    <w:next w:val="Normal"/>
    <w:uiPriority w:val="1"/>
    <w:qFormat/>
    <w:rsid w:val="00F815F4"/>
    <w:pPr>
      <w:numPr>
        <w:ilvl w:val="0"/>
      </w:numPr>
      <w:spacing w:before="240" w:after="240" w:line="240" w:lineRule="auto"/>
    </w:pPr>
    <w:rPr>
      <w:rFonts w:ascii="Times New Roman" w:eastAsiaTheme="minorHAnsi" w:hAnsi="Times New Roman" w:cs="Times New Roman"/>
      <w:b/>
      <w:color w:val="auto"/>
      <w:spacing w:val="0"/>
      <w:sz w:val="24"/>
      <w:szCs w:val="24"/>
    </w:rPr>
  </w:style>
  <w:style w:type="character" w:styleId="CommentReference">
    <w:name w:val="annotation reference"/>
    <w:basedOn w:val="DefaultParagraphFont"/>
    <w:uiPriority w:val="99"/>
    <w:semiHidden/>
    <w:unhideWhenUsed/>
    <w:rsid w:val="00F815F4"/>
    <w:rPr>
      <w:sz w:val="16"/>
      <w:szCs w:val="16"/>
    </w:rPr>
  </w:style>
  <w:style w:type="paragraph" w:styleId="CommentText">
    <w:name w:val="annotation text"/>
    <w:basedOn w:val="Normal"/>
    <w:link w:val="CommentTextChar"/>
    <w:uiPriority w:val="99"/>
    <w:unhideWhenUsed/>
    <w:rsid w:val="00F815F4"/>
    <w:pPr>
      <w:spacing w:before="120" w:after="24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815F4"/>
    <w:rPr>
      <w:rFonts w:ascii="Times New Roman" w:hAnsi="Times New Roman"/>
      <w:sz w:val="20"/>
      <w:szCs w:val="20"/>
    </w:rPr>
  </w:style>
  <w:style w:type="paragraph" w:styleId="Subtitle">
    <w:name w:val="Subtitle"/>
    <w:basedOn w:val="Normal"/>
    <w:next w:val="Normal"/>
    <w:link w:val="SubtitleChar"/>
    <w:uiPriority w:val="11"/>
    <w:qFormat/>
    <w:rsid w:val="00F815F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815F4"/>
    <w:rPr>
      <w:rFonts w:eastAsiaTheme="minorEastAsia"/>
      <w:color w:val="5A5A5A" w:themeColor="text1" w:themeTint="A5"/>
      <w:spacing w:val="15"/>
    </w:rPr>
  </w:style>
  <w:style w:type="character" w:styleId="LineNumber">
    <w:name w:val="line number"/>
    <w:basedOn w:val="DefaultParagraphFont"/>
    <w:uiPriority w:val="99"/>
    <w:semiHidden/>
    <w:unhideWhenUsed/>
    <w:rsid w:val="00F815F4"/>
  </w:style>
  <w:style w:type="paragraph" w:styleId="CommentSubject">
    <w:name w:val="annotation subject"/>
    <w:basedOn w:val="CommentText"/>
    <w:next w:val="CommentText"/>
    <w:link w:val="CommentSubjectChar"/>
    <w:uiPriority w:val="99"/>
    <w:semiHidden/>
    <w:unhideWhenUsed/>
    <w:rsid w:val="00ED3E62"/>
    <w:pPr>
      <w:spacing w:before="0"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ED3E62"/>
    <w:rPr>
      <w:rFonts w:ascii="Times New Roman" w:hAnsi="Times New Roman"/>
      <w:b/>
      <w:bCs/>
      <w:sz w:val="20"/>
      <w:szCs w:val="20"/>
    </w:rPr>
  </w:style>
  <w:style w:type="paragraph" w:styleId="ListParagraph">
    <w:name w:val="List Paragraph"/>
    <w:basedOn w:val="Normal"/>
    <w:uiPriority w:val="3"/>
    <w:qFormat/>
    <w:rsid w:val="00AC6A6F"/>
    <w:pPr>
      <w:numPr>
        <w:numId w:val="1"/>
      </w:numPr>
      <w:spacing w:before="120" w:after="240" w:line="240" w:lineRule="auto"/>
      <w:ind w:left="1434" w:hanging="357"/>
      <w:contextualSpacing/>
    </w:pPr>
    <w:rPr>
      <w:rFonts w:ascii="Times New Roman" w:eastAsia="Cambria" w:hAnsi="Times New Roman" w:cs="Times New Roman"/>
      <w:sz w:val="24"/>
      <w:szCs w:val="24"/>
    </w:rPr>
  </w:style>
  <w:style w:type="character" w:styleId="Hyperlink">
    <w:name w:val="Hyperlink"/>
    <w:basedOn w:val="DefaultParagraphFont"/>
    <w:uiPriority w:val="99"/>
    <w:unhideWhenUsed/>
    <w:rsid w:val="00AC6A6F"/>
    <w:rPr>
      <w:color w:val="0000FF"/>
      <w:u w:val="single"/>
    </w:rPr>
  </w:style>
  <w:style w:type="character" w:customStyle="1" w:styleId="citation-doi">
    <w:name w:val="citation-doi"/>
    <w:basedOn w:val="DefaultParagraphFont"/>
    <w:rsid w:val="00AC6A6F"/>
  </w:style>
  <w:style w:type="character" w:customStyle="1" w:styleId="element-citation">
    <w:name w:val="element-citation"/>
    <w:basedOn w:val="DefaultParagraphFont"/>
    <w:rsid w:val="00AC6A6F"/>
  </w:style>
  <w:style w:type="character" w:customStyle="1" w:styleId="ref-journal">
    <w:name w:val="ref-journal"/>
    <w:basedOn w:val="DefaultParagraphFont"/>
    <w:rsid w:val="00AC6A6F"/>
  </w:style>
  <w:style w:type="character" w:customStyle="1" w:styleId="ref-vol">
    <w:name w:val="ref-vol"/>
    <w:basedOn w:val="DefaultParagraphFont"/>
    <w:rsid w:val="00AC6A6F"/>
  </w:style>
  <w:style w:type="character" w:styleId="HTMLCite">
    <w:name w:val="HTML Cite"/>
    <w:basedOn w:val="DefaultParagraphFont"/>
    <w:uiPriority w:val="99"/>
    <w:semiHidden/>
    <w:unhideWhenUsed/>
    <w:rsid w:val="00AC6A6F"/>
    <w:rPr>
      <w:i/>
      <w:iCs/>
    </w:rPr>
  </w:style>
  <w:style w:type="character" w:styleId="UnresolvedMention">
    <w:name w:val="Unresolved Mention"/>
    <w:basedOn w:val="DefaultParagraphFont"/>
    <w:uiPriority w:val="99"/>
    <w:semiHidden/>
    <w:unhideWhenUsed/>
    <w:rsid w:val="002B6427"/>
    <w:rPr>
      <w:color w:val="605E5C"/>
      <w:shd w:val="clear" w:color="auto" w:fill="E1DFDD"/>
    </w:rPr>
  </w:style>
  <w:style w:type="character" w:styleId="PlaceholderText">
    <w:name w:val="Placeholder Text"/>
    <w:basedOn w:val="DefaultParagraphFont"/>
    <w:uiPriority w:val="99"/>
    <w:semiHidden/>
    <w:rsid w:val="00E37FC8"/>
    <w:rPr>
      <w:color w:val="808080"/>
    </w:rPr>
  </w:style>
  <w:style w:type="paragraph" w:styleId="Header">
    <w:name w:val="header"/>
    <w:basedOn w:val="Normal"/>
    <w:link w:val="HeaderChar"/>
    <w:uiPriority w:val="99"/>
    <w:unhideWhenUsed/>
    <w:rsid w:val="007173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3DF"/>
  </w:style>
  <w:style w:type="paragraph" w:styleId="Footer">
    <w:name w:val="footer"/>
    <w:basedOn w:val="Normal"/>
    <w:link w:val="FooterChar"/>
    <w:uiPriority w:val="99"/>
    <w:unhideWhenUsed/>
    <w:rsid w:val="00717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3DF"/>
  </w:style>
  <w:style w:type="character" w:customStyle="1" w:styleId="Heading1Char">
    <w:name w:val="Heading 1 Char"/>
    <w:basedOn w:val="DefaultParagraphFont"/>
    <w:link w:val="Heading1"/>
    <w:uiPriority w:val="9"/>
    <w:rsid w:val="007173DF"/>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7173DF"/>
    <w:pPr>
      <w:outlineLvl w:val="9"/>
    </w:pPr>
  </w:style>
  <w:style w:type="character" w:customStyle="1" w:styleId="Heading2Char">
    <w:name w:val="Heading 2 Char"/>
    <w:basedOn w:val="DefaultParagraphFont"/>
    <w:link w:val="Heading2"/>
    <w:uiPriority w:val="9"/>
    <w:rsid w:val="007173DF"/>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173DF"/>
    <w:rPr>
      <w:rFonts w:asciiTheme="majorHAnsi" w:eastAsiaTheme="majorEastAsia" w:hAnsiTheme="majorHAnsi" w:cstheme="majorBidi"/>
      <w:b/>
      <w:i/>
      <w:sz w:val="24"/>
      <w:szCs w:val="24"/>
    </w:rPr>
  </w:style>
  <w:style w:type="table" w:styleId="GridTable3-Accent5">
    <w:name w:val="Grid Table 3 Accent 5"/>
    <w:basedOn w:val="TableNormal"/>
    <w:uiPriority w:val="48"/>
    <w:rsid w:val="00516EB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894205">
      <w:bodyDiv w:val="1"/>
      <w:marLeft w:val="0"/>
      <w:marRight w:val="0"/>
      <w:marTop w:val="0"/>
      <w:marBottom w:val="0"/>
      <w:divBdr>
        <w:top w:val="none" w:sz="0" w:space="0" w:color="auto"/>
        <w:left w:val="none" w:sz="0" w:space="0" w:color="auto"/>
        <w:bottom w:val="none" w:sz="0" w:space="0" w:color="auto"/>
        <w:right w:val="none" w:sz="0" w:space="0" w:color="auto"/>
      </w:divBdr>
    </w:div>
    <w:div w:id="569849002">
      <w:bodyDiv w:val="1"/>
      <w:marLeft w:val="0"/>
      <w:marRight w:val="0"/>
      <w:marTop w:val="0"/>
      <w:marBottom w:val="0"/>
      <w:divBdr>
        <w:top w:val="none" w:sz="0" w:space="0" w:color="auto"/>
        <w:left w:val="none" w:sz="0" w:space="0" w:color="auto"/>
        <w:bottom w:val="none" w:sz="0" w:space="0" w:color="auto"/>
        <w:right w:val="none" w:sz="0" w:space="0" w:color="auto"/>
      </w:divBdr>
    </w:div>
    <w:div w:id="834494224">
      <w:bodyDiv w:val="1"/>
      <w:marLeft w:val="0"/>
      <w:marRight w:val="0"/>
      <w:marTop w:val="0"/>
      <w:marBottom w:val="0"/>
      <w:divBdr>
        <w:top w:val="none" w:sz="0" w:space="0" w:color="auto"/>
        <w:left w:val="none" w:sz="0" w:space="0" w:color="auto"/>
        <w:bottom w:val="none" w:sz="0" w:space="0" w:color="auto"/>
        <w:right w:val="none" w:sz="0" w:space="0" w:color="auto"/>
      </w:divBdr>
      <w:divsChild>
        <w:div w:id="463230646">
          <w:marLeft w:val="0"/>
          <w:marRight w:val="0"/>
          <w:marTop w:val="0"/>
          <w:marBottom w:val="0"/>
          <w:divBdr>
            <w:top w:val="none" w:sz="0" w:space="0" w:color="auto"/>
            <w:left w:val="none" w:sz="0" w:space="0" w:color="auto"/>
            <w:bottom w:val="none" w:sz="0" w:space="0" w:color="auto"/>
            <w:right w:val="none" w:sz="0" w:space="0" w:color="auto"/>
          </w:divBdr>
          <w:divsChild>
            <w:div w:id="1596086699">
              <w:marLeft w:val="0"/>
              <w:marRight w:val="0"/>
              <w:marTop w:val="0"/>
              <w:marBottom w:val="0"/>
              <w:divBdr>
                <w:top w:val="none" w:sz="0" w:space="0" w:color="auto"/>
                <w:left w:val="none" w:sz="0" w:space="0" w:color="auto"/>
                <w:bottom w:val="none" w:sz="0" w:space="0" w:color="auto"/>
                <w:right w:val="none" w:sz="0" w:space="0" w:color="auto"/>
              </w:divBdr>
            </w:div>
          </w:divsChild>
        </w:div>
        <w:div w:id="1695181794">
          <w:marLeft w:val="0"/>
          <w:marRight w:val="0"/>
          <w:marTop w:val="0"/>
          <w:marBottom w:val="0"/>
          <w:divBdr>
            <w:top w:val="none" w:sz="0" w:space="0" w:color="auto"/>
            <w:left w:val="none" w:sz="0" w:space="0" w:color="auto"/>
            <w:bottom w:val="none" w:sz="0" w:space="0" w:color="auto"/>
            <w:right w:val="none" w:sz="0" w:space="0" w:color="auto"/>
          </w:divBdr>
          <w:divsChild>
            <w:div w:id="71700316">
              <w:marLeft w:val="0"/>
              <w:marRight w:val="0"/>
              <w:marTop w:val="0"/>
              <w:marBottom w:val="0"/>
              <w:divBdr>
                <w:top w:val="none" w:sz="0" w:space="0" w:color="auto"/>
                <w:left w:val="none" w:sz="0" w:space="0" w:color="auto"/>
                <w:bottom w:val="none" w:sz="0" w:space="0" w:color="auto"/>
                <w:right w:val="none" w:sz="0" w:space="0" w:color="auto"/>
              </w:divBdr>
              <w:divsChild>
                <w:div w:id="667295810">
                  <w:marLeft w:val="0"/>
                  <w:marRight w:val="0"/>
                  <w:marTop w:val="0"/>
                  <w:marBottom w:val="0"/>
                  <w:divBdr>
                    <w:top w:val="none" w:sz="0" w:space="0" w:color="auto"/>
                    <w:left w:val="none" w:sz="0" w:space="0" w:color="auto"/>
                    <w:bottom w:val="none" w:sz="0" w:space="0" w:color="auto"/>
                    <w:right w:val="none" w:sz="0" w:space="0" w:color="auto"/>
                  </w:divBdr>
                  <w:divsChild>
                    <w:div w:id="1824350119">
                      <w:marLeft w:val="0"/>
                      <w:marRight w:val="0"/>
                      <w:marTop w:val="0"/>
                      <w:marBottom w:val="0"/>
                      <w:divBdr>
                        <w:top w:val="none" w:sz="0" w:space="0" w:color="auto"/>
                        <w:left w:val="none" w:sz="0" w:space="0" w:color="auto"/>
                        <w:bottom w:val="none" w:sz="0" w:space="0" w:color="auto"/>
                        <w:right w:val="none" w:sz="0" w:space="0" w:color="auto"/>
                      </w:divBdr>
                      <w:divsChild>
                        <w:div w:id="138886302">
                          <w:marLeft w:val="0"/>
                          <w:marRight w:val="0"/>
                          <w:marTop w:val="0"/>
                          <w:marBottom w:val="0"/>
                          <w:divBdr>
                            <w:top w:val="none" w:sz="0" w:space="0" w:color="auto"/>
                            <w:left w:val="none" w:sz="0" w:space="0" w:color="auto"/>
                            <w:bottom w:val="none" w:sz="0" w:space="0" w:color="auto"/>
                            <w:right w:val="none" w:sz="0" w:space="0" w:color="auto"/>
                          </w:divBdr>
                          <w:divsChild>
                            <w:div w:id="1473787054">
                              <w:marLeft w:val="0"/>
                              <w:marRight w:val="0"/>
                              <w:marTop w:val="0"/>
                              <w:marBottom w:val="0"/>
                              <w:divBdr>
                                <w:top w:val="none" w:sz="0" w:space="0" w:color="auto"/>
                                <w:left w:val="none" w:sz="0" w:space="0" w:color="auto"/>
                                <w:bottom w:val="none" w:sz="0" w:space="0" w:color="auto"/>
                                <w:right w:val="none" w:sz="0" w:space="0" w:color="auto"/>
                              </w:divBdr>
                              <w:divsChild>
                                <w:div w:id="579561772">
                                  <w:marLeft w:val="0"/>
                                  <w:marRight w:val="0"/>
                                  <w:marTop w:val="0"/>
                                  <w:marBottom w:val="0"/>
                                  <w:divBdr>
                                    <w:top w:val="none" w:sz="0" w:space="0" w:color="auto"/>
                                    <w:left w:val="none" w:sz="0" w:space="0" w:color="auto"/>
                                    <w:bottom w:val="none" w:sz="0" w:space="0" w:color="auto"/>
                                    <w:right w:val="none" w:sz="0" w:space="0" w:color="auto"/>
                                  </w:divBdr>
                                  <w:divsChild>
                                    <w:div w:id="216553784">
                                      <w:marLeft w:val="0"/>
                                      <w:marRight w:val="0"/>
                                      <w:marTop w:val="0"/>
                                      <w:marBottom w:val="0"/>
                                      <w:divBdr>
                                        <w:top w:val="none" w:sz="0" w:space="0" w:color="auto"/>
                                        <w:left w:val="none" w:sz="0" w:space="0" w:color="auto"/>
                                        <w:bottom w:val="none" w:sz="0" w:space="0" w:color="auto"/>
                                        <w:right w:val="none" w:sz="0" w:space="0" w:color="auto"/>
                                      </w:divBdr>
                                    </w:div>
                                    <w:div w:id="1841113232">
                                      <w:marLeft w:val="0"/>
                                      <w:marRight w:val="0"/>
                                      <w:marTop w:val="0"/>
                                      <w:marBottom w:val="0"/>
                                      <w:divBdr>
                                        <w:top w:val="none" w:sz="0" w:space="0" w:color="auto"/>
                                        <w:left w:val="none" w:sz="0" w:space="0" w:color="auto"/>
                                        <w:bottom w:val="none" w:sz="0" w:space="0" w:color="auto"/>
                                        <w:right w:val="none" w:sz="0" w:space="0" w:color="auto"/>
                                      </w:divBdr>
                                    </w:div>
                                  </w:divsChild>
                                </w:div>
                                <w:div w:id="166416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64449">
                          <w:marLeft w:val="0"/>
                          <w:marRight w:val="0"/>
                          <w:marTop w:val="0"/>
                          <w:marBottom w:val="0"/>
                          <w:divBdr>
                            <w:top w:val="none" w:sz="0" w:space="0" w:color="auto"/>
                            <w:left w:val="none" w:sz="0" w:space="0" w:color="auto"/>
                            <w:bottom w:val="none" w:sz="0" w:space="0" w:color="auto"/>
                            <w:right w:val="none" w:sz="0" w:space="0" w:color="auto"/>
                          </w:divBdr>
                        </w:div>
                        <w:div w:id="1091896670">
                          <w:marLeft w:val="0"/>
                          <w:marRight w:val="0"/>
                          <w:marTop w:val="0"/>
                          <w:marBottom w:val="0"/>
                          <w:divBdr>
                            <w:top w:val="none" w:sz="0" w:space="0" w:color="auto"/>
                            <w:left w:val="none" w:sz="0" w:space="0" w:color="auto"/>
                            <w:bottom w:val="none" w:sz="0" w:space="0" w:color="auto"/>
                            <w:right w:val="none" w:sz="0" w:space="0" w:color="auto"/>
                          </w:divBdr>
                        </w:div>
                        <w:div w:id="1762753641">
                          <w:marLeft w:val="0"/>
                          <w:marRight w:val="0"/>
                          <w:marTop w:val="0"/>
                          <w:marBottom w:val="0"/>
                          <w:divBdr>
                            <w:top w:val="none" w:sz="0" w:space="0" w:color="auto"/>
                            <w:left w:val="none" w:sz="0" w:space="0" w:color="auto"/>
                            <w:bottom w:val="none" w:sz="0" w:space="0" w:color="auto"/>
                            <w:right w:val="none" w:sz="0" w:space="0" w:color="auto"/>
                          </w:divBdr>
                        </w:div>
                        <w:div w:id="18418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70664">
                  <w:marLeft w:val="0"/>
                  <w:marRight w:val="0"/>
                  <w:marTop w:val="0"/>
                  <w:marBottom w:val="0"/>
                  <w:divBdr>
                    <w:top w:val="none" w:sz="0" w:space="0" w:color="auto"/>
                    <w:left w:val="none" w:sz="0" w:space="0" w:color="auto"/>
                    <w:bottom w:val="none" w:sz="0" w:space="0" w:color="auto"/>
                    <w:right w:val="none" w:sz="0" w:space="0" w:color="auto"/>
                  </w:divBdr>
                </w:div>
              </w:divsChild>
            </w:div>
            <w:div w:id="1146316437">
              <w:marLeft w:val="0"/>
              <w:marRight w:val="0"/>
              <w:marTop w:val="0"/>
              <w:marBottom w:val="0"/>
              <w:divBdr>
                <w:top w:val="none" w:sz="0" w:space="0" w:color="auto"/>
                <w:left w:val="none" w:sz="0" w:space="0" w:color="auto"/>
                <w:bottom w:val="none" w:sz="0" w:space="0" w:color="auto"/>
                <w:right w:val="none" w:sz="0" w:space="0" w:color="auto"/>
              </w:divBdr>
              <w:divsChild>
                <w:div w:id="1276330547">
                  <w:marLeft w:val="0"/>
                  <w:marRight w:val="0"/>
                  <w:marTop w:val="0"/>
                  <w:marBottom w:val="0"/>
                  <w:divBdr>
                    <w:top w:val="none" w:sz="0" w:space="0" w:color="auto"/>
                    <w:left w:val="none" w:sz="0" w:space="0" w:color="auto"/>
                    <w:bottom w:val="none" w:sz="0" w:space="0" w:color="auto"/>
                    <w:right w:val="none" w:sz="0" w:space="0" w:color="auto"/>
                  </w:divBdr>
                </w:div>
                <w:div w:id="2088502808">
                  <w:marLeft w:val="0"/>
                  <w:marRight w:val="0"/>
                  <w:marTop w:val="0"/>
                  <w:marBottom w:val="0"/>
                  <w:divBdr>
                    <w:top w:val="none" w:sz="0" w:space="0" w:color="auto"/>
                    <w:left w:val="none" w:sz="0" w:space="0" w:color="auto"/>
                    <w:bottom w:val="none" w:sz="0" w:space="0" w:color="auto"/>
                    <w:right w:val="none" w:sz="0" w:space="0" w:color="auto"/>
                  </w:divBdr>
                </w:div>
              </w:divsChild>
            </w:div>
            <w:div w:id="1629896724">
              <w:marLeft w:val="0"/>
              <w:marRight w:val="0"/>
              <w:marTop w:val="0"/>
              <w:marBottom w:val="0"/>
              <w:divBdr>
                <w:top w:val="none" w:sz="0" w:space="0" w:color="auto"/>
                <w:left w:val="none" w:sz="0" w:space="0" w:color="auto"/>
                <w:bottom w:val="none" w:sz="0" w:space="0" w:color="auto"/>
                <w:right w:val="none" w:sz="0" w:space="0" w:color="auto"/>
              </w:divBdr>
              <w:divsChild>
                <w:div w:id="35087485">
                  <w:marLeft w:val="0"/>
                  <w:marRight w:val="0"/>
                  <w:marTop w:val="0"/>
                  <w:marBottom w:val="0"/>
                  <w:divBdr>
                    <w:top w:val="none" w:sz="0" w:space="0" w:color="auto"/>
                    <w:left w:val="none" w:sz="0" w:space="0" w:color="auto"/>
                    <w:bottom w:val="none" w:sz="0" w:space="0" w:color="auto"/>
                    <w:right w:val="none" w:sz="0" w:space="0" w:color="auto"/>
                  </w:divBdr>
                </w:div>
                <w:div w:id="445582583">
                  <w:marLeft w:val="0"/>
                  <w:marRight w:val="0"/>
                  <w:marTop w:val="0"/>
                  <w:marBottom w:val="0"/>
                  <w:divBdr>
                    <w:top w:val="none" w:sz="0" w:space="0" w:color="auto"/>
                    <w:left w:val="none" w:sz="0" w:space="0" w:color="auto"/>
                    <w:bottom w:val="none" w:sz="0" w:space="0" w:color="auto"/>
                    <w:right w:val="none" w:sz="0" w:space="0" w:color="auto"/>
                  </w:divBdr>
                </w:div>
              </w:divsChild>
            </w:div>
            <w:div w:id="1736319181">
              <w:marLeft w:val="0"/>
              <w:marRight w:val="0"/>
              <w:marTop w:val="0"/>
              <w:marBottom w:val="0"/>
              <w:divBdr>
                <w:top w:val="none" w:sz="0" w:space="0" w:color="auto"/>
                <w:left w:val="none" w:sz="0" w:space="0" w:color="auto"/>
                <w:bottom w:val="none" w:sz="0" w:space="0" w:color="auto"/>
                <w:right w:val="none" w:sz="0" w:space="0" w:color="auto"/>
              </w:divBdr>
            </w:div>
            <w:div w:id="1786266745">
              <w:marLeft w:val="0"/>
              <w:marRight w:val="0"/>
              <w:marTop w:val="0"/>
              <w:marBottom w:val="0"/>
              <w:divBdr>
                <w:top w:val="none" w:sz="0" w:space="0" w:color="auto"/>
                <w:left w:val="none" w:sz="0" w:space="0" w:color="auto"/>
                <w:bottom w:val="none" w:sz="0" w:space="0" w:color="auto"/>
                <w:right w:val="none" w:sz="0" w:space="0" w:color="auto"/>
              </w:divBdr>
              <w:divsChild>
                <w:div w:id="292489571">
                  <w:marLeft w:val="0"/>
                  <w:marRight w:val="0"/>
                  <w:marTop w:val="0"/>
                  <w:marBottom w:val="0"/>
                  <w:divBdr>
                    <w:top w:val="none" w:sz="0" w:space="0" w:color="auto"/>
                    <w:left w:val="none" w:sz="0" w:space="0" w:color="auto"/>
                    <w:bottom w:val="none" w:sz="0" w:space="0" w:color="auto"/>
                    <w:right w:val="none" w:sz="0" w:space="0" w:color="auto"/>
                  </w:divBdr>
                </w:div>
                <w:div w:id="602147147">
                  <w:marLeft w:val="0"/>
                  <w:marRight w:val="0"/>
                  <w:marTop w:val="0"/>
                  <w:marBottom w:val="0"/>
                  <w:divBdr>
                    <w:top w:val="none" w:sz="0" w:space="0" w:color="auto"/>
                    <w:left w:val="none" w:sz="0" w:space="0" w:color="auto"/>
                    <w:bottom w:val="none" w:sz="0" w:space="0" w:color="auto"/>
                    <w:right w:val="none" w:sz="0" w:space="0" w:color="auto"/>
                  </w:divBdr>
                </w:div>
                <w:div w:id="948312301">
                  <w:marLeft w:val="0"/>
                  <w:marRight w:val="0"/>
                  <w:marTop w:val="0"/>
                  <w:marBottom w:val="0"/>
                  <w:divBdr>
                    <w:top w:val="none" w:sz="0" w:space="0" w:color="auto"/>
                    <w:left w:val="none" w:sz="0" w:space="0" w:color="auto"/>
                    <w:bottom w:val="none" w:sz="0" w:space="0" w:color="auto"/>
                    <w:right w:val="none" w:sz="0" w:space="0" w:color="auto"/>
                  </w:divBdr>
                </w:div>
                <w:div w:id="1140461558">
                  <w:marLeft w:val="0"/>
                  <w:marRight w:val="0"/>
                  <w:marTop w:val="0"/>
                  <w:marBottom w:val="0"/>
                  <w:divBdr>
                    <w:top w:val="none" w:sz="0" w:space="0" w:color="auto"/>
                    <w:left w:val="none" w:sz="0" w:space="0" w:color="auto"/>
                    <w:bottom w:val="none" w:sz="0" w:space="0" w:color="auto"/>
                    <w:right w:val="none" w:sz="0" w:space="0" w:color="auto"/>
                  </w:divBdr>
                </w:div>
                <w:div w:id="1505590317">
                  <w:marLeft w:val="0"/>
                  <w:marRight w:val="0"/>
                  <w:marTop w:val="0"/>
                  <w:marBottom w:val="0"/>
                  <w:divBdr>
                    <w:top w:val="none" w:sz="0" w:space="0" w:color="auto"/>
                    <w:left w:val="none" w:sz="0" w:space="0" w:color="auto"/>
                    <w:bottom w:val="none" w:sz="0" w:space="0" w:color="auto"/>
                    <w:right w:val="none" w:sz="0" w:space="0" w:color="auto"/>
                  </w:divBdr>
                </w:div>
              </w:divsChild>
            </w:div>
            <w:div w:id="1998606419">
              <w:marLeft w:val="0"/>
              <w:marRight w:val="0"/>
              <w:marTop w:val="0"/>
              <w:marBottom w:val="0"/>
              <w:divBdr>
                <w:top w:val="none" w:sz="0" w:space="0" w:color="auto"/>
                <w:left w:val="none" w:sz="0" w:space="0" w:color="auto"/>
                <w:bottom w:val="none" w:sz="0" w:space="0" w:color="auto"/>
                <w:right w:val="none" w:sz="0" w:space="0" w:color="auto"/>
              </w:divBdr>
              <w:divsChild>
                <w:div w:id="224531293">
                  <w:marLeft w:val="0"/>
                  <w:marRight w:val="0"/>
                  <w:marTop w:val="0"/>
                  <w:marBottom w:val="0"/>
                  <w:divBdr>
                    <w:top w:val="none" w:sz="0" w:space="0" w:color="auto"/>
                    <w:left w:val="none" w:sz="0" w:space="0" w:color="auto"/>
                    <w:bottom w:val="none" w:sz="0" w:space="0" w:color="auto"/>
                    <w:right w:val="none" w:sz="0" w:space="0" w:color="auto"/>
                  </w:divBdr>
                  <w:divsChild>
                    <w:div w:id="238254830">
                      <w:marLeft w:val="0"/>
                      <w:marRight w:val="0"/>
                      <w:marTop w:val="0"/>
                      <w:marBottom w:val="0"/>
                      <w:divBdr>
                        <w:top w:val="none" w:sz="0" w:space="0" w:color="auto"/>
                        <w:left w:val="none" w:sz="0" w:space="0" w:color="auto"/>
                        <w:bottom w:val="none" w:sz="0" w:space="0" w:color="auto"/>
                        <w:right w:val="none" w:sz="0" w:space="0" w:color="auto"/>
                      </w:divBdr>
                      <w:divsChild>
                        <w:div w:id="295993302">
                          <w:marLeft w:val="0"/>
                          <w:marRight w:val="0"/>
                          <w:marTop w:val="0"/>
                          <w:marBottom w:val="0"/>
                          <w:divBdr>
                            <w:top w:val="none" w:sz="0" w:space="0" w:color="auto"/>
                            <w:left w:val="none" w:sz="0" w:space="0" w:color="auto"/>
                            <w:bottom w:val="none" w:sz="0" w:space="0" w:color="auto"/>
                            <w:right w:val="none" w:sz="0" w:space="0" w:color="auto"/>
                          </w:divBdr>
                        </w:div>
                        <w:div w:id="1648049577">
                          <w:marLeft w:val="0"/>
                          <w:marRight w:val="0"/>
                          <w:marTop w:val="0"/>
                          <w:marBottom w:val="0"/>
                          <w:divBdr>
                            <w:top w:val="none" w:sz="0" w:space="0" w:color="auto"/>
                            <w:left w:val="none" w:sz="0" w:space="0" w:color="auto"/>
                            <w:bottom w:val="none" w:sz="0" w:space="0" w:color="auto"/>
                            <w:right w:val="none" w:sz="0" w:space="0" w:color="auto"/>
                          </w:divBdr>
                          <w:divsChild>
                            <w:div w:id="1564870662">
                              <w:marLeft w:val="0"/>
                              <w:marRight w:val="0"/>
                              <w:marTop w:val="0"/>
                              <w:marBottom w:val="0"/>
                              <w:divBdr>
                                <w:top w:val="none" w:sz="0" w:space="0" w:color="auto"/>
                                <w:left w:val="none" w:sz="0" w:space="0" w:color="auto"/>
                                <w:bottom w:val="none" w:sz="0" w:space="0" w:color="auto"/>
                                <w:right w:val="none" w:sz="0" w:space="0" w:color="auto"/>
                              </w:divBdr>
                            </w:div>
                            <w:div w:id="157581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299">
                      <w:marLeft w:val="0"/>
                      <w:marRight w:val="0"/>
                      <w:marTop w:val="0"/>
                      <w:marBottom w:val="0"/>
                      <w:divBdr>
                        <w:top w:val="none" w:sz="0" w:space="0" w:color="auto"/>
                        <w:left w:val="none" w:sz="0" w:space="0" w:color="auto"/>
                        <w:bottom w:val="none" w:sz="0" w:space="0" w:color="auto"/>
                        <w:right w:val="none" w:sz="0" w:space="0" w:color="auto"/>
                      </w:divBdr>
                      <w:divsChild>
                        <w:div w:id="697975785">
                          <w:marLeft w:val="0"/>
                          <w:marRight w:val="0"/>
                          <w:marTop w:val="0"/>
                          <w:marBottom w:val="0"/>
                          <w:divBdr>
                            <w:top w:val="none" w:sz="0" w:space="0" w:color="auto"/>
                            <w:left w:val="none" w:sz="0" w:space="0" w:color="auto"/>
                            <w:bottom w:val="none" w:sz="0" w:space="0" w:color="auto"/>
                            <w:right w:val="none" w:sz="0" w:space="0" w:color="auto"/>
                          </w:divBdr>
                        </w:div>
                        <w:div w:id="1772168021">
                          <w:marLeft w:val="0"/>
                          <w:marRight w:val="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0"/>
                              <w:divBdr>
                                <w:top w:val="none" w:sz="0" w:space="0" w:color="auto"/>
                                <w:left w:val="none" w:sz="0" w:space="0" w:color="auto"/>
                                <w:bottom w:val="none" w:sz="0" w:space="0" w:color="auto"/>
                                <w:right w:val="none" w:sz="0" w:space="0" w:color="auto"/>
                              </w:divBdr>
                            </w:div>
                            <w:div w:id="133996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932408">
                  <w:marLeft w:val="0"/>
                  <w:marRight w:val="0"/>
                  <w:marTop w:val="0"/>
                  <w:marBottom w:val="0"/>
                  <w:divBdr>
                    <w:top w:val="none" w:sz="0" w:space="0" w:color="auto"/>
                    <w:left w:val="none" w:sz="0" w:space="0" w:color="auto"/>
                    <w:bottom w:val="none" w:sz="0" w:space="0" w:color="auto"/>
                    <w:right w:val="none" w:sz="0" w:space="0" w:color="auto"/>
                  </w:divBdr>
                  <w:divsChild>
                    <w:div w:id="1551499528">
                      <w:marLeft w:val="0"/>
                      <w:marRight w:val="0"/>
                      <w:marTop w:val="0"/>
                      <w:marBottom w:val="0"/>
                      <w:divBdr>
                        <w:top w:val="none" w:sz="0" w:space="0" w:color="auto"/>
                        <w:left w:val="none" w:sz="0" w:space="0" w:color="auto"/>
                        <w:bottom w:val="none" w:sz="0" w:space="0" w:color="auto"/>
                        <w:right w:val="none" w:sz="0" w:space="0" w:color="auto"/>
                      </w:divBdr>
                      <w:divsChild>
                        <w:div w:id="933712290">
                          <w:marLeft w:val="0"/>
                          <w:marRight w:val="0"/>
                          <w:marTop w:val="0"/>
                          <w:marBottom w:val="0"/>
                          <w:divBdr>
                            <w:top w:val="none" w:sz="0" w:space="0" w:color="auto"/>
                            <w:left w:val="none" w:sz="0" w:space="0" w:color="auto"/>
                            <w:bottom w:val="none" w:sz="0" w:space="0" w:color="auto"/>
                            <w:right w:val="none" w:sz="0" w:space="0" w:color="auto"/>
                          </w:divBdr>
                          <w:divsChild>
                            <w:div w:id="872032975">
                              <w:marLeft w:val="0"/>
                              <w:marRight w:val="0"/>
                              <w:marTop w:val="0"/>
                              <w:marBottom w:val="0"/>
                              <w:divBdr>
                                <w:top w:val="none" w:sz="0" w:space="0" w:color="auto"/>
                                <w:left w:val="none" w:sz="0" w:space="0" w:color="auto"/>
                                <w:bottom w:val="none" w:sz="0" w:space="0" w:color="auto"/>
                                <w:right w:val="none" w:sz="0" w:space="0" w:color="auto"/>
                              </w:divBdr>
                            </w:div>
                            <w:div w:id="1585915808">
                              <w:marLeft w:val="0"/>
                              <w:marRight w:val="0"/>
                              <w:marTop w:val="0"/>
                              <w:marBottom w:val="0"/>
                              <w:divBdr>
                                <w:top w:val="none" w:sz="0" w:space="0" w:color="auto"/>
                                <w:left w:val="none" w:sz="0" w:space="0" w:color="auto"/>
                                <w:bottom w:val="none" w:sz="0" w:space="0" w:color="auto"/>
                                <w:right w:val="none" w:sz="0" w:space="0" w:color="auto"/>
                              </w:divBdr>
                            </w:div>
                          </w:divsChild>
                        </w:div>
                        <w:div w:id="19675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44163">
                  <w:marLeft w:val="0"/>
                  <w:marRight w:val="0"/>
                  <w:marTop w:val="0"/>
                  <w:marBottom w:val="0"/>
                  <w:divBdr>
                    <w:top w:val="none" w:sz="0" w:space="0" w:color="auto"/>
                    <w:left w:val="none" w:sz="0" w:space="0" w:color="auto"/>
                    <w:bottom w:val="none" w:sz="0" w:space="0" w:color="auto"/>
                    <w:right w:val="none" w:sz="0" w:space="0" w:color="auto"/>
                  </w:divBdr>
                  <w:divsChild>
                    <w:div w:id="1604721549">
                      <w:marLeft w:val="0"/>
                      <w:marRight w:val="0"/>
                      <w:marTop w:val="0"/>
                      <w:marBottom w:val="0"/>
                      <w:divBdr>
                        <w:top w:val="none" w:sz="0" w:space="0" w:color="auto"/>
                        <w:left w:val="none" w:sz="0" w:space="0" w:color="auto"/>
                        <w:bottom w:val="none" w:sz="0" w:space="0" w:color="auto"/>
                        <w:right w:val="none" w:sz="0" w:space="0" w:color="auto"/>
                      </w:divBdr>
                      <w:divsChild>
                        <w:div w:id="1049115187">
                          <w:marLeft w:val="0"/>
                          <w:marRight w:val="0"/>
                          <w:marTop w:val="0"/>
                          <w:marBottom w:val="0"/>
                          <w:divBdr>
                            <w:top w:val="none" w:sz="0" w:space="0" w:color="auto"/>
                            <w:left w:val="none" w:sz="0" w:space="0" w:color="auto"/>
                            <w:bottom w:val="none" w:sz="0" w:space="0" w:color="auto"/>
                            <w:right w:val="none" w:sz="0" w:space="0" w:color="auto"/>
                          </w:divBdr>
                        </w:div>
                        <w:div w:id="1715616424">
                          <w:marLeft w:val="0"/>
                          <w:marRight w:val="0"/>
                          <w:marTop w:val="0"/>
                          <w:marBottom w:val="0"/>
                          <w:divBdr>
                            <w:top w:val="none" w:sz="0" w:space="0" w:color="auto"/>
                            <w:left w:val="none" w:sz="0" w:space="0" w:color="auto"/>
                            <w:bottom w:val="none" w:sz="0" w:space="0" w:color="auto"/>
                            <w:right w:val="none" w:sz="0" w:space="0" w:color="auto"/>
                          </w:divBdr>
                          <w:divsChild>
                            <w:div w:id="1174493787">
                              <w:marLeft w:val="0"/>
                              <w:marRight w:val="0"/>
                              <w:marTop w:val="0"/>
                              <w:marBottom w:val="0"/>
                              <w:divBdr>
                                <w:top w:val="none" w:sz="0" w:space="0" w:color="auto"/>
                                <w:left w:val="none" w:sz="0" w:space="0" w:color="auto"/>
                                <w:bottom w:val="none" w:sz="0" w:space="0" w:color="auto"/>
                                <w:right w:val="none" w:sz="0" w:space="0" w:color="auto"/>
                              </w:divBdr>
                            </w:div>
                            <w:div w:id="158102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20204">
                  <w:marLeft w:val="0"/>
                  <w:marRight w:val="0"/>
                  <w:marTop w:val="0"/>
                  <w:marBottom w:val="0"/>
                  <w:divBdr>
                    <w:top w:val="none" w:sz="0" w:space="0" w:color="auto"/>
                    <w:left w:val="none" w:sz="0" w:space="0" w:color="auto"/>
                    <w:bottom w:val="none" w:sz="0" w:space="0" w:color="auto"/>
                    <w:right w:val="none" w:sz="0" w:space="0" w:color="auto"/>
                  </w:divBdr>
                  <w:divsChild>
                    <w:div w:id="330375223">
                      <w:marLeft w:val="0"/>
                      <w:marRight w:val="0"/>
                      <w:marTop w:val="0"/>
                      <w:marBottom w:val="0"/>
                      <w:divBdr>
                        <w:top w:val="none" w:sz="0" w:space="0" w:color="auto"/>
                        <w:left w:val="none" w:sz="0" w:space="0" w:color="auto"/>
                        <w:bottom w:val="none" w:sz="0" w:space="0" w:color="auto"/>
                        <w:right w:val="none" w:sz="0" w:space="0" w:color="auto"/>
                      </w:divBdr>
                      <w:divsChild>
                        <w:div w:id="851140210">
                          <w:marLeft w:val="0"/>
                          <w:marRight w:val="0"/>
                          <w:marTop w:val="0"/>
                          <w:marBottom w:val="0"/>
                          <w:divBdr>
                            <w:top w:val="none" w:sz="0" w:space="0" w:color="auto"/>
                            <w:left w:val="none" w:sz="0" w:space="0" w:color="auto"/>
                            <w:bottom w:val="none" w:sz="0" w:space="0" w:color="auto"/>
                            <w:right w:val="none" w:sz="0" w:space="0" w:color="auto"/>
                          </w:divBdr>
                        </w:div>
                        <w:div w:id="884026895">
                          <w:marLeft w:val="0"/>
                          <w:marRight w:val="0"/>
                          <w:marTop w:val="0"/>
                          <w:marBottom w:val="0"/>
                          <w:divBdr>
                            <w:top w:val="none" w:sz="0" w:space="0" w:color="auto"/>
                            <w:left w:val="none" w:sz="0" w:space="0" w:color="auto"/>
                            <w:bottom w:val="none" w:sz="0" w:space="0" w:color="auto"/>
                            <w:right w:val="none" w:sz="0" w:space="0" w:color="auto"/>
                          </w:divBdr>
                          <w:divsChild>
                            <w:div w:id="905534785">
                              <w:marLeft w:val="0"/>
                              <w:marRight w:val="0"/>
                              <w:marTop w:val="0"/>
                              <w:marBottom w:val="0"/>
                              <w:divBdr>
                                <w:top w:val="none" w:sz="0" w:space="0" w:color="auto"/>
                                <w:left w:val="none" w:sz="0" w:space="0" w:color="auto"/>
                                <w:bottom w:val="none" w:sz="0" w:space="0" w:color="auto"/>
                                <w:right w:val="none" w:sz="0" w:space="0" w:color="auto"/>
                              </w:divBdr>
                            </w:div>
                            <w:div w:id="17293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5710">
                      <w:marLeft w:val="0"/>
                      <w:marRight w:val="0"/>
                      <w:marTop w:val="0"/>
                      <w:marBottom w:val="0"/>
                      <w:divBdr>
                        <w:top w:val="none" w:sz="0" w:space="0" w:color="auto"/>
                        <w:left w:val="none" w:sz="0" w:space="0" w:color="auto"/>
                        <w:bottom w:val="none" w:sz="0" w:space="0" w:color="auto"/>
                        <w:right w:val="none" w:sz="0" w:space="0" w:color="auto"/>
                      </w:divBdr>
                      <w:divsChild>
                        <w:div w:id="4987010">
                          <w:marLeft w:val="0"/>
                          <w:marRight w:val="0"/>
                          <w:marTop w:val="0"/>
                          <w:marBottom w:val="0"/>
                          <w:divBdr>
                            <w:top w:val="none" w:sz="0" w:space="0" w:color="auto"/>
                            <w:left w:val="none" w:sz="0" w:space="0" w:color="auto"/>
                            <w:bottom w:val="none" w:sz="0" w:space="0" w:color="auto"/>
                            <w:right w:val="none" w:sz="0" w:space="0" w:color="auto"/>
                          </w:divBdr>
                          <w:divsChild>
                            <w:div w:id="208732267">
                              <w:marLeft w:val="0"/>
                              <w:marRight w:val="0"/>
                              <w:marTop w:val="0"/>
                              <w:marBottom w:val="0"/>
                              <w:divBdr>
                                <w:top w:val="none" w:sz="0" w:space="0" w:color="auto"/>
                                <w:left w:val="none" w:sz="0" w:space="0" w:color="auto"/>
                                <w:bottom w:val="none" w:sz="0" w:space="0" w:color="auto"/>
                                <w:right w:val="none" w:sz="0" w:space="0" w:color="auto"/>
                              </w:divBdr>
                            </w:div>
                            <w:div w:id="544224069">
                              <w:marLeft w:val="0"/>
                              <w:marRight w:val="0"/>
                              <w:marTop w:val="0"/>
                              <w:marBottom w:val="0"/>
                              <w:divBdr>
                                <w:top w:val="none" w:sz="0" w:space="0" w:color="auto"/>
                                <w:left w:val="none" w:sz="0" w:space="0" w:color="auto"/>
                                <w:bottom w:val="none" w:sz="0" w:space="0" w:color="auto"/>
                                <w:right w:val="none" w:sz="0" w:space="0" w:color="auto"/>
                              </w:divBdr>
                            </w:div>
                          </w:divsChild>
                        </w:div>
                        <w:div w:id="12282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21910">
                  <w:marLeft w:val="0"/>
                  <w:marRight w:val="0"/>
                  <w:marTop w:val="0"/>
                  <w:marBottom w:val="0"/>
                  <w:divBdr>
                    <w:top w:val="none" w:sz="0" w:space="0" w:color="auto"/>
                    <w:left w:val="none" w:sz="0" w:space="0" w:color="auto"/>
                    <w:bottom w:val="none" w:sz="0" w:space="0" w:color="auto"/>
                    <w:right w:val="none" w:sz="0" w:space="0" w:color="auto"/>
                  </w:divBdr>
                </w:div>
                <w:div w:id="1737625917">
                  <w:marLeft w:val="0"/>
                  <w:marRight w:val="0"/>
                  <w:marTop w:val="0"/>
                  <w:marBottom w:val="0"/>
                  <w:divBdr>
                    <w:top w:val="none" w:sz="0" w:space="0" w:color="auto"/>
                    <w:left w:val="none" w:sz="0" w:space="0" w:color="auto"/>
                    <w:bottom w:val="none" w:sz="0" w:space="0" w:color="auto"/>
                    <w:right w:val="none" w:sz="0" w:space="0" w:color="auto"/>
                  </w:divBdr>
                  <w:divsChild>
                    <w:div w:id="1030691132">
                      <w:marLeft w:val="0"/>
                      <w:marRight w:val="0"/>
                      <w:marTop w:val="0"/>
                      <w:marBottom w:val="0"/>
                      <w:divBdr>
                        <w:top w:val="none" w:sz="0" w:space="0" w:color="auto"/>
                        <w:left w:val="none" w:sz="0" w:space="0" w:color="auto"/>
                        <w:bottom w:val="none" w:sz="0" w:space="0" w:color="auto"/>
                        <w:right w:val="none" w:sz="0" w:space="0" w:color="auto"/>
                      </w:divBdr>
                      <w:divsChild>
                        <w:div w:id="1434201388">
                          <w:marLeft w:val="0"/>
                          <w:marRight w:val="0"/>
                          <w:marTop w:val="0"/>
                          <w:marBottom w:val="0"/>
                          <w:divBdr>
                            <w:top w:val="none" w:sz="0" w:space="0" w:color="auto"/>
                            <w:left w:val="none" w:sz="0" w:space="0" w:color="auto"/>
                            <w:bottom w:val="none" w:sz="0" w:space="0" w:color="auto"/>
                            <w:right w:val="none" w:sz="0" w:space="0" w:color="auto"/>
                          </w:divBdr>
                        </w:div>
                        <w:div w:id="1847207393">
                          <w:marLeft w:val="0"/>
                          <w:marRight w:val="0"/>
                          <w:marTop w:val="0"/>
                          <w:marBottom w:val="0"/>
                          <w:divBdr>
                            <w:top w:val="none" w:sz="0" w:space="0" w:color="auto"/>
                            <w:left w:val="none" w:sz="0" w:space="0" w:color="auto"/>
                            <w:bottom w:val="none" w:sz="0" w:space="0" w:color="auto"/>
                            <w:right w:val="none" w:sz="0" w:space="0" w:color="auto"/>
                          </w:divBdr>
                          <w:divsChild>
                            <w:div w:id="387806558">
                              <w:marLeft w:val="0"/>
                              <w:marRight w:val="0"/>
                              <w:marTop w:val="0"/>
                              <w:marBottom w:val="0"/>
                              <w:divBdr>
                                <w:top w:val="none" w:sz="0" w:space="0" w:color="auto"/>
                                <w:left w:val="none" w:sz="0" w:space="0" w:color="auto"/>
                                <w:bottom w:val="none" w:sz="0" w:space="0" w:color="auto"/>
                                <w:right w:val="none" w:sz="0" w:space="0" w:color="auto"/>
                              </w:divBdr>
                            </w:div>
                            <w:div w:id="12896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81523">
                      <w:marLeft w:val="0"/>
                      <w:marRight w:val="0"/>
                      <w:marTop w:val="0"/>
                      <w:marBottom w:val="0"/>
                      <w:divBdr>
                        <w:top w:val="none" w:sz="0" w:space="0" w:color="auto"/>
                        <w:left w:val="none" w:sz="0" w:space="0" w:color="auto"/>
                        <w:bottom w:val="none" w:sz="0" w:space="0" w:color="auto"/>
                        <w:right w:val="none" w:sz="0" w:space="0" w:color="auto"/>
                      </w:divBdr>
                      <w:divsChild>
                        <w:div w:id="1777946254">
                          <w:marLeft w:val="0"/>
                          <w:marRight w:val="0"/>
                          <w:marTop w:val="0"/>
                          <w:marBottom w:val="0"/>
                          <w:divBdr>
                            <w:top w:val="none" w:sz="0" w:space="0" w:color="auto"/>
                            <w:left w:val="none" w:sz="0" w:space="0" w:color="auto"/>
                            <w:bottom w:val="none" w:sz="0" w:space="0" w:color="auto"/>
                            <w:right w:val="none" w:sz="0" w:space="0" w:color="auto"/>
                          </w:divBdr>
                          <w:divsChild>
                            <w:div w:id="1316838973">
                              <w:marLeft w:val="0"/>
                              <w:marRight w:val="0"/>
                              <w:marTop w:val="0"/>
                              <w:marBottom w:val="0"/>
                              <w:divBdr>
                                <w:top w:val="none" w:sz="0" w:space="0" w:color="auto"/>
                                <w:left w:val="none" w:sz="0" w:space="0" w:color="auto"/>
                                <w:bottom w:val="none" w:sz="0" w:space="0" w:color="auto"/>
                                <w:right w:val="none" w:sz="0" w:space="0" w:color="auto"/>
                              </w:divBdr>
                            </w:div>
                            <w:div w:id="2109304379">
                              <w:marLeft w:val="0"/>
                              <w:marRight w:val="0"/>
                              <w:marTop w:val="0"/>
                              <w:marBottom w:val="0"/>
                              <w:divBdr>
                                <w:top w:val="none" w:sz="0" w:space="0" w:color="auto"/>
                                <w:left w:val="none" w:sz="0" w:space="0" w:color="auto"/>
                                <w:bottom w:val="none" w:sz="0" w:space="0" w:color="auto"/>
                                <w:right w:val="none" w:sz="0" w:space="0" w:color="auto"/>
                              </w:divBdr>
                            </w:div>
                          </w:divsChild>
                        </w:div>
                        <w:div w:id="1973175383">
                          <w:marLeft w:val="0"/>
                          <w:marRight w:val="0"/>
                          <w:marTop w:val="0"/>
                          <w:marBottom w:val="0"/>
                          <w:divBdr>
                            <w:top w:val="none" w:sz="0" w:space="0" w:color="auto"/>
                            <w:left w:val="none" w:sz="0" w:space="0" w:color="auto"/>
                            <w:bottom w:val="none" w:sz="0" w:space="0" w:color="auto"/>
                            <w:right w:val="none" w:sz="0" w:space="0" w:color="auto"/>
                          </w:divBdr>
                        </w:div>
                      </w:divsChild>
                    </w:div>
                    <w:div w:id="1575116869">
                      <w:marLeft w:val="0"/>
                      <w:marRight w:val="0"/>
                      <w:marTop w:val="0"/>
                      <w:marBottom w:val="0"/>
                      <w:divBdr>
                        <w:top w:val="none" w:sz="0" w:space="0" w:color="auto"/>
                        <w:left w:val="none" w:sz="0" w:space="0" w:color="auto"/>
                        <w:bottom w:val="none" w:sz="0" w:space="0" w:color="auto"/>
                        <w:right w:val="none" w:sz="0" w:space="0" w:color="auto"/>
                      </w:divBdr>
                      <w:divsChild>
                        <w:div w:id="352729588">
                          <w:marLeft w:val="0"/>
                          <w:marRight w:val="0"/>
                          <w:marTop w:val="0"/>
                          <w:marBottom w:val="0"/>
                          <w:divBdr>
                            <w:top w:val="none" w:sz="0" w:space="0" w:color="auto"/>
                            <w:left w:val="none" w:sz="0" w:space="0" w:color="auto"/>
                            <w:bottom w:val="none" w:sz="0" w:space="0" w:color="auto"/>
                            <w:right w:val="none" w:sz="0" w:space="0" w:color="auto"/>
                          </w:divBdr>
                        </w:div>
                        <w:div w:id="620570972">
                          <w:marLeft w:val="0"/>
                          <w:marRight w:val="0"/>
                          <w:marTop w:val="0"/>
                          <w:marBottom w:val="0"/>
                          <w:divBdr>
                            <w:top w:val="none" w:sz="0" w:space="0" w:color="auto"/>
                            <w:left w:val="none" w:sz="0" w:space="0" w:color="auto"/>
                            <w:bottom w:val="none" w:sz="0" w:space="0" w:color="auto"/>
                            <w:right w:val="none" w:sz="0" w:space="0" w:color="auto"/>
                          </w:divBdr>
                        </w:div>
                        <w:div w:id="1391853869">
                          <w:marLeft w:val="0"/>
                          <w:marRight w:val="0"/>
                          <w:marTop w:val="0"/>
                          <w:marBottom w:val="0"/>
                          <w:divBdr>
                            <w:top w:val="none" w:sz="0" w:space="0" w:color="auto"/>
                            <w:left w:val="none" w:sz="0" w:space="0" w:color="auto"/>
                            <w:bottom w:val="none" w:sz="0" w:space="0" w:color="auto"/>
                            <w:right w:val="none" w:sz="0" w:space="0" w:color="auto"/>
                          </w:divBdr>
                        </w:div>
                        <w:div w:id="1749883378">
                          <w:marLeft w:val="0"/>
                          <w:marRight w:val="0"/>
                          <w:marTop w:val="0"/>
                          <w:marBottom w:val="0"/>
                          <w:divBdr>
                            <w:top w:val="none" w:sz="0" w:space="0" w:color="auto"/>
                            <w:left w:val="none" w:sz="0" w:space="0" w:color="auto"/>
                            <w:bottom w:val="none" w:sz="0" w:space="0" w:color="auto"/>
                            <w:right w:val="none" w:sz="0" w:space="0" w:color="auto"/>
                          </w:divBdr>
                          <w:divsChild>
                            <w:div w:id="3739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75851">
                  <w:marLeft w:val="0"/>
                  <w:marRight w:val="0"/>
                  <w:marTop w:val="0"/>
                  <w:marBottom w:val="0"/>
                  <w:divBdr>
                    <w:top w:val="none" w:sz="0" w:space="0" w:color="auto"/>
                    <w:left w:val="none" w:sz="0" w:space="0" w:color="auto"/>
                    <w:bottom w:val="none" w:sz="0" w:space="0" w:color="auto"/>
                    <w:right w:val="none" w:sz="0" w:space="0" w:color="auto"/>
                  </w:divBdr>
                  <w:divsChild>
                    <w:div w:id="1538201804">
                      <w:marLeft w:val="0"/>
                      <w:marRight w:val="0"/>
                      <w:marTop w:val="0"/>
                      <w:marBottom w:val="0"/>
                      <w:divBdr>
                        <w:top w:val="none" w:sz="0" w:space="0" w:color="auto"/>
                        <w:left w:val="none" w:sz="0" w:space="0" w:color="auto"/>
                        <w:bottom w:val="none" w:sz="0" w:space="0" w:color="auto"/>
                        <w:right w:val="none" w:sz="0" w:space="0" w:color="auto"/>
                      </w:divBdr>
                      <w:divsChild>
                        <w:div w:id="889926812">
                          <w:marLeft w:val="0"/>
                          <w:marRight w:val="0"/>
                          <w:marTop w:val="0"/>
                          <w:marBottom w:val="0"/>
                          <w:divBdr>
                            <w:top w:val="none" w:sz="0" w:space="0" w:color="auto"/>
                            <w:left w:val="none" w:sz="0" w:space="0" w:color="auto"/>
                            <w:bottom w:val="none" w:sz="0" w:space="0" w:color="auto"/>
                            <w:right w:val="none" w:sz="0" w:space="0" w:color="auto"/>
                          </w:divBdr>
                          <w:divsChild>
                            <w:div w:id="2103837574">
                              <w:marLeft w:val="0"/>
                              <w:marRight w:val="0"/>
                              <w:marTop w:val="0"/>
                              <w:marBottom w:val="0"/>
                              <w:divBdr>
                                <w:top w:val="none" w:sz="0" w:space="0" w:color="auto"/>
                                <w:left w:val="none" w:sz="0" w:space="0" w:color="auto"/>
                                <w:bottom w:val="none" w:sz="0" w:space="0" w:color="auto"/>
                                <w:right w:val="none" w:sz="0" w:space="0" w:color="auto"/>
                              </w:divBdr>
                            </w:div>
                          </w:divsChild>
                        </w:div>
                        <w:div w:id="1021005629">
                          <w:marLeft w:val="0"/>
                          <w:marRight w:val="0"/>
                          <w:marTop w:val="0"/>
                          <w:marBottom w:val="0"/>
                          <w:divBdr>
                            <w:top w:val="none" w:sz="0" w:space="0" w:color="auto"/>
                            <w:left w:val="none" w:sz="0" w:space="0" w:color="auto"/>
                            <w:bottom w:val="none" w:sz="0" w:space="0" w:color="auto"/>
                            <w:right w:val="none" w:sz="0" w:space="0" w:color="auto"/>
                          </w:divBdr>
                        </w:div>
                        <w:div w:id="1284271500">
                          <w:marLeft w:val="0"/>
                          <w:marRight w:val="0"/>
                          <w:marTop w:val="0"/>
                          <w:marBottom w:val="0"/>
                          <w:divBdr>
                            <w:top w:val="none" w:sz="0" w:space="0" w:color="auto"/>
                            <w:left w:val="none" w:sz="0" w:space="0" w:color="auto"/>
                            <w:bottom w:val="none" w:sz="0" w:space="0" w:color="auto"/>
                            <w:right w:val="none" w:sz="0" w:space="0" w:color="auto"/>
                          </w:divBdr>
                        </w:div>
                        <w:div w:id="1954097500">
                          <w:marLeft w:val="0"/>
                          <w:marRight w:val="0"/>
                          <w:marTop w:val="0"/>
                          <w:marBottom w:val="0"/>
                          <w:divBdr>
                            <w:top w:val="none" w:sz="0" w:space="0" w:color="auto"/>
                            <w:left w:val="none" w:sz="0" w:space="0" w:color="auto"/>
                            <w:bottom w:val="none" w:sz="0" w:space="0" w:color="auto"/>
                            <w:right w:val="none" w:sz="0" w:space="0" w:color="auto"/>
                          </w:divBdr>
                        </w:div>
                      </w:divsChild>
                    </w:div>
                    <w:div w:id="2028435941">
                      <w:marLeft w:val="0"/>
                      <w:marRight w:val="0"/>
                      <w:marTop w:val="0"/>
                      <w:marBottom w:val="0"/>
                      <w:divBdr>
                        <w:top w:val="none" w:sz="0" w:space="0" w:color="auto"/>
                        <w:left w:val="none" w:sz="0" w:space="0" w:color="auto"/>
                        <w:bottom w:val="none" w:sz="0" w:space="0" w:color="auto"/>
                        <w:right w:val="none" w:sz="0" w:space="0" w:color="auto"/>
                      </w:divBdr>
                      <w:divsChild>
                        <w:div w:id="517237811">
                          <w:marLeft w:val="0"/>
                          <w:marRight w:val="0"/>
                          <w:marTop w:val="0"/>
                          <w:marBottom w:val="0"/>
                          <w:divBdr>
                            <w:top w:val="none" w:sz="0" w:space="0" w:color="auto"/>
                            <w:left w:val="none" w:sz="0" w:space="0" w:color="auto"/>
                            <w:bottom w:val="none" w:sz="0" w:space="0" w:color="auto"/>
                            <w:right w:val="none" w:sz="0" w:space="0" w:color="auto"/>
                          </w:divBdr>
                          <w:divsChild>
                            <w:div w:id="741949170">
                              <w:marLeft w:val="0"/>
                              <w:marRight w:val="0"/>
                              <w:marTop w:val="0"/>
                              <w:marBottom w:val="0"/>
                              <w:divBdr>
                                <w:top w:val="none" w:sz="0" w:space="0" w:color="auto"/>
                                <w:left w:val="none" w:sz="0" w:space="0" w:color="auto"/>
                                <w:bottom w:val="none" w:sz="0" w:space="0" w:color="auto"/>
                                <w:right w:val="none" w:sz="0" w:space="0" w:color="auto"/>
                              </w:divBdr>
                            </w:div>
                            <w:div w:id="1422019730">
                              <w:marLeft w:val="0"/>
                              <w:marRight w:val="0"/>
                              <w:marTop w:val="0"/>
                              <w:marBottom w:val="0"/>
                              <w:divBdr>
                                <w:top w:val="none" w:sz="0" w:space="0" w:color="auto"/>
                                <w:left w:val="none" w:sz="0" w:space="0" w:color="auto"/>
                                <w:bottom w:val="none" w:sz="0" w:space="0" w:color="auto"/>
                                <w:right w:val="none" w:sz="0" w:space="0" w:color="auto"/>
                              </w:divBdr>
                            </w:div>
                          </w:divsChild>
                        </w:div>
                        <w:div w:id="134008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139717">
      <w:bodyDiv w:val="1"/>
      <w:marLeft w:val="0"/>
      <w:marRight w:val="0"/>
      <w:marTop w:val="0"/>
      <w:marBottom w:val="0"/>
      <w:divBdr>
        <w:top w:val="none" w:sz="0" w:space="0" w:color="auto"/>
        <w:left w:val="none" w:sz="0" w:space="0" w:color="auto"/>
        <w:bottom w:val="none" w:sz="0" w:space="0" w:color="auto"/>
        <w:right w:val="none" w:sz="0" w:space="0" w:color="auto"/>
      </w:divBdr>
      <w:divsChild>
        <w:div w:id="252400961">
          <w:marLeft w:val="0"/>
          <w:marRight w:val="0"/>
          <w:marTop w:val="0"/>
          <w:marBottom w:val="0"/>
          <w:divBdr>
            <w:top w:val="none" w:sz="0" w:space="0" w:color="auto"/>
            <w:left w:val="none" w:sz="0" w:space="0" w:color="auto"/>
            <w:bottom w:val="none" w:sz="0" w:space="0" w:color="auto"/>
            <w:right w:val="none" w:sz="0" w:space="0" w:color="auto"/>
          </w:divBdr>
        </w:div>
      </w:divsChild>
    </w:div>
    <w:div w:id="2036226767">
      <w:bodyDiv w:val="1"/>
      <w:marLeft w:val="0"/>
      <w:marRight w:val="0"/>
      <w:marTop w:val="0"/>
      <w:marBottom w:val="0"/>
      <w:divBdr>
        <w:top w:val="none" w:sz="0" w:space="0" w:color="auto"/>
        <w:left w:val="none" w:sz="0" w:space="0" w:color="auto"/>
        <w:bottom w:val="none" w:sz="0" w:space="0" w:color="auto"/>
        <w:right w:val="none" w:sz="0" w:space="0" w:color="auto"/>
      </w:divBdr>
      <w:divsChild>
        <w:div w:id="211770799">
          <w:marLeft w:val="0"/>
          <w:marRight w:val="0"/>
          <w:marTop w:val="0"/>
          <w:marBottom w:val="0"/>
          <w:divBdr>
            <w:top w:val="none" w:sz="0" w:space="0" w:color="auto"/>
            <w:left w:val="none" w:sz="0" w:space="0" w:color="auto"/>
            <w:bottom w:val="none" w:sz="0" w:space="0" w:color="auto"/>
            <w:right w:val="none" w:sz="0" w:space="0" w:color="auto"/>
          </w:divBdr>
        </w:div>
        <w:div w:id="500659919">
          <w:marLeft w:val="0"/>
          <w:marRight w:val="0"/>
          <w:marTop w:val="0"/>
          <w:marBottom w:val="0"/>
          <w:divBdr>
            <w:top w:val="none" w:sz="0" w:space="0" w:color="auto"/>
            <w:left w:val="none" w:sz="0" w:space="0" w:color="auto"/>
            <w:bottom w:val="none" w:sz="0" w:space="0" w:color="auto"/>
            <w:right w:val="none" w:sz="0" w:space="0" w:color="auto"/>
          </w:divBdr>
        </w:div>
        <w:div w:id="21078007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5A25D43D0044D89050CB22A1907AD" ma:contentTypeVersion="10" ma:contentTypeDescription="Create a new document." ma:contentTypeScope="" ma:versionID="0687f4dd28c9afb196b309f722efe470">
  <xsd:schema xmlns:xsd="http://www.w3.org/2001/XMLSchema" xmlns:xs="http://www.w3.org/2001/XMLSchema" xmlns:p="http://schemas.microsoft.com/office/2006/metadata/properties" xmlns:ns2="b70eadbc-9ebb-442d-88eb-412eb766cdfc" xmlns:ns3="d900e117-17a0-4b24-9e47-511ef1d02c43" targetNamespace="http://schemas.microsoft.com/office/2006/metadata/properties" ma:root="true" ma:fieldsID="3f3a6a095e4bbdd61ec284d19f125364" ns2:_="" ns3:_="">
    <xsd:import namespace="b70eadbc-9ebb-442d-88eb-412eb766cdfc"/>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eadbc-9ebb-442d-88eb-412eb766c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68035f4-2ed9-4f38-a7e7-edc59a5ac0b0}" ma:internalName="TaxCatchAll" ma:showField="CatchAllData" ma:web="9625e941-4456-4e86-bea7-b689d6f87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900e117-17a0-4b24-9e47-511ef1d02c43" xsi:nil="true"/>
    <lcf76f155ced4ddcb4097134ff3c332f xmlns="b70eadbc-9ebb-442d-88eb-412eb766cdf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284A2E-52B7-4547-A43C-A3337B355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eadbc-9ebb-442d-88eb-412eb766cdfc"/>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5B32A-1520-4254-A690-2ABF53083DB0}">
  <ds:schemaRefs>
    <ds:schemaRef ds:uri="http://schemas.microsoft.com/office/2006/metadata/properties"/>
    <ds:schemaRef ds:uri="http://schemas.microsoft.com/office/infopath/2007/PartnerControls"/>
    <ds:schemaRef ds:uri="d900e117-17a0-4b24-9e47-511ef1d02c43"/>
    <ds:schemaRef ds:uri="b70eadbc-9ebb-442d-88eb-412eb766cdfc"/>
  </ds:schemaRefs>
</ds:datastoreItem>
</file>

<file path=customXml/itemProps3.xml><?xml version="1.0" encoding="utf-8"?>
<ds:datastoreItem xmlns:ds="http://schemas.openxmlformats.org/officeDocument/2006/customXml" ds:itemID="{2EE3C849-F484-4E1E-85A1-ABE018E2BEE8}">
  <ds:schemaRefs>
    <ds:schemaRef ds:uri="http://schemas.openxmlformats.org/officeDocument/2006/bibliography"/>
  </ds:schemaRefs>
</ds:datastoreItem>
</file>

<file path=customXml/itemProps4.xml><?xml version="1.0" encoding="utf-8"?>
<ds:datastoreItem xmlns:ds="http://schemas.openxmlformats.org/officeDocument/2006/customXml" ds:itemID="{7E495745-E24F-46DC-9128-CB0739E486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Ellison, Ryan</dc:creator>
  <cp:keywords/>
  <dc:description/>
  <cp:lastModifiedBy>Trupti Sudge</cp:lastModifiedBy>
  <cp:revision>2</cp:revision>
  <cp:lastPrinted>2022-10-04T21:43:00Z</cp:lastPrinted>
  <dcterms:created xsi:type="dcterms:W3CDTF">2022-10-28T12:29:00Z</dcterms:created>
  <dcterms:modified xsi:type="dcterms:W3CDTF">2022-10-28T12:29:00Z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0x0101008B45A25D43D0044D89050CB22A1907AD</vt:lpwstr>
  </property>
  <property fmtid="{D5CDD505-2E9C-101B-9397-08002B2CF9AE}" pid="3" name="MediaServiceImageTags">
    <vt:lpwstr/>
  </property>
  <property fmtid="{D5CDD505-2E9C-101B-9397-08002B2CF9AE}" pid="4" name="Mendeley Document_1">
    <vt:lpwstr>True</vt:lpwstr>
  </property>
  <property fmtid="{D5CDD505-2E9C-101B-9397-08002B2CF9AE}" pid="5" name="Mendeley Unique User Id_1">
    <vt:lpwstr>de54370a-5a11-3f44-b518-573e2a856cc7</vt:lpwstr>
  </property>
  <property fmtid="{D5CDD505-2E9C-101B-9397-08002B2CF9AE}" pid="6" name="Mendeley Citation Style_1">
    <vt:lpwstr>https://csl.mendeley.com/styles/522674361/chicago-author-date</vt:lpwstr>
  </property>
</Properties>
</file>