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2F1" w:rsidRPr="001622F6" w:rsidRDefault="00D872F1" w:rsidP="00D872F1">
      <w:pPr>
        <w:pStyle w:val="Heading1"/>
      </w:pPr>
      <w:r w:rsidRPr="001622F6">
        <w:t xml:space="preserve">Appendix </w:t>
      </w:r>
    </w:p>
    <w:p w:rsidR="00D872F1" w:rsidRPr="00DF2A16" w:rsidRDefault="00D872F1" w:rsidP="00D872F1">
      <w:pPr>
        <w:pStyle w:val="TableCaption"/>
      </w:pPr>
      <w:bookmarkStart w:id="0" w:name="_Ref40112574"/>
      <w:r w:rsidRPr="00DF2A16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bookmarkEnd w:id="0"/>
      <w:r w:rsidRPr="00DF2A16">
        <w:t xml:space="preserve">: The 48 near-fault records adopted. </w:t>
      </w:r>
    </w:p>
    <w:tbl>
      <w:tblPr>
        <w:tblW w:w="10564" w:type="dxa"/>
        <w:jc w:val="center"/>
        <w:tblLook w:val="04A0" w:firstRow="1" w:lastRow="0" w:firstColumn="1" w:lastColumn="0" w:noHBand="0" w:noVBand="1"/>
      </w:tblPr>
      <w:tblGrid>
        <w:gridCol w:w="396"/>
        <w:gridCol w:w="622"/>
        <w:gridCol w:w="650"/>
        <w:gridCol w:w="650"/>
        <w:gridCol w:w="3915"/>
        <w:gridCol w:w="785"/>
        <w:gridCol w:w="515"/>
        <w:gridCol w:w="567"/>
        <w:gridCol w:w="622"/>
        <w:gridCol w:w="925"/>
        <w:gridCol w:w="917"/>
      </w:tblGrid>
      <w:tr w:rsidR="00D872F1" w:rsidRPr="00A65615" w:rsidTr="00677387">
        <w:trPr>
          <w:jc w:val="center"/>
        </w:trPr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#</w:t>
            </w:r>
          </w:p>
        </w:tc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Year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NGA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Tp(s)</w:t>
            </w:r>
          </w:p>
        </w:tc>
        <w:tc>
          <w:tcPr>
            <w:tcW w:w="39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Event/ Station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68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A(cm/s)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γ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v(o)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td(s)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 w:after="0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Total Duration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 w:after="0"/>
              <w:ind w:left="-105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Proposed</w:t>
            </w:r>
          </w:p>
          <w:p w:rsidR="00D872F1" w:rsidRPr="00A65615" w:rsidRDefault="00D872F1" w:rsidP="00677387">
            <w:pPr>
              <w:pStyle w:val="TableCaption"/>
              <w:spacing w:before="0" w:after="0"/>
              <w:rPr>
                <w:b/>
                <w:caps/>
                <w:sz w:val="18"/>
                <w:szCs w:val="18"/>
              </w:rPr>
            </w:pPr>
            <w:r w:rsidRPr="00A65615">
              <w:rPr>
                <w:b/>
                <w:sz w:val="18"/>
                <w:szCs w:val="18"/>
              </w:rPr>
              <w:t>Duration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</w:t>
            </w:r>
          </w:p>
        </w:tc>
        <w:tc>
          <w:tcPr>
            <w:tcW w:w="6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150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0.94</w:t>
            </w:r>
          </w:p>
        </w:tc>
        <w:tc>
          <w:tcPr>
            <w:tcW w:w="39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Coyote Lake / Gilroy Array #6</w:t>
            </w:r>
          </w:p>
        </w:tc>
        <w:tc>
          <w:tcPr>
            <w:tcW w:w="7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44.94</w:t>
            </w:r>
          </w:p>
        </w:tc>
        <w:tc>
          <w:tcPr>
            <w:tcW w:w="5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355</w:t>
            </w:r>
          </w:p>
        </w:tc>
        <w:tc>
          <w:tcPr>
            <w:tcW w:w="672" w:type="dxa"/>
            <w:tcBorders>
              <w:top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1.93</w:t>
            </w:r>
          </w:p>
        </w:tc>
        <w:tc>
          <w:tcPr>
            <w:tcW w:w="934" w:type="dxa"/>
            <w:tcBorders>
              <w:top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27.08</w:t>
            </w:r>
          </w:p>
        </w:tc>
        <w:tc>
          <w:tcPr>
            <w:tcW w:w="835" w:type="dxa"/>
            <w:tcBorders>
              <w:top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1.46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158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1.64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 / Aeropuerto Mexicali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46.78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345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3.64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11.14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9.68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159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1.90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 / Agrarias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44.04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5.87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28.35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3.79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161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4.78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 / Brawley Airport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43.38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135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2.67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37.77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21.40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4.78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 / EC County Center FF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43.38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135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2.67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39.96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8.60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3.01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 / EC County Center FF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114.85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cap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2.86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39.96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5.99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6.08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Valley-06/ El Centro Array #10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58.79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140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3.66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36.95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22.41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6.39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Valley-06/ El Centro Array #11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179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18.55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245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0.60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38.99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23.47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9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5.55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Valley-06/ El Centro Array #3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39.65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5.00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36.93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9.98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ind w:right="-32"/>
              <w:jc w:val="both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4.32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Valley-06/ El Centro Array #4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71.39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125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2.00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38.95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8.16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ind w:right="-32"/>
              <w:jc w:val="both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3.79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 / El Centro Array #5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86.02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135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3.37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39.24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6.76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ind w:right="-32"/>
              <w:jc w:val="both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12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3.94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 / El Centro Array #6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97.49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2.62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39.01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8.16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ind w:right="-32"/>
              <w:jc w:val="both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13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3.44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 / El Centro Array #7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74.50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2.52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36.79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7.67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ind w:right="-32"/>
              <w:jc w:val="both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14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5.08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 / El Centro Array #8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69.50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3.37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37.53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10.64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5.86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Valley-06/El Centro Differential Array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60.43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2.66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38.93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11.20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16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4.24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Imperial Valley-06/El Centro Holtville Post Office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47.52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3.35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37.72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7.20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250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Mamoth Lakes-06 / Long Valley (Upr L Abut)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34.99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300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4.59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25.93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2.25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292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2.64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Irpinia-Italy-01 / Sturno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23.95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1.13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39.31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14.72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316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3.00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Westmorland /Parachute Test Site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25.91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300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7.54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39.97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6.59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20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407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0.56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Coalinga-05 / Oil City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35.39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2.22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21.21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1.91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21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415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0.75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Coalinga-05 / Transmitter Hill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44.06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135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2.54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21.74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2.29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22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451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0.77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Morgan Hill / Coyote Lake Dam (SW Abut)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42.78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300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2.30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29.93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3.26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23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459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1.17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Morgan Hill / Gilroy Array #6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31.87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235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4.45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29.96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3.01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24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503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1.49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Taiwan SMART1(40) / SMART1 C00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29.00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215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5.91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30.59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3.42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508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1.39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Taiwan SMART1(40) / SMART1 M07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35.07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215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10.29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29.12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3.05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26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529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1.44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N. Palm Springs / North Palm Springs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56.48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345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1.80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20.00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2.41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568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0.70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San Salvador / Geotech Investig Center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68.43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0.63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9.00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1.71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28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615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0.81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Whittier Narrows-01 / Downey - Co Maint Bldg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27.35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260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4.36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39.97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2.01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29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645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0.78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Whittier Narrows-01 / LB - Orange Ave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30.64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255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5.10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32.08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1.91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30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766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1.54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Loma Prieta / Gilroy Array #2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28.64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270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1.16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39.92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7.34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31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1989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802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6.48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  <w:lang w:val="fr-FR"/>
              </w:rPr>
            </w:pPr>
            <w:r w:rsidRPr="00A65615">
              <w:rPr>
                <w:sz w:val="16"/>
                <w:szCs w:val="16"/>
                <w:lang w:val="fr-FR"/>
              </w:rPr>
              <w:t>Loma Prieta / Saratoga - Aloha Ave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36.31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180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3.10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39.93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8.79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32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821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2.42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Erzincan-Turkey / Erzincan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89.81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1.58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20.75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5.08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33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828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2.74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Cape Mendocino / Petrolia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57.86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325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1.13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35.98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4.55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34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838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7.57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Landers / Barstow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22.79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135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11.2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39.94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14.40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879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4.57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Landers / Lucerne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96.72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7.03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48.10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7.29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36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900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7.33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Landers / Yermo Fire Station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39.16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10.95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43.95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14.65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982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2.94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 / Jensen Filter Plant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60.02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285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0.00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28.59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8.78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38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983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2.94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 / Jensen Filter Plant Generator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60.02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285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0.00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28.59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8.78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1009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2.35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 / LA-Wadsworth VA Hospital North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41.98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8.16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55.32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4.91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40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1013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2.17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 / LA-Dam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76.26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220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1.78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26.55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3.23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lastRenderedPageBreak/>
              <w:t>41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1045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2.39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 / Newhall-W Pico Canyon Rd.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117.85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290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3.82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24.98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3.56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42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1050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3.37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 / Pacoima Dam (downstream).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11.71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0.04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19.96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10.71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43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1051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0.90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 / Pacoima Dam (upper left)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100.31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255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3.26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39.94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1.44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1063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1.11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Northridge-01/ Rinaldi Receiving Station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132.51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240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1.55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19.90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2.10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1085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3.06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Northridge-01/Sylmar Converter Station East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89.17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175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1.15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39.97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5.20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46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1086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2.56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Northridge-01/Sylmar Olive View Med FF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61.88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355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0.37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39.98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8.90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1119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1.23</w:t>
            </w:r>
          </w:p>
        </w:tc>
        <w:tc>
          <w:tcPr>
            <w:tcW w:w="39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Kobe, Japan / Takarazuka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55.97</w:t>
            </w:r>
          </w:p>
        </w:tc>
        <w:tc>
          <w:tcPr>
            <w:tcW w:w="515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145</w:t>
            </w:r>
          </w:p>
        </w:tc>
        <w:tc>
          <w:tcPr>
            <w:tcW w:w="672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3.82</w:t>
            </w:r>
          </w:p>
        </w:tc>
        <w:tc>
          <w:tcPr>
            <w:tcW w:w="934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40.95</w:t>
            </w:r>
          </w:p>
        </w:tc>
        <w:tc>
          <w:tcPr>
            <w:tcW w:w="835" w:type="dxa"/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2.82</w:t>
            </w:r>
          </w:p>
        </w:tc>
      </w:tr>
      <w:tr w:rsidR="00D872F1" w:rsidRPr="00A65615" w:rsidTr="00677387">
        <w:trPr>
          <w:jc w:val="center"/>
        </w:trPr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48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1999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1161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4.88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Kocaeli, Turkey / Gebze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ind w:left="-210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42.18</w:t>
            </w:r>
          </w:p>
        </w:tc>
        <w:tc>
          <w:tcPr>
            <w:tcW w:w="5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1.8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bCs/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190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3.37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27.98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vAlign w:val="center"/>
          </w:tcPr>
          <w:p w:rsidR="00D872F1" w:rsidRPr="00A65615" w:rsidRDefault="00D872F1" w:rsidP="00677387">
            <w:pPr>
              <w:pStyle w:val="TableCaption"/>
              <w:spacing w:before="0"/>
              <w:jc w:val="left"/>
              <w:rPr>
                <w:sz w:val="16"/>
                <w:szCs w:val="16"/>
              </w:rPr>
            </w:pPr>
            <w:r w:rsidRPr="00A65615">
              <w:rPr>
                <w:sz w:val="16"/>
                <w:szCs w:val="16"/>
              </w:rPr>
              <w:t>8.49</w:t>
            </w:r>
          </w:p>
        </w:tc>
      </w:tr>
    </w:tbl>
    <w:p w:rsidR="00D872F1" w:rsidRPr="001622F6" w:rsidRDefault="00D872F1" w:rsidP="00D872F1">
      <w:pPr>
        <w:pStyle w:val="TableCaption"/>
        <w:ind w:left="-851"/>
        <w:contextualSpacing/>
        <w:jc w:val="both"/>
        <w:rPr>
          <w:szCs w:val="20"/>
        </w:rPr>
      </w:pPr>
      <w:r w:rsidRPr="001622F6">
        <w:rPr>
          <w:i/>
          <w:szCs w:val="20"/>
        </w:rPr>
        <w:t>T</w:t>
      </w:r>
      <w:r w:rsidRPr="001622F6">
        <w:rPr>
          <w:i/>
          <w:szCs w:val="20"/>
          <w:vertAlign w:val="subscript"/>
        </w:rPr>
        <w:t>p</w:t>
      </w:r>
      <w:r w:rsidRPr="001622F6">
        <w:rPr>
          <w:szCs w:val="20"/>
        </w:rPr>
        <w:t xml:space="preserve"> (sec): The period of the harmonic oscillation of the wavelet.</w:t>
      </w:r>
    </w:p>
    <w:p w:rsidR="00D872F1" w:rsidRPr="001622F6" w:rsidRDefault="00D872F1" w:rsidP="00D872F1">
      <w:pPr>
        <w:pStyle w:val="TableCaption"/>
        <w:ind w:left="-851"/>
        <w:contextualSpacing/>
        <w:jc w:val="both"/>
        <w:rPr>
          <w:szCs w:val="20"/>
        </w:rPr>
      </w:pPr>
      <w:r w:rsidRPr="001622F6">
        <w:rPr>
          <w:i/>
          <w:szCs w:val="20"/>
        </w:rPr>
        <w:t>A</w:t>
      </w:r>
      <w:r w:rsidRPr="001622F6">
        <w:rPr>
          <w:szCs w:val="20"/>
          <w:vertAlign w:val="subscript"/>
        </w:rPr>
        <w:t xml:space="preserve"> </w:t>
      </w:r>
      <w:r w:rsidRPr="001622F6">
        <w:rPr>
          <w:szCs w:val="20"/>
        </w:rPr>
        <w:t>(cm/sec): The amplitude of the wavelet.</w:t>
      </w:r>
    </w:p>
    <w:p w:rsidR="00D872F1" w:rsidRPr="001622F6" w:rsidRDefault="00D872F1" w:rsidP="00D872F1">
      <w:pPr>
        <w:pStyle w:val="TableCaption"/>
        <w:ind w:left="-851"/>
        <w:contextualSpacing/>
        <w:jc w:val="both"/>
        <w:rPr>
          <w:szCs w:val="20"/>
        </w:rPr>
      </w:pPr>
      <w:r w:rsidRPr="001622F6">
        <w:rPr>
          <w:i/>
          <w:szCs w:val="20"/>
        </w:rPr>
        <w:t>γ</w:t>
      </w:r>
      <w:r w:rsidRPr="001622F6">
        <w:rPr>
          <w:szCs w:val="20"/>
        </w:rPr>
        <w:t>: The duration of the wavelet, which measures the number of the oscillations.</w:t>
      </w:r>
    </w:p>
    <w:p w:rsidR="00D872F1" w:rsidRPr="001622F6" w:rsidRDefault="00D872F1" w:rsidP="00D872F1">
      <w:pPr>
        <w:pStyle w:val="TableCaption"/>
        <w:ind w:left="-851"/>
        <w:contextualSpacing/>
        <w:jc w:val="both"/>
        <w:rPr>
          <w:szCs w:val="20"/>
        </w:rPr>
      </w:pPr>
      <w:r w:rsidRPr="001622F6">
        <w:rPr>
          <w:i/>
          <w:szCs w:val="20"/>
        </w:rPr>
        <w:t xml:space="preserve">v </w:t>
      </w:r>
      <w:r w:rsidRPr="001622F6">
        <w:rPr>
          <w:szCs w:val="20"/>
        </w:rPr>
        <w:t>(</w:t>
      </w:r>
      <w:r w:rsidRPr="001622F6">
        <w:rPr>
          <w:szCs w:val="20"/>
          <w:vertAlign w:val="superscript"/>
        </w:rPr>
        <w:t>o</w:t>
      </w:r>
      <w:r w:rsidRPr="001622F6">
        <w:rPr>
          <w:szCs w:val="20"/>
        </w:rPr>
        <w:t>): Phase shift.</w:t>
      </w:r>
    </w:p>
    <w:p w:rsidR="00D872F1" w:rsidRPr="001622F6" w:rsidRDefault="00D872F1" w:rsidP="00D872F1">
      <w:pPr>
        <w:pStyle w:val="TableCaption"/>
        <w:ind w:left="-851"/>
        <w:contextualSpacing/>
        <w:jc w:val="both"/>
        <w:rPr>
          <w:szCs w:val="20"/>
        </w:rPr>
      </w:pPr>
      <w:r w:rsidRPr="001622F6">
        <w:rPr>
          <w:i/>
          <w:szCs w:val="20"/>
        </w:rPr>
        <w:t>t</w:t>
      </w:r>
      <w:r w:rsidRPr="001622F6">
        <w:rPr>
          <w:i/>
          <w:szCs w:val="20"/>
          <w:vertAlign w:val="subscript"/>
        </w:rPr>
        <w:t>d</w:t>
      </w:r>
      <w:r w:rsidRPr="001622F6">
        <w:rPr>
          <w:i/>
          <w:szCs w:val="20"/>
        </w:rPr>
        <w:t xml:space="preserve"> </w:t>
      </w:r>
      <w:r w:rsidRPr="001622F6">
        <w:rPr>
          <w:szCs w:val="20"/>
        </w:rPr>
        <w:t>(sec): Time delay for the initiation of the pulse.</w:t>
      </w:r>
    </w:p>
    <w:p w:rsidR="00D872F1" w:rsidRPr="001762E3" w:rsidRDefault="00D872F1" w:rsidP="00D872F1">
      <w:pPr>
        <w:pStyle w:val="Reference"/>
        <w:numPr>
          <w:ilvl w:val="0"/>
          <w:numId w:val="0"/>
        </w:numPr>
        <w:ind w:left="720" w:hanging="360"/>
        <w:rPr>
          <w:rFonts w:eastAsiaTheme="minorHAnsi"/>
          <w:sz w:val="20"/>
          <w:szCs w:val="20"/>
          <w:lang w:eastAsia="en-US"/>
        </w:rPr>
      </w:pPr>
    </w:p>
    <w:p w:rsidR="00D56072" w:rsidRDefault="00D56072">
      <w:bookmarkStart w:id="1" w:name="_GoBack"/>
      <w:bookmarkEnd w:id="1"/>
    </w:p>
    <w:sectPr w:rsidR="00D56072" w:rsidSect="00DE4263"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788636"/>
      <w:docPartObj>
        <w:docPartGallery w:val="Page Numbers (Bottom of Page)"/>
        <w:docPartUnique/>
      </w:docPartObj>
    </w:sdtPr>
    <w:sdtEndPr/>
    <w:sdtContent>
      <w:p w:rsidR="00F270A9" w:rsidRDefault="00D872F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A84735"/>
    <w:multiLevelType w:val="hybridMultilevel"/>
    <w:tmpl w:val="0E16A91E"/>
    <w:lvl w:ilvl="0" w:tplc="674895E0">
      <w:start w:val="1"/>
      <w:numFmt w:val="decimal"/>
      <w:pStyle w:val="Reference"/>
      <w:lvlText w:val="[%1]"/>
      <w:lvlJc w:val="right"/>
      <w:pPr>
        <w:ind w:left="2912" w:hanging="360"/>
      </w:pPr>
      <w:rPr>
        <w:rFonts w:asciiTheme="minorHAnsi" w:hAnsiTheme="minorHAnsi" w:hint="default"/>
        <w:i w:val="0"/>
        <w:sz w:val="22"/>
        <w:szCs w:val="22"/>
      </w:rPr>
    </w:lvl>
    <w:lvl w:ilvl="1" w:tplc="175EED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FC4D7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BE92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F692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D864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FCCD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73AD76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1E83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2F1"/>
    <w:rsid w:val="00D56072"/>
    <w:rsid w:val="00D8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F775BB-A0DE-4BAE-941D-FBD8F029D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72F1"/>
    <w:pPr>
      <w:spacing w:before="120" w:after="120" w:line="360" w:lineRule="auto"/>
      <w:jc w:val="both"/>
    </w:pPr>
    <w:rPr>
      <w:rFonts w:ascii="Times New Roman" w:hAnsi="Times New Roman"/>
      <w:sz w:val="24"/>
      <w:lang w:val="en-GB"/>
    </w:rPr>
  </w:style>
  <w:style w:type="paragraph" w:styleId="Heading1">
    <w:name w:val="heading 1"/>
    <w:aliases w:val="heading 1"/>
    <w:basedOn w:val="ListParagraph"/>
    <w:next w:val="Normal"/>
    <w:link w:val="Heading1Char"/>
    <w:qFormat/>
    <w:rsid w:val="00D872F1"/>
    <w:pPr>
      <w:keepNext/>
      <w:snapToGrid w:val="0"/>
      <w:spacing w:before="360" w:after="60" w:line="240" w:lineRule="auto"/>
      <w:ind w:left="0"/>
      <w:contextualSpacing w:val="0"/>
      <w:outlineLvl w:val="0"/>
    </w:pPr>
    <w:rPr>
      <w:rFonts w:eastAsia="Calibri" w:cs="Times New Roman"/>
      <w:b/>
      <w:cap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Char"/>
    <w:basedOn w:val="DefaultParagraphFont"/>
    <w:link w:val="Heading1"/>
    <w:rsid w:val="00D872F1"/>
    <w:rPr>
      <w:rFonts w:ascii="Times New Roman" w:eastAsia="Calibri" w:hAnsi="Times New Roman" w:cs="Times New Roman"/>
      <w:b/>
      <w:caps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D872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2F1"/>
    <w:rPr>
      <w:rFonts w:ascii="Times New Roman" w:hAnsi="Times New Roman"/>
      <w:sz w:val="24"/>
      <w:lang w:val="en-GB"/>
    </w:rPr>
  </w:style>
  <w:style w:type="paragraph" w:customStyle="1" w:styleId="TableCaption">
    <w:name w:val="TableCaption"/>
    <w:basedOn w:val="Normal"/>
    <w:rsid w:val="00D872F1"/>
    <w:pPr>
      <w:snapToGrid w:val="0"/>
      <w:spacing w:line="240" w:lineRule="auto"/>
      <w:jc w:val="center"/>
    </w:pPr>
    <w:rPr>
      <w:rFonts w:eastAsia="SimSun" w:cs="Times New Roman"/>
      <w:sz w:val="20"/>
      <w:szCs w:val="24"/>
      <w:lang w:val="en-US" w:eastAsia="zh-CN"/>
    </w:rPr>
  </w:style>
  <w:style w:type="paragraph" w:customStyle="1" w:styleId="Reference">
    <w:name w:val="Reference"/>
    <w:basedOn w:val="Normal"/>
    <w:link w:val="ReferenceCarattere"/>
    <w:qFormat/>
    <w:rsid w:val="00D872F1"/>
    <w:pPr>
      <w:numPr>
        <w:numId w:val="1"/>
      </w:numPr>
      <w:spacing w:line="240" w:lineRule="auto"/>
    </w:pPr>
    <w:rPr>
      <w:rFonts w:eastAsia="SimSun" w:cs="Times New Roman"/>
      <w:szCs w:val="24"/>
      <w:lang w:val="en-US" w:eastAsia="zh-CN"/>
    </w:rPr>
  </w:style>
  <w:style w:type="character" w:customStyle="1" w:styleId="ReferenceCarattere">
    <w:name w:val="Reference Carattere"/>
    <w:link w:val="Reference"/>
    <w:rsid w:val="00D872F1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D872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664</Words>
  <Characters>3788</Characters>
  <Application>Microsoft Office Word</Application>
  <DocSecurity>0</DocSecurity>
  <Lines>31</Lines>
  <Paragraphs>8</Paragraphs>
  <ScaleCrop>false</ScaleCrop>
  <Company>Springer Nature IT</Company>
  <LinksUpToDate>false</LinksUpToDate>
  <CharactersWithSpaces>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2021-02-09T18:35:00Z</dcterms:created>
  <dcterms:modified xsi:type="dcterms:W3CDTF">2021-02-09T18:36:00Z</dcterms:modified>
</cp:coreProperties>
</file>