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BC2A1F" w14:textId="26AB262D" w:rsidR="000D6839" w:rsidRPr="00886832" w:rsidRDefault="000D6839" w:rsidP="000D6839">
      <w:pPr>
        <w:pStyle w:val="MDPI11articletype"/>
        <w:rPr>
          <w:rFonts w:ascii="Times New Roman" w:hAnsi="Times New Roman"/>
        </w:rPr>
      </w:pPr>
    </w:p>
    <w:p w14:paraId="721A9F13" w14:textId="77777777" w:rsidR="00AA5BA5" w:rsidRPr="00886832" w:rsidRDefault="00451257" w:rsidP="00886832">
      <w:pPr>
        <w:pStyle w:val="MDPI21heading1"/>
        <w:ind w:left="0"/>
        <w:rPr>
          <w:rFonts w:ascii="Times New Roman" w:hAnsi="Times New Roman"/>
        </w:rPr>
      </w:pPr>
      <w:r w:rsidRPr="00886832">
        <w:rPr>
          <w:rFonts w:ascii="Times New Roman" w:hAnsi="Times New Roman"/>
        </w:rPr>
        <w:t>Supplementary</w:t>
      </w:r>
      <w:r w:rsidR="00AA5BA5" w:rsidRPr="00886832">
        <w:rPr>
          <w:rFonts w:ascii="Times New Roman" w:hAnsi="Times New Roman"/>
        </w:rPr>
        <w:t xml:space="preserve"> materials</w:t>
      </w:r>
    </w:p>
    <w:p w14:paraId="0361F97F" w14:textId="1C7CA9B1" w:rsidR="000D6839" w:rsidRPr="00886832" w:rsidRDefault="00AA5BA5" w:rsidP="00886832">
      <w:pPr>
        <w:pStyle w:val="MDPI21heading1"/>
        <w:ind w:left="0"/>
        <w:rPr>
          <w:rFonts w:ascii="Times New Roman" w:hAnsi="Times New Roman"/>
        </w:rPr>
      </w:pPr>
      <w:bookmarkStart w:id="0" w:name="OLE_LINK3"/>
      <w:bookmarkStart w:id="1" w:name="OLE_LINK4"/>
      <w:r w:rsidRPr="00886832">
        <w:rPr>
          <w:rFonts w:ascii="Times New Roman" w:hAnsi="Times New Roman"/>
        </w:rPr>
        <w:t>1. Extended Materials and methods</w:t>
      </w:r>
      <w:r w:rsidR="00451257" w:rsidRPr="00886832">
        <w:rPr>
          <w:rFonts w:ascii="Times New Roman" w:hAnsi="Times New Roman"/>
        </w:rPr>
        <w:t xml:space="preserve"> </w:t>
      </w:r>
    </w:p>
    <w:bookmarkEnd w:id="0"/>
    <w:bookmarkEnd w:id="1"/>
    <w:p w14:paraId="6F3A4830" w14:textId="3D0B91A0" w:rsidR="000D6839" w:rsidRPr="00886832" w:rsidRDefault="00C334A7" w:rsidP="00886832">
      <w:pPr>
        <w:pStyle w:val="MDPI22heading2"/>
        <w:spacing w:before="240"/>
        <w:ind w:left="0"/>
        <w:rPr>
          <w:rFonts w:ascii="Times New Roman" w:hAnsi="Times New Roman"/>
        </w:rPr>
      </w:pPr>
      <w:r w:rsidRPr="00886832">
        <w:rPr>
          <w:rFonts w:ascii="Times New Roman" w:hAnsi="Times New Roman"/>
        </w:rPr>
        <w:t>1</w:t>
      </w:r>
      <w:r w:rsidR="000D6839" w:rsidRPr="00886832">
        <w:rPr>
          <w:rFonts w:ascii="Times New Roman" w:hAnsi="Times New Roman"/>
        </w:rPr>
        <w:t xml:space="preserve">.1. </w:t>
      </w:r>
      <w:r w:rsidRPr="00886832">
        <w:rPr>
          <w:rFonts w:ascii="Times New Roman" w:hAnsi="Times New Roman"/>
        </w:rPr>
        <w:t>Cell culture and reagents</w:t>
      </w:r>
    </w:p>
    <w:p w14:paraId="3BB222C0" w14:textId="2148063F" w:rsidR="000D6839" w:rsidRPr="00886832" w:rsidRDefault="00C334A7" w:rsidP="00886832">
      <w:pPr>
        <w:pStyle w:val="MDPI31text"/>
        <w:ind w:left="0" w:firstLineChars="200" w:firstLine="400"/>
        <w:rPr>
          <w:rFonts w:ascii="Times New Roman" w:hAnsi="Times New Roman"/>
        </w:rPr>
      </w:pPr>
      <w:r w:rsidRPr="00886832">
        <w:rPr>
          <w:rFonts w:ascii="Times New Roman" w:hAnsi="Times New Roman"/>
        </w:rPr>
        <w:t xml:space="preserve">Human PDAC cell lines AsPC-1, BxPC-3, Capan-1, CFPAC-1, Mia PaCa-2, PANC-1, PATU-8988T and human normal pancreatic duct cell (HPNE) all preserved in Shanghai Cancer Institute, </w:t>
      </w:r>
      <w:proofErr w:type="spellStart"/>
      <w:r w:rsidRPr="00886832">
        <w:rPr>
          <w:rFonts w:ascii="Times New Roman" w:hAnsi="Times New Roman"/>
        </w:rPr>
        <w:t>Renji</w:t>
      </w:r>
      <w:proofErr w:type="spellEnd"/>
      <w:r w:rsidRPr="00886832">
        <w:rPr>
          <w:rFonts w:ascii="Times New Roman" w:hAnsi="Times New Roman"/>
        </w:rPr>
        <w:t xml:space="preserve"> Hospital, School of Medicine, Shanghai Jiao Tong University. Cells were grown in suggested culture medium, supplemented with 10% (or 20% with Capan-1) fetal bovine serum (FBS, Gibco), 100U/mL penicillin and 100 </w:t>
      </w:r>
      <w:proofErr w:type="spellStart"/>
      <w:r w:rsidRPr="00886832">
        <w:rPr>
          <w:rFonts w:ascii="Times New Roman" w:hAnsi="Times New Roman"/>
        </w:rPr>
        <w:t>μg</w:t>
      </w:r>
      <w:proofErr w:type="spellEnd"/>
      <w:r w:rsidRPr="00886832">
        <w:rPr>
          <w:rFonts w:ascii="Times New Roman" w:hAnsi="Times New Roman"/>
        </w:rPr>
        <w:t xml:space="preserve">/mL streptomycin at 37℃ with 5% CO2 condition. The base medium for AsPC-1, BxPC-3, PATU-8988T, MIA PaCa-2 is RPMI-1640 Medium, for Capan1 and CFPAC-1 is </w:t>
      </w:r>
      <w:proofErr w:type="spellStart"/>
      <w:r w:rsidRPr="00886832">
        <w:rPr>
          <w:rFonts w:ascii="Times New Roman" w:hAnsi="Times New Roman"/>
        </w:rPr>
        <w:t>Iscove's</w:t>
      </w:r>
      <w:proofErr w:type="spellEnd"/>
      <w:r w:rsidRPr="00886832">
        <w:rPr>
          <w:rFonts w:ascii="Times New Roman" w:hAnsi="Times New Roman"/>
        </w:rPr>
        <w:t xml:space="preserve"> Modified Dulbecco's Medium (IMDM), for PANC-1 is Dulbecco's Modified Eagle's Medium (DMEM), for MIA PaCa-2 is DF12 Medium. All cell lines underwent verification by Shanghai Cancer Institute and regular testing (every 4 months) to ensure lack of contamination with the Mycoplasma. The number of passages between thawing cell lines and their use in the described experiments was 2-30.</w:t>
      </w:r>
    </w:p>
    <w:p w14:paraId="25986C30" w14:textId="7C2A9DE8" w:rsidR="00C334A7" w:rsidRPr="00886832" w:rsidRDefault="00C334A7" w:rsidP="00886832">
      <w:pPr>
        <w:pStyle w:val="MDPI31text"/>
        <w:ind w:left="0" w:firstLineChars="200" w:firstLine="400"/>
        <w:rPr>
          <w:rFonts w:ascii="Times New Roman" w:hAnsi="Times New Roman"/>
        </w:rPr>
      </w:pPr>
      <w:proofErr w:type="spellStart"/>
      <w:r w:rsidRPr="00886832">
        <w:rPr>
          <w:rFonts w:ascii="Times New Roman" w:hAnsi="Times New Roman"/>
        </w:rPr>
        <w:t>Pyrotinib</w:t>
      </w:r>
      <w:proofErr w:type="spellEnd"/>
      <w:r w:rsidRPr="00886832">
        <w:rPr>
          <w:rFonts w:ascii="Times New Roman" w:hAnsi="Times New Roman"/>
        </w:rPr>
        <w:t xml:space="preserve"> and Trastuzumab were obtained from Selleck (Texas, USA). HDACs/mTOR inhibitor 1 and Compound libraries were purchased from MCE (Shanghai, China). </w:t>
      </w:r>
      <w:r w:rsidR="00640D7C" w:rsidRPr="00886832">
        <w:rPr>
          <w:rFonts w:ascii="Times New Roman" w:hAnsi="Times New Roman"/>
        </w:rPr>
        <w:t>HDAC inhibitors (</w:t>
      </w:r>
      <w:r w:rsidRPr="00886832">
        <w:rPr>
          <w:rFonts w:ascii="Times New Roman" w:hAnsi="Times New Roman"/>
        </w:rPr>
        <w:t>SAHA</w:t>
      </w:r>
      <w:r w:rsidR="00640D7C" w:rsidRPr="00886832">
        <w:rPr>
          <w:rFonts w:ascii="Times New Roman" w:hAnsi="Times New Roman"/>
        </w:rPr>
        <w:t xml:space="preserve"> and </w:t>
      </w:r>
      <w:proofErr w:type="spellStart"/>
      <w:r w:rsidR="00640D7C" w:rsidRPr="00886832">
        <w:rPr>
          <w:rFonts w:ascii="Times New Roman" w:hAnsi="Times New Roman"/>
        </w:rPr>
        <w:t>panobinostat</w:t>
      </w:r>
      <w:proofErr w:type="spellEnd"/>
      <w:r w:rsidR="00640D7C" w:rsidRPr="00886832">
        <w:rPr>
          <w:rFonts w:ascii="Times New Roman" w:hAnsi="Times New Roman"/>
        </w:rPr>
        <w:t xml:space="preserve">) and mTOR inhibitors (rapamycin and </w:t>
      </w:r>
      <w:proofErr w:type="spellStart"/>
      <w:r w:rsidR="00640D7C" w:rsidRPr="00886832">
        <w:rPr>
          <w:rFonts w:ascii="Times New Roman" w:hAnsi="Times New Roman"/>
        </w:rPr>
        <w:t>everolimus</w:t>
      </w:r>
      <w:proofErr w:type="spellEnd"/>
      <w:r w:rsidR="00640D7C" w:rsidRPr="00886832">
        <w:rPr>
          <w:rFonts w:ascii="Times New Roman" w:hAnsi="Times New Roman"/>
        </w:rPr>
        <w:t xml:space="preserve">) </w:t>
      </w:r>
      <w:r w:rsidRPr="00886832">
        <w:rPr>
          <w:rFonts w:ascii="Times New Roman" w:hAnsi="Times New Roman"/>
        </w:rPr>
        <w:t xml:space="preserve">was </w:t>
      </w:r>
      <w:r w:rsidR="00640D7C" w:rsidRPr="00886832">
        <w:rPr>
          <w:rFonts w:ascii="Times New Roman" w:hAnsi="Times New Roman"/>
        </w:rPr>
        <w:t>purchase</w:t>
      </w:r>
      <w:r w:rsidRPr="00886832">
        <w:rPr>
          <w:rFonts w:ascii="Times New Roman" w:hAnsi="Times New Roman"/>
        </w:rPr>
        <w:t xml:space="preserve">d from </w:t>
      </w:r>
      <w:r w:rsidR="00640D7C" w:rsidRPr="00886832">
        <w:rPr>
          <w:rFonts w:ascii="Times New Roman" w:hAnsi="Times New Roman"/>
        </w:rPr>
        <w:t xml:space="preserve">MCE (Shanghai, China). </w:t>
      </w:r>
      <w:r w:rsidRPr="00886832">
        <w:rPr>
          <w:rFonts w:ascii="Times New Roman" w:hAnsi="Times New Roman"/>
        </w:rPr>
        <w:t xml:space="preserve">Cell Signaling Technology (Massachusetts, USA). </w:t>
      </w:r>
    </w:p>
    <w:p w14:paraId="1D32253D" w14:textId="69F36973" w:rsidR="00977AC5" w:rsidRPr="00886832" w:rsidRDefault="00977AC5" w:rsidP="00886832">
      <w:pPr>
        <w:pStyle w:val="MDPI22heading2"/>
        <w:spacing w:before="240"/>
        <w:ind w:left="0"/>
        <w:rPr>
          <w:rFonts w:ascii="Times New Roman" w:hAnsi="Times New Roman"/>
        </w:rPr>
      </w:pPr>
      <w:r w:rsidRPr="00886832">
        <w:rPr>
          <w:rFonts w:ascii="Times New Roman" w:hAnsi="Times New Roman"/>
        </w:rPr>
        <w:t>1.</w:t>
      </w:r>
      <w:r w:rsidR="00572EBB" w:rsidRPr="00886832">
        <w:rPr>
          <w:rFonts w:ascii="Times New Roman" w:hAnsi="Times New Roman"/>
        </w:rPr>
        <w:t>2</w:t>
      </w:r>
      <w:r w:rsidRPr="00886832">
        <w:rPr>
          <w:rFonts w:ascii="Times New Roman" w:hAnsi="Times New Roman"/>
        </w:rPr>
        <w:t xml:space="preserve">. Cell </w:t>
      </w:r>
      <w:r w:rsidR="00881AC4" w:rsidRPr="00886832">
        <w:rPr>
          <w:rFonts w:ascii="Times New Roman" w:hAnsi="Times New Roman"/>
        </w:rPr>
        <w:t>viablitiy assay</w:t>
      </w:r>
    </w:p>
    <w:p w14:paraId="40F827E0" w14:textId="4F97FD3A" w:rsidR="00572EBB" w:rsidRPr="00886832" w:rsidRDefault="00881AC4" w:rsidP="00886832">
      <w:pPr>
        <w:pStyle w:val="MDPI31text"/>
        <w:ind w:left="0" w:firstLineChars="200" w:firstLine="400"/>
        <w:rPr>
          <w:rFonts w:ascii="Times New Roman" w:hAnsi="Times New Roman"/>
        </w:rPr>
      </w:pPr>
      <w:r w:rsidRPr="00886832">
        <w:rPr>
          <w:rFonts w:ascii="Times New Roman" w:hAnsi="Times New Roman"/>
        </w:rPr>
        <w:t>Cells with indicated treatment were grown in 96-well plate at 3,000 cells /well, which were performed in triplicate. At the indicated time point, CCK-8 was added into the well and incubated 1 hour at 37℃. Absorbance at 450nm was measured by microplate reader (M1000 PRO, TECAN). The experiments were performed in triple manner and repeated twice.</w:t>
      </w:r>
    </w:p>
    <w:p w14:paraId="5B9BF6E2" w14:textId="5FBD3212" w:rsidR="00572EBB" w:rsidRPr="00886832" w:rsidRDefault="00572EBB" w:rsidP="00886832">
      <w:pPr>
        <w:pStyle w:val="MDPI22heading2"/>
        <w:spacing w:before="240"/>
        <w:ind w:left="0"/>
        <w:rPr>
          <w:rFonts w:ascii="Times New Roman" w:hAnsi="Times New Roman"/>
        </w:rPr>
      </w:pPr>
      <w:r w:rsidRPr="00886832">
        <w:rPr>
          <w:rFonts w:ascii="Times New Roman" w:hAnsi="Times New Roman"/>
        </w:rPr>
        <w:t>1.3. Colony formation assays</w:t>
      </w:r>
    </w:p>
    <w:p w14:paraId="584A8451" w14:textId="77777777" w:rsidR="00172EF8" w:rsidRPr="00886832" w:rsidRDefault="00572EBB" w:rsidP="00886832">
      <w:pPr>
        <w:pStyle w:val="MDPI31text"/>
        <w:ind w:left="0" w:firstLineChars="200" w:firstLine="400"/>
        <w:rPr>
          <w:rFonts w:ascii="Times New Roman" w:hAnsi="Times New Roman"/>
        </w:rPr>
      </w:pPr>
      <w:r w:rsidRPr="00886832">
        <w:rPr>
          <w:rFonts w:ascii="Times New Roman" w:hAnsi="Times New Roman"/>
        </w:rPr>
        <w:t xml:space="preserve">In brief, </w:t>
      </w:r>
      <w:r w:rsidR="00172EF8" w:rsidRPr="00886832">
        <w:rPr>
          <w:rFonts w:ascii="Times New Roman" w:hAnsi="Times New Roman"/>
        </w:rPr>
        <w:t>3</w:t>
      </w:r>
      <w:r w:rsidRPr="00886832">
        <w:rPr>
          <w:rFonts w:ascii="Times New Roman" w:hAnsi="Times New Roman"/>
        </w:rPr>
        <w:t xml:space="preserve">,000 PDAC cells suspended in 2 mL of </w:t>
      </w:r>
      <w:bookmarkStart w:id="2" w:name="OLE_LINK28"/>
      <w:bookmarkStart w:id="3" w:name="OLE_LINK41"/>
      <w:r w:rsidR="00172EF8" w:rsidRPr="00886832">
        <w:rPr>
          <w:rFonts w:ascii="Times New Roman" w:hAnsi="Times New Roman"/>
        </w:rPr>
        <w:t xml:space="preserve">complete </w:t>
      </w:r>
      <w:r w:rsidRPr="00886832">
        <w:rPr>
          <w:rFonts w:ascii="Times New Roman" w:hAnsi="Times New Roman"/>
        </w:rPr>
        <w:t>medium</w:t>
      </w:r>
      <w:bookmarkEnd w:id="2"/>
      <w:bookmarkEnd w:id="3"/>
      <w:r w:rsidRPr="00886832">
        <w:rPr>
          <w:rFonts w:ascii="Times New Roman" w:hAnsi="Times New Roman"/>
        </w:rPr>
        <w:t xml:space="preserve"> were seeded into 6-well plates after treatment with indicated conditions. Culture medium was replaced every week. The cells were allowed to grow for the next 2 weeks to allow colony formation and the colonies were visualized with crystal violet staining</w:t>
      </w:r>
      <w:r w:rsidR="00172EF8" w:rsidRPr="00886832">
        <w:rPr>
          <w:rFonts w:ascii="Times New Roman" w:hAnsi="Times New Roman"/>
        </w:rPr>
        <w:t>.</w:t>
      </w:r>
      <w:r w:rsidRPr="00886832">
        <w:rPr>
          <w:rFonts w:ascii="Times New Roman" w:hAnsi="Times New Roman"/>
        </w:rPr>
        <w:t xml:space="preserve"> This experiment was repeated twice.</w:t>
      </w:r>
      <w:r w:rsidR="00172EF8" w:rsidRPr="00886832">
        <w:rPr>
          <w:rFonts w:ascii="Times New Roman" w:hAnsi="Times New Roman"/>
        </w:rPr>
        <w:t xml:space="preserve"> </w:t>
      </w:r>
    </w:p>
    <w:p w14:paraId="56B7E9C2" w14:textId="1B5288EF" w:rsidR="00172EF8" w:rsidRPr="00886832" w:rsidRDefault="00172EF8" w:rsidP="00886832">
      <w:pPr>
        <w:pStyle w:val="MDPI22heading2"/>
        <w:spacing w:before="240"/>
        <w:ind w:left="0"/>
        <w:rPr>
          <w:rFonts w:ascii="Times New Roman" w:hAnsi="Times New Roman"/>
        </w:rPr>
      </w:pPr>
      <w:r w:rsidRPr="00886832">
        <w:rPr>
          <w:rFonts w:ascii="Times New Roman" w:hAnsi="Times New Roman"/>
        </w:rPr>
        <w:t>1.4. RNA isolation and gene expression study</w:t>
      </w:r>
    </w:p>
    <w:p w14:paraId="12ACD3C9" w14:textId="06019A21" w:rsidR="00172EF8" w:rsidRPr="00886832" w:rsidRDefault="00172EF8" w:rsidP="00886832">
      <w:pPr>
        <w:pStyle w:val="MDPI31text"/>
        <w:ind w:left="0" w:firstLineChars="200" w:firstLine="400"/>
        <w:rPr>
          <w:rFonts w:ascii="Times New Roman" w:hAnsi="Times New Roman"/>
        </w:rPr>
      </w:pPr>
      <w:r w:rsidRPr="00886832">
        <w:rPr>
          <w:rFonts w:ascii="Times New Roman" w:hAnsi="Times New Roman"/>
        </w:rPr>
        <w:t xml:space="preserve">Total RNA extraction and RNA reversely transcription </w:t>
      </w:r>
      <w:proofErr w:type="gramStart"/>
      <w:r w:rsidRPr="00886832">
        <w:rPr>
          <w:rFonts w:ascii="Times New Roman" w:hAnsi="Times New Roman"/>
        </w:rPr>
        <w:t>are</w:t>
      </w:r>
      <w:proofErr w:type="gramEnd"/>
      <w:r w:rsidRPr="00886832">
        <w:rPr>
          <w:rFonts w:ascii="Times New Roman" w:hAnsi="Times New Roman"/>
        </w:rPr>
        <w:t xml:space="preserve"> using </w:t>
      </w:r>
      <w:proofErr w:type="spellStart"/>
      <w:r w:rsidRPr="00886832">
        <w:rPr>
          <w:rFonts w:ascii="Times New Roman" w:hAnsi="Times New Roman"/>
        </w:rPr>
        <w:t>Trizol</w:t>
      </w:r>
      <w:proofErr w:type="spellEnd"/>
      <w:r w:rsidRPr="00886832">
        <w:rPr>
          <w:rFonts w:ascii="Times New Roman" w:hAnsi="Times New Roman"/>
        </w:rPr>
        <w:t xml:space="preserve"> reagent (Takara, 9109) and </w:t>
      </w:r>
      <w:proofErr w:type="spellStart"/>
      <w:r w:rsidRPr="00886832">
        <w:rPr>
          <w:rFonts w:ascii="Times New Roman" w:hAnsi="Times New Roman"/>
        </w:rPr>
        <w:t>PrimeScript</w:t>
      </w:r>
      <w:proofErr w:type="spellEnd"/>
      <w:r w:rsidRPr="00886832">
        <w:rPr>
          <w:rFonts w:ascii="Times New Roman" w:hAnsi="Times New Roman"/>
        </w:rPr>
        <w:t xml:space="preserve"> RT-PCR kit (Takara, RR037A) according to the common protocols. Real-time PCR analyses were applied for gene expression study and performed with SYBR Premix Ex Taq (Roche, 04913914001) was used to run PCR on a 7500 Real-time PCR system (Applied Biosystems) at the recommended thermal settings. Relative mRNA expression was calculated using the 2(-</w:t>
      </w:r>
      <w:proofErr w:type="spellStart"/>
      <w:r w:rsidRPr="00886832">
        <w:rPr>
          <w:rFonts w:ascii="Times New Roman" w:hAnsi="Times New Roman"/>
        </w:rPr>
        <w:t>ΔΔCt</w:t>
      </w:r>
      <w:proofErr w:type="spellEnd"/>
      <w:r w:rsidRPr="00886832">
        <w:rPr>
          <w:rFonts w:ascii="Times New Roman" w:hAnsi="Times New Roman"/>
        </w:rPr>
        <w:t>) method and normalized to18s mRNA levels. Primer sequences are listed in supplementary Table 2.</w:t>
      </w:r>
    </w:p>
    <w:p w14:paraId="20B2E88C" w14:textId="3FF509D3" w:rsidR="00172EF8" w:rsidRPr="00886832" w:rsidRDefault="00172EF8" w:rsidP="00886832">
      <w:pPr>
        <w:pStyle w:val="MDPI22heading2"/>
        <w:spacing w:before="240"/>
        <w:ind w:left="0"/>
        <w:rPr>
          <w:rFonts w:ascii="Times New Roman" w:hAnsi="Times New Roman"/>
        </w:rPr>
      </w:pPr>
      <w:r w:rsidRPr="00886832">
        <w:rPr>
          <w:rFonts w:ascii="Times New Roman" w:hAnsi="Times New Roman"/>
        </w:rPr>
        <w:t>1.</w:t>
      </w:r>
      <w:r w:rsidR="00886832" w:rsidRPr="00886832">
        <w:rPr>
          <w:rFonts w:ascii="Times New Roman" w:hAnsi="Times New Roman"/>
        </w:rPr>
        <w:t>5</w:t>
      </w:r>
      <w:r w:rsidRPr="00886832">
        <w:rPr>
          <w:rFonts w:ascii="Times New Roman" w:hAnsi="Times New Roman"/>
        </w:rPr>
        <w:t>. RNA sequencing</w:t>
      </w:r>
    </w:p>
    <w:p w14:paraId="3A0CFD6D" w14:textId="36689E70" w:rsidR="00172EF8" w:rsidRPr="00886832" w:rsidRDefault="00172EF8" w:rsidP="00886832">
      <w:pPr>
        <w:pStyle w:val="MDPI31text"/>
        <w:ind w:left="0" w:firstLineChars="200" w:firstLine="400"/>
        <w:rPr>
          <w:rFonts w:ascii="Times New Roman" w:hAnsi="Times New Roman"/>
        </w:rPr>
      </w:pPr>
      <w:r w:rsidRPr="00886832">
        <w:rPr>
          <w:rFonts w:ascii="Times New Roman" w:hAnsi="Times New Roman"/>
        </w:rPr>
        <w:t xml:space="preserve">Total RNAs of cell samples were isolated using the </w:t>
      </w:r>
      <w:proofErr w:type="spellStart"/>
      <w:r w:rsidRPr="00886832">
        <w:rPr>
          <w:rFonts w:ascii="Times New Roman" w:hAnsi="Times New Roman"/>
        </w:rPr>
        <w:t>TRIzol</w:t>
      </w:r>
      <w:proofErr w:type="spellEnd"/>
      <w:r w:rsidRPr="00886832">
        <w:rPr>
          <w:rFonts w:ascii="Times New Roman" w:hAnsi="Times New Roman"/>
        </w:rPr>
        <w:t xml:space="preserve"> reagent for RNA sequencing following the manufacturer’s instructions. Their qualities were checked using an Agilent 2100 Bioanalyzer (Agilent). The library fragments were purified with </w:t>
      </w:r>
      <w:proofErr w:type="spellStart"/>
      <w:r w:rsidRPr="00886832">
        <w:rPr>
          <w:rFonts w:ascii="Times New Roman" w:hAnsi="Times New Roman"/>
        </w:rPr>
        <w:t>AMPure</w:t>
      </w:r>
      <w:proofErr w:type="spellEnd"/>
      <w:r w:rsidRPr="00886832">
        <w:rPr>
          <w:rFonts w:ascii="Times New Roman" w:hAnsi="Times New Roman"/>
        </w:rPr>
        <w:t xml:space="preserve"> XP system (Beckman Coulter, Beverly, USA). The clustering of the index-coded samples was performed on a </w:t>
      </w:r>
      <w:proofErr w:type="spellStart"/>
      <w:r w:rsidRPr="00886832">
        <w:rPr>
          <w:rFonts w:ascii="Times New Roman" w:hAnsi="Times New Roman"/>
        </w:rPr>
        <w:t>cBot</w:t>
      </w:r>
      <w:proofErr w:type="spellEnd"/>
      <w:r w:rsidRPr="00886832">
        <w:rPr>
          <w:rFonts w:ascii="Times New Roman" w:hAnsi="Times New Roman"/>
        </w:rPr>
        <w:t xml:space="preserve"> Cluster Generation System using </w:t>
      </w:r>
      <w:proofErr w:type="spellStart"/>
      <w:r w:rsidRPr="00886832">
        <w:rPr>
          <w:rFonts w:ascii="Times New Roman" w:hAnsi="Times New Roman"/>
        </w:rPr>
        <w:t>TruSeq</w:t>
      </w:r>
      <w:proofErr w:type="spellEnd"/>
      <w:r w:rsidRPr="00886832">
        <w:rPr>
          <w:rFonts w:ascii="Times New Roman" w:hAnsi="Times New Roman"/>
        </w:rPr>
        <w:t xml:space="preserve"> PE Cluster Kit v3-cBot-HS (</w:t>
      </w:r>
      <w:proofErr w:type="spellStart"/>
      <w:r w:rsidRPr="00886832">
        <w:rPr>
          <w:rFonts w:ascii="Times New Roman" w:hAnsi="Times New Roman"/>
        </w:rPr>
        <w:t>Illumia</w:t>
      </w:r>
      <w:proofErr w:type="spellEnd"/>
      <w:r w:rsidRPr="00886832">
        <w:rPr>
          <w:rFonts w:ascii="Times New Roman" w:hAnsi="Times New Roman"/>
        </w:rPr>
        <w:t xml:space="preserve">) according to the manufacturer’s instructions. After cluster generation, the library preparations were sequenced on an Illumina </w:t>
      </w:r>
      <w:proofErr w:type="spellStart"/>
      <w:r w:rsidRPr="00886832">
        <w:rPr>
          <w:rFonts w:ascii="Times New Roman" w:hAnsi="Times New Roman"/>
        </w:rPr>
        <w:t>Hiseq</w:t>
      </w:r>
      <w:proofErr w:type="spellEnd"/>
      <w:r w:rsidRPr="00886832">
        <w:rPr>
          <w:rFonts w:ascii="Times New Roman" w:hAnsi="Times New Roman"/>
        </w:rPr>
        <w:t xml:space="preserve"> X Ten and 150 bp paired-end reads were generated. </w:t>
      </w:r>
      <w:proofErr w:type="spellStart"/>
      <w:r w:rsidRPr="00886832">
        <w:rPr>
          <w:rFonts w:ascii="Times New Roman" w:hAnsi="Times New Roman"/>
        </w:rPr>
        <w:t>HTSeq</w:t>
      </w:r>
      <w:proofErr w:type="spellEnd"/>
      <w:r w:rsidRPr="00886832">
        <w:rPr>
          <w:rFonts w:ascii="Times New Roman" w:hAnsi="Times New Roman"/>
        </w:rPr>
        <w:t xml:space="preserve"> v0.6.0 was used to count the reads numbers mapped to each gene. And then FPKM of each gene was calculated based on the length of the gene and reads count mapped to this gene.</w:t>
      </w:r>
    </w:p>
    <w:p w14:paraId="418AB182" w14:textId="3C5C42F9" w:rsidR="00172EF8" w:rsidRPr="00886832" w:rsidRDefault="00172EF8" w:rsidP="00886832">
      <w:pPr>
        <w:pStyle w:val="MDPI22heading2"/>
        <w:spacing w:before="240"/>
        <w:ind w:left="0"/>
        <w:rPr>
          <w:rFonts w:ascii="Times New Roman" w:hAnsi="Times New Roman"/>
        </w:rPr>
      </w:pPr>
      <w:r w:rsidRPr="00886832">
        <w:rPr>
          <w:rFonts w:ascii="Times New Roman" w:hAnsi="Times New Roman"/>
        </w:rPr>
        <w:t>1.</w:t>
      </w:r>
      <w:r w:rsidR="00886832" w:rsidRPr="00886832">
        <w:rPr>
          <w:rFonts w:ascii="Times New Roman" w:hAnsi="Times New Roman"/>
        </w:rPr>
        <w:t>6</w:t>
      </w:r>
      <w:r w:rsidRPr="00886832">
        <w:rPr>
          <w:rFonts w:ascii="Times New Roman" w:hAnsi="Times New Roman"/>
        </w:rPr>
        <w:t>. Immunoblotting</w:t>
      </w:r>
    </w:p>
    <w:p w14:paraId="7403F21D" w14:textId="4D70C05F" w:rsidR="00B92024" w:rsidRPr="00886832" w:rsidRDefault="00172EF8" w:rsidP="00886832">
      <w:pPr>
        <w:pStyle w:val="MDPI31text"/>
        <w:ind w:left="0" w:firstLineChars="200" w:firstLine="400"/>
        <w:rPr>
          <w:rFonts w:ascii="Times New Roman" w:hAnsi="Times New Roman"/>
        </w:rPr>
      </w:pPr>
      <w:r w:rsidRPr="00886832">
        <w:rPr>
          <w:rFonts w:ascii="Times New Roman" w:hAnsi="Times New Roman"/>
        </w:rPr>
        <w:t>Cell lysates were prepared by using protein extraction buffer (</w:t>
      </w:r>
      <w:proofErr w:type="spellStart"/>
      <w:r w:rsidRPr="00886832">
        <w:rPr>
          <w:rFonts w:ascii="Times New Roman" w:hAnsi="Times New Roman"/>
        </w:rPr>
        <w:t>Sangon</w:t>
      </w:r>
      <w:proofErr w:type="spellEnd"/>
      <w:r w:rsidRPr="00886832">
        <w:rPr>
          <w:rFonts w:ascii="Times New Roman" w:hAnsi="Times New Roman"/>
        </w:rPr>
        <w:t>, Shanghai, China), followed centrifugation in 4 ℃ for 10 min and collected supernatant. BCA Protein Assay kit (Pierce Biotechnology) was utilized to measured protein concentration. After total protein normalized, protein samples were separated by 8-10% SDS-PAGE gel electrophoresis and transferred onto 0.</w:t>
      </w:r>
      <w:r w:rsidR="00B92024" w:rsidRPr="00886832">
        <w:rPr>
          <w:rFonts w:ascii="Times New Roman" w:hAnsi="Times New Roman"/>
        </w:rPr>
        <w:t>45</w:t>
      </w:r>
      <w:r w:rsidRPr="00886832">
        <w:rPr>
          <w:rFonts w:ascii="Times New Roman" w:hAnsi="Times New Roman"/>
        </w:rPr>
        <w:t xml:space="preserve"> </w:t>
      </w:r>
      <w:proofErr w:type="spellStart"/>
      <w:r w:rsidRPr="00886832">
        <w:rPr>
          <w:rFonts w:ascii="Times New Roman" w:hAnsi="Times New Roman"/>
        </w:rPr>
        <w:t>μm</w:t>
      </w:r>
      <w:proofErr w:type="spellEnd"/>
      <w:r w:rsidRPr="00886832">
        <w:rPr>
          <w:rFonts w:ascii="Times New Roman" w:hAnsi="Times New Roman"/>
        </w:rPr>
        <w:t xml:space="preserve"> NC membranes (Whatman, GE). After blocking with 5% skimmed milk or 3 % BSA diluted in Tris buffer saline plus 0.1% Tween 20 (TBST) for 1hr at room temperature, membranes were incubated overnight at 4℃ with the following primary antibodies: </w:t>
      </w:r>
      <w:r w:rsidR="00114987" w:rsidRPr="00886832">
        <w:rPr>
          <w:rFonts w:ascii="Times New Roman" w:hAnsi="Times New Roman"/>
        </w:rPr>
        <w:t xml:space="preserve">HER2 (1:1000,CST, 2165), pHER2 (1:1000,CST, </w:t>
      </w:r>
      <w:r w:rsidR="00863D29" w:rsidRPr="00886832">
        <w:rPr>
          <w:rFonts w:ascii="Times New Roman" w:hAnsi="Times New Roman"/>
        </w:rPr>
        <w:t>6924</w:t>
      </w:r>
      <w:r w:rsidR="00114987" w:rsidRPr="00886832">
        <w:rPr>
          <w:rFonts w:ascii="Times New Roman" w:hAnsi="Times New Roman"/>
        </w:rPr>
        <w:t>)</w:t>
      </w:r>
      <w:r w:rsidR="00863D29" w:rsidRPr="00886832">
        <w:rPr>
          <w:rFonts w:ascii="Times New Roman" w:hAnsi="Times New Roman"/>
        </w:rPr>
        <w:t xml:space="preserve">, PARP (1:1000,CST, 3542), c-PARP (1:1000,CST, 5625), alpha-tubulin (1:1000,CST, 2125), </w:t>
      </w:r>
      <w:r w:rsidRPr="00886832">
        <w:rPr>
          <w:rFonts w:ascii="Times New Roman" w:hAnsi="Times New Roman"/>
        </w:rPr>
        <w:t xml:space="preserve">mTOR (1:1,000, CST, 2983), p-mTOR (1:1,000, CST, 2971), </w:t>
      </w:r>
      <w:r w:rsidR="00777981" w:rsidRPr="00886832">
        <w:rPr>
          <w:rFonts w:ascii="Times New Roman" w:hAnsi="Times New Roman"/>
        </w:rPr>
        <w:t>HDAC1</w:t>
      </w:r>
      <w:r w:rsidR="00863D29" w:rsidRPr="00886832">
        <w:rPr>
          <w:rFonts w:ascii="Times New Roman" w:hAnsi="Times New Roman"/>
        </w:rPr>
        <w:t xml:space="preserve"> (1:1,000, CST, </w:t>
      </w:r>
      <w:r w:rsidR="00777981" w:rsidRPr="00886832">
        <w:rPr>
          <w:rFonts w:ascii="Times New Roman" w:hAnsi="Times New Roman"/>
        </w:rPr>
        <w:t>34589</w:t>
      </w:r>
      <w:r w:rsidR="00863D29" w:rsidRPr="00886832">
        <w:rPr>
          <w:rFonts w:ascii="Times New Roman" w:hAnsi="Times New Roman"/>
        </w:rPr>
        <w:t xml:space="preserve">), </w:t>
      </w:r>
      <w:r w:rsidR="00777981" w:rsidRPr="00886832">
        <w:rPr>
          <w:rFonts w:ascii="Times New Roman" w:hAnsi="Times New Roman"/>
        </w:rPr>
        <w:t>HDAC6</w:t>
      </w:r>
      <w:r w:rsidR="00863D29" w:rsidRPr="00886832">
        <w:rPr>
          <w:rFonts w:ascii="Times New Roman" w:hAnsi="Times New Roman"/>
        </w:rPr>
        <w:t xml:space="preserve"> (1:1,000, CST, </w:t>
      </w:r>
      <w:r w:rsidR="00777981" w:rsidRPr="00886832">
        <w:rPr>
          <w:rFonts w:ascii="Times New Roman" w:hAnsi="Times New Roman"/>
        </w:rPr>
        <w:t>7558</w:t>
      </w:r>
      <w:r w:rsidR="00863D29" w:rsidRPr="00886832">
        <w:rPr>
          <w:rFonts w:ascii="Times New Roman" w:hAnsi="Times New Roman"/>
        </w:rPr>
        <w:t xml:space="preserve">), </w:t>
      </w:r>
      <w:r w:rsidR="00777981" w:rsidRPr="00886832">
        <w:rPr>
          <w:rFonts w:ascii="Times New Roman" w:hAnsi="Times New Roman"/>
        </w:rPr>
        <w:t>P53</w:t>
      </w:r>
      <w:r w:rsidR="00863D29" w:rsidRPr="00886832">
        <w:rPr>
          <w:rFonts w:ascii="Times New Roman" w:hAnsi="Times New Roman"/>
        </w:rPr>
        <w:t xml:space="preserve"> (1:1,000, CST, </w:t>
      </w:r>
      <w:r w:rsidR="00777981" w:rsidRPr="00886832">
        <w:rPr>
          <w:rFonts w:ascii="Times New Roman" w:hAnsi="Times New Roman"/>
        </w:rPr>
        <w:t>2527</w:t>
      </w:r>
      <w:r w:rsidR="00863D29" w:rsidRPr="00886832">
        <w:rPr>
          <w:rFonts w:ascii="Times New Roman" w:hAnsi="Times New Roman"/>
        </w:rPr>
        <w:t xml:space="preserve">), </w:t>
      </w:r>
      <w:r w:rsidR="00777981" w:rsidRPr="00886832">
        <w:rPr>
          <w:rFonts w:ascii="Times New Roman" w:hAnsi="Times New Roman"/>
        </w:rPr>
        <w:t>Ac-P53</w:t>
      </w:r>
      <w:r w:rsidR="00863D29" w:rsidRPr="00886832">
        <w:rPr>
          <w:rFonts w:ascii="Times New Roman" w:hAnsi="Times New Roman"/>
        </w:rPr>
        <w:t xml:space="preserve"> (1:1,000, CST, 2</w:t>
      </w:r>
      <w:r w:rsidR="00777981" w:rsidRPr="00886832">
        <w:rPr>
          <w:rFonts w:ascii="Times New Roman" w:hAnsi="Times New Roman"/>
        </w:rPr>
        <w:t>525</w:t>
      </w:r>
      <w:r w:rsidR="00863D29" w:rsidRPr="00886832">
        <w:rPr>
          <w:rFonts w:ascii="Times New Roman" w:hAnsi="Times New Roman"/>
        </w:rPr>
        <w:t xml:space="preserve">), </w:t>
      </w:r>
      <w:r w:rsidR="00777981" w:rsidRPr="00886832">
        <w:rPr>
          <w:rFonts w:ascii="Times New Roman" w:hAnsi="Times New Roman"/>
        </w:rPr>
        <w:t>MDM2</w:t>
      </w:r>
      <w:r w:rsidR="00863D29" w:rsidRPr="00886832">
        <w:rPr>
          <w:rFonts w:ascii="Times New Roman" w:hAnsi="Times New Roman"/>
        </w:rPr>
        <w:t xml:space="preserve"> (1:1,000, CST, </w:t>
      </w:r>
      <w:r w:rsidR="00777981" w:rsidRPr="00886832">
        <w:rPr>
          <w:rFonts w:ascii="Times New Roman" w:hAnsi="Times New Roman"/>
        </w:rPr>
        <w:t>86934</w:t>
      </w:r>
      <w:r w:rsidR="00863D29" w:rsidRPr="00886832">
        <w:rPr>
          <w:rFonts w:ascii="Times New Roman" w:hAnsi="Times New Roman"/>
        </w:rPr>
        <w:t xml:space="preserve">), </w:t>
      </w:r>
      <w:r w:rsidR="00777981" w:rsidRPr="00886832">
        <w:rPr>
          <w:rFonts w:ascii="Times New Roman" w:hAnsi="Times New Roman"/>
        </w:rPr>
        <w:t>Bcl2</w:t>
      </w:r>
      <w:r w:rsidR="00863D29" w:rsidRPr="00886832">
        <w:rPr>
          <w:rFonts w:ascii="Times New Roman" w:hAnsi="Times New Roman"/>
        </w:rPr>
        <w:t xml:space="preserve"> (1:1,000, CST, </w:t>
      </w:r>
      <w:r w:rsidR="00777981" w:rsidRPr="00886832">
        <w:rPr>
          <w:rFonts w:ascii="Times New Roman" w:hAnsi="Times New Roman"/>
        </w:rPr>
        <w:t>4223</w:t>
      </w:r>
      <w:r w:rsidR="00863D29" w:rsidRPr="00886832">
        <w:rPr>
          <w:rFonts w:ascii="Times New Roman" w:hAnsi="Times New Roman"/>
        </w:rPr>
        <w:t>), p</w:t>
      </w:r>
      <w:r w:rsidR="00777981" w:rsidRPr="00886832">
        <w:rPr>
          <w:rFonts w:ascii="Times New Roman" w:hAnsi="Times New Roman"/>
        </w:rPr>
        <w:t>Bcl2</w:t>
      </w:r>
      <w:r w:rsidR="00863D29" w:rsidRPr="00886832">
        <w:rPr>
          <w:rFonts w:ascii="Times New Roman" w:hAnsi="Times New Roman"/>
        </w:rPr>
        <w:t xml:space="preserve"> (1:1,000, CST, </w:t>
      </w:r>
      <w:r w:rsidR="00777981" w:rsidRPr="00886832">
        <w:rPr>
          <w:rFonts w:ascii="Times New Roman" w:hAnsi="Times New Roman"/>
        </w:rPr>
        <w:t>2827</w:t>
      </w:r>
      <w:r w:rsidR="00863D29" w:rsidRPr="00886832">
        <w:rPr>
          <w:rFonts w:ascii="Times New Roman" w:hAnsi="Times New Roman"/>
        </w:rPr>
        <w:t xml:space="preserve">), </w:t>
      </w:r>
      <w:proofErr w:type="spellStart"/>
      <w:r w:rsidR="00777981" w:rsidRPr="00886832">
        <w:rPr>
          <w:rFonts w:ascii="Times New Roman" w:hAnsi="Times New Roman"/>
        </w:rPr>
        <w:t>Bim</w:t>
      </w:r>
      <w:proofErr w:type="spellEnd"/>
      <w:r w:rsidR="00863D29" w:rsidRPr="00886832">
        <w:rPr>
          <w:rFonts w:ascii="Times New Roman" w:hAnsi="Times New Roman"/>
        </w:rPr>
        <w:t xml:space="preserve"> (1:1,000, CST, 29</w:t>
      </w:r>
      <w:r w:rsidR="005B54A9" w:rsidRPr="00886832">
        <w:rPr>
          <w:rFonts w:ascii="Times New Roman" w:hAnsi="Times New Roman"/>
        </w:rPr>
        <w:t>71</w:t>
      </w:r>
      <w:r w:rsidR="00863D29" w:rsidRPr="00886832">
        <w:rPr>
          <w:rFonts w:ascii="Times New Roman" w:hAnsi="Times New Roman"/>
        </w:rPr>
        <w:t>),</w:t>
      </w:r>
      <w:r w:rsidR="00777981" w:rsidRPr="00886832">
        <w:rPr>
          <w:rFonts w:ascii="Times New Roman" w:hAnsi="Times New Roman"/>
        </w:rPr>
        <w:t xml:space="preserve"> H3 (1:1,000, CST, </w:t>
      </w:r>
      <w:r w:rsidR="005B54A9" w:rsidRPr="00886832">
        <w:rPr>
          <w:rFonts w:ascii="Times New Roman" w:hAnsi="Times New Roman"/>
        </w:rPr>
        <w:t>4499</w:t>
      </w:r>
      <w:r w:rsidR="00777981" w:rsidRPr="00886832">
        <w:rPr>
          <w:rFonts w:ascii="Times New Roman" w:hAnsi="Times New Roman"/>
        </w:rPr>
        <w:t xml:space="preserve">), Ac-H3 (1:1,000, CST, </w:t>
      </w:r>
      <w:r w:rsidR="005B54A9" w:rsidRPr="00886832">
        <w:rPr>
          <w:rFonts w:ascii="Times New Roman" w:hAnsi="Times New Roman"/>
        </w:rPr>
        <w:t>4243</w:t>
      </w:r>
      <w:r w:rsidR="00777981" w:rsidRPr="00886832">
        <w:rPr>
          <w:rFonts w:ascii="Times New Roman" w:hAnsi="Times New Roman"/>
        </w:rPr>
        <w:t>),</w:t>
      </w:r>
      <w:r w:rsidRPr="00886832">
        <w:rPr>
          <w:rFonts w:ascii="Times New Roman" w:hAnsi="Times New Roman"/>
        </w:rPr>
        <w:t xml:space="preserve">Then membranes were washed three times of 10 min each time in TBST at room temperature, and incubated with goat anti-mouse(1:10,000, Jackson </w:t>
      </w:r>
      <w:proofErr w:type="spellStart"/>
      <w:r w:rsidRPr="00886832">
        <w:rPr>
          <w:rFonts w:ascii="Times New Roman" w:hAnsi="Times New Roman"/>
        </w:rPr>
        <w:t>ImmunoResearch</w:t>
      </w:r>
      <w:proofErr w:type="spellEnd"/>
      <w:r w:rsidRPr="00886832">
        <w:rPr>
          <w:rFonts w:ascii="Times New Roman" w:hAnsi="Times New Roman"/>
        </w:rPr>
        <w:t>, 115-035-003) or rabbit secondary antibodies (1:10,000</w:t>
      </w:r>
      <w:r w:rsidR="005B54A9" w:rsidRPr="00886832">
        <w:rPr>
          <w:rFonts w:ascii="Times New Roman" w:hAnsi="Times New Roman"/>
        </w:rPr>
        <w:t xml:space="preserve">) </w:t>
      </w:r>
      <w:r w:rsidRPr="00886832">
        <w:rPr>
          <w:rFonts w:ascii="Times New Roman" w:hAnsi="Times New Roman"/>
        </w:rPr>
        <w:t xml:space="preserve">Jackson </w:t>
      </w:r>
      <w:proofErr w:type="spellStart"/>
      <w:r w:rsidRPr="00886832">
        <w:rPr>
          <w:rFonts w:ascii="Times New Roman" w:hAnsi="Times New Roman"/>
        </w:rPr>
        <w:t>ImmunoResearch</w:t>
      </w:r>
      <w:proofErr w:type="spellEnd"/>
      <w:r w:rsidRPr="00886832">
        <w:rPr>
          <w:rFonts w:ascii="Times New Roman" w:hAnsi="Times New Roman"/>
        </w:rPr>
        <w:t xml:space="preserve">, 111-035-003) for 1 </w:t>
      </w:r>
      <w:proofErr w:type="spellStart"/>
      <w:r w:rsidRPr="00886832">
        <w:rPr>
          <w:rFonts w:ascii="Times New Roman" w:hAnsi="Times New Roman"/>
        </w:rPr>
        <w:t>hr</w:t>
      </w:r>
      <w:proofErr w:type="spellEnd"/>
      <w:r w:rsidRPr="00886832">
        <w:rPr>
          <w:rFonts w:ascii="Times New Roman" w:hAnsi="Times New Roman"/>
        </w:rPr>
        <w:t xml:space="preserve"> at room temperature. Enhanced </w:t>
      </w:r>
      <w:proofErr w:type="spellStart"/>
      <w:r w:rsidRPr="00886832">
        <w:rPr>
          <w:rFonts w:ascii="Times New Roman" w:hAnsi="Times New Roman"/>
        </w:rPr>
        <w:t>Chemiluminiscence</w:t>
      </w:r>
      <w:proofErr w:type="spellEnd"/>
      <w:r w:rsidRPr="00886832">
        <w:rPr>
          <w:rFonts w:ascii="Times New Roman" w:hAnsi="Times New Roman"/>
        </w:rPr>
        <w:t xml:space="preserve"> (ECL) was performed using ECL kit (WB012, share-bio, China), visualized by the Bio-Rad system</w:t>
      </w:r>
      <w:r w:rsidR="005B54A9" w:rsidRPr="00886832">
        <w:rPr>
          <w:rFonts w:ascii="Times New Roman" w:hAnsi="Times New Roman"/>
        </w:rPr>
        <w:t>.</w:t>
      </w:r>
    </w:p>
    <w:p w14:paraId="669C0F5D" w14:textId="1C783BB7" w:rsidR="00B92024" w:rsidRPr="00886832" w:rsidRDefault="00B92024" w:rsidP="00886832">
      <w:pPr>
        <w:pStyle w:val="MDPI22heading2"/>
        <w:spacing w:before="240"/>
        <w:ind w:left="0"/>
        <w:rPr>
          <w:rFonts w:ascii="Times New Roman" w:hAnsi="Times New Roman"/>
        </w:rPr>
      </w:pPr>
      <w:r w:rsidRPr="00886832">
        <w:rPr>
          <w:rFonts w:ascii="Times New Roman" w:hAnsi="Times New Roman"/>
        </w:rPr>
        <w:t>1.</w:t>
      </w:r>
      <w:r w:rsidR="00886832" w:rsidRPr="00886832">
        <w:rPr>
          <w:rFonts w:ascii="Times New Roman" w:hAnsi="Times New Roman"/>
        </w:rPr>
        <w:t>7</w:t>
      </w:r>
      <w:r w:rsidRPr="00886832">
        <w:rPr>
          <w:rFonts w:ascii="Times New Roman" w:hAnsi="Times New Roman"/>
        </w:rPr>
        <w:t>. Histology and Immunohistochemistry</w:t>
      </w:r>
    </w:p>
    <w:p w14:paraId="09F8D73A" w14:textId="050D64F1" w:rsidR="00977AC5" w:rsidRPr="00886832" w:rsidRDefault="00B92024" w:rsidP="00886832">
      <w:pPr>
        <w:pStyle w:val="MDPI31text"/>
        <w:ind w:left="0" w:firstLineChars="200" w:firstLine="400"/>
        <w:rPr>
          <w:rFonts w:ascii="Times New Roman" w:hAnsi="Times New Roman"/>
        </w:rPr>
      </w:pPr>
      <w:r w:rsidRPr="00886832">
        <w:rPr>
          <w:rFonts w:ascii="Times New Roman" w:hAnsi="Times New Roman"/>
        </w:rPr>
        <w:lastRenderedPageBreak/>
        <w:t xml:space="preserve">Hematoxylin and eosin (H&amp;E) staining was performed according to standard methods. For immunohistochemical staining, firstly slides were deparaffinized in xylene. Next, slides were incubated with 0.3% hydrogen peroxide in methanol to block endogenous peroxidase. Antigen retrieval was performed by boiling the slides in pH 6.0 citrate buffer for 10 min. After blocked for 1 </w:t>
      </w:r>
      <w:proofErr w:type="spellStart"/>
      <w:r w:rsidRPr="00886832">
        <w:rPr>
          <w:rFonts w:ascii="Times New Roman" w:hAnsi="Times New Roman"/>
        </w:rPr>
        <w:t>hr</w:t>
      </w:r>
      <w:proofErr w:type="spellEnd"/>
      <w:r w:rsidRPr="00886832">
        <w:rPr>
          <w:rFonts w:ascii="Times New Roman" w:hAnsi="Times New Roman"/>
        </w:rPr>
        <w:t xml:space="preserve"> at room temperature with 10% </w:t>
      </w:r>
      <w:proofErr w:type="gramStart"/>
      <w:r w:rsidRPr="00886832">
        <w:rPr>
          <w:rFonts w:ascii="Times New Roman" w:hAnsi="Times New Roman"/>
        </w:rPr>
        <w:t>BSA ,slides</w:t>
      </w:r>
      <w:proofErr w:type="gramEnd"/>
      <w:r w:rsidRPr="00886832">
        <w:rPr>
          <w:rFonts w:ascii="Times New Roman" w:hAnsi="Times New Roman"/>
        </w:rPr>
        <w:t xml:space="preserve"> were </w:t>
      </w:r>
      <w:proofErr w:type="spellStart"/>
      <w:r w:rsidRPr="00886832">
        <w:rPr>
          <w:rFonts w:ascii="Times New Roman" w:hAnsi="Times New Roman"/>
        </w:rPr>
        <w:t>immunostained</w:t>
      </w:r>
      <w:proofErr w:type="spellEnd"/>
      <w:r w:rsidRPr="00886832">
        <w:rPr>
          <w:rFonts w:ascii="Times New Roman" w:hAnsi="Times New Roman"/>
        </w:rPr>
        <w:t xml:space="preserve"> using antibodies against Ki67 (1:</w:t>
      </w:r>
      <w:r w:rsidR="00114987" w:rsidRPr="00886832">
        <w:rPr>
          <w:rFonts w:ascii="Times New Roman" w:hAnsi="Times New Roman"/>
        </w:rPr>
        <w:t>8</w:t>
      </w:r>
      <w:r w:rsidRPr="00886832">
        <w:rPr>
          <w:rFonts w:ascii="Times New Roman" w:hAnsi="Times New Roman"/>
        </w:rPr>
        <w:t xml:space="preserve">00, CST, </w:t>
      </w:r>
      <w:r w:rsidR="00114987" w:rsidRPr="00886832">
        <w:rPr>
          <w:rFonts w:ascii="Times New Roman" w:hAnsi="Times New Roman"/>
        </w:rPr>
        <w:t>9449</w:t>
      </w:r>
      <w:r w:rsidRPr="00886832">
        <w:rPr>
          <w:rFonts w:ascii="Times New Roman" w:hAnsi="Times New Roman"/>
        </w:rPr>
        <w:t xml:space="preserve">). Following 1hr incubation with HPR-conjugated secondary antibody (anti-mouse, 1:500, Jackson </w:t>
      </w:r>
      <w:proofErr w:type="spellStart"/>
      <w:r w:rsidRPr="00886832">
        <w:rPr>
          <w:rFonts w:ascii="Times New Roman" w:hAnsi="Times New Roman"/>
        </w:rPr>
        <w:t>ImmunoResearch</w:t>
      </w:r>
      <w:proofErr w:type="spellEnd"/>
      <w:r w:rsidRPr="00886832">
        <w:rPr>
          <w:rFonts w:ascii="Times New Roman" w:hAnsi="Times New Roman"/>
        </w:rPr>
        <w:t xml:space="preserve">, 115-035-003 or rabbit secondary antibodies 1:500 Jackson </w:t>
      </w:r>
      <w:proofErr w:type="spellStart"/>
      <w:r w:rsidRPr="00886832">
        <w:rPr>
          <w:rFonts w:ascii="Times New Roman" w:hAnsi="Times New Roman"/>
        </w:rPr>
        <w:t>ImmunoResearch</w:t>
      </w:r>
      <w:proofErr w:type="spellEnd"/>
      <w:r w:rsidRPr="00886832">
        <w:rPr>
          <w:rFonts w:ascii="Times New Roman" w:hAnsi="Times New Roman"/>
        </w:rPr>
        <w:t>, 111-035-003), slides were developed in DAB (CST, 8059) and counterstained with hematoxylin.</w:t>
      </w:r>
    </w:p>
    <w:p w14:paraId="6CE1AF88" w14:textId="07850169" w:rsidR="00977AC5" w:rsidRPr="00886832" w:rsidRDefault="00B92024" w:rsidP="00886832">
      <w:pPr>
        <w:pStyle w:val="MDPI22heading2"/>
        <w:spacing w:before="240"/>
        <w:ind w:left="0"/>
        <w:rPr>
          <w:rFonts w:ascii="Times New Roman" w:hAnsi="Times New Roman"/>
        </w:rPr>
      </w:pPr>
      <w:r w:rsidRPr="00886832">
        <w:rPr>
          <w:rFonts w:ascii="Times New Roman" w:hAnsi="Times New Roman"/>
        </w:rPr>
        <w:t>1.</w:t>
      </w:r>
      <w:r w:rsidR="00886832" w:rsidRPr="00886832">
        <w:rPr>
          <w:rFonts w:ascii="Times New Roman" w:hAnsi="Times New Roman"/>
        </w:rPr>
        <w:t>8</w:t>
      </w:r>
      <w:r w:rsidRPr="00886832">
        <w:rPr>
          <w:rFonts w:ascii="Times New Roman" w:hAnsi="Times New Roman"/>
        </w:rPr>
        <w:t>. F</w:t>
      </w:r>
      <w:r w:rsidR="00754CBC" w:rsidRPr="00886832">
        <w:rPr>
          <w:rFonts w:ascii="Times New Roman" w:hAnsi="Times New Roman"/>
          <w:lang w:eastAsia="zh-CN"/>
        </w:rPr>
        <w:t>luorescence insitu hybridization</w:t>
      </w:r>
    </w:p>
    <w:p w14:paraId="2ED6E946" w14:textId="5BAC878C" w:rsidR="00E1703B" w:rsidRPr="00886832" w:rsidRDefault="00E1703B" w:rsidP="00886832">
      <w:pPr>
        <w:pStyle w:val="MDPI31text"/>
        <w:ind w:left="0" w:firstLineChars="200" w:firstLine="400"/>
        <w:rPr>
          <w:rFonts w:ascii="Times New Roman" w:hAnsi="Times New Roman"/>
        </w:rPr>
      </w:pPr>
      <w:r w:rsidRPr="00886832">
        <w:rPr>
          <w:rFonts w:ascii="Times New Roman" w:hAnsi="Times New Roman"/>
        </w:rPr>
        <w:t>HER2 testing was performed in the clinical laboratory improvement amendments laboratories at MSK and UCCC. HER2 amplification was assessed by fluorescence in situ hybridization (FISH) using U.S. Food and Drug Administration–approved probe sets (</w:t>
      </w:r>
      <w:proofErr w:type="spellStart"/>
      <w:r w:rsidRPr="00886832">
        <w:rPr>
          <w:rFonts w:ascii="Times New Roman" w:hAnsi="Times New Roman"/>
        </w:rPr>
        <w:t>PathVysion</w:t>
      </w:r>
      <w:proofErr w:type="spellEnd"/>
      <w:r w:rsidRPr="00886832">
        <w:rPr>
          <w:rFonts w:ascii="Times New Roman" w:hAnsi="Times New Roman"/>
        </w:rPr>
        <w:t xml:space="preserve"> [Abbott] and HER2 IQFISH </w:t>
      </w:r>
      <w:proofErr w:type="spellStart"/>
      <w:r w:rsidRPr="00886832">
        <w:rPr>
          <w:rFonts w:ascii="Times New Roman" w:hAnsi="Times New Roman"/>
        </w:rPr>
        <w:t>pharmDx</w:t>
      </w:r>
      <w:proofErr w:type="spellEnd"/>
      <w:r w:rsidRPr="00886832">
        <w:rPr>
          <w:rFonts w:ascii="Times New Roman" w:hAnsi="Times New Roman"/>
        </w:rPr>
        <w:t xml:space="preserve"> [</w:t>
      </w:r>
      <w:proofErr w:type="spellStart"/>
      <w:r w:rsidRPr="00886832">
        <w:rPr>
          <w:rFonts w:ascii="Times New Roman" w:hAnsi="Times New Roman"/>
        </w:rPr>
        <w:t>Dako</w:t>
      </w:r>
      <w:proofErr w:type="spellEnd"/>
      <w:r w:rsidRPr="00886832">
        <w:rPr>
          <w:rFonts w:ascii="Times New Roman" w:hAnsi="Times New Roman"/>
        </w:rPr>
        <w:t>]) and defined as an HER2-to-chromosome enumeration probe 17 (CEP17) ratio of at least 2.0, as used in clinical trials8, 9 (Fig. 1). HER2 mutation was assessed by fragment analysis, mass spectrometry genotyping, and Sanger sequencing for indels in exon 20. In the cases in which tissue was available, HER2 protein overexpression was assessed by IHC staining using the 4B5 Ventana antibody and defined as 2+ or 3+ on the basis of published methods identical to those used for breast cancers.4, 9 In both laboratories, each test was reviewed independently by two experts.</w:t>
      </w:r>
    </w:p>
    <w:p w14:paraId="667F8E8C" w14:textId="75F4D0B7" w:rsidR="00AA5BA5" w:rsidRPr="00886832" w:rsidRDefault="00AA5BA5" w:rsidP="00547F78">
      <w:pPr>
        <w:pStyle w:val="MDPI31text"/>
        <w:rPr>
          <w:rFonts w:ascii="Times New Roman" w:hAnsi="Times New Roman"/>
        </w:rPr>
      </w:pPr>
    </w:p>
    <w:p w14:paraId="4BF7F4D1" w14:textId="187F667C" w:rsidR="00AA5BA5" w:rsidRPr="00886832" w:rsidRDefault="00AA5BA5" w:rsidP="00886832">
      <w:pPr>
        <w:pStyle w:val="MDPI21heading1"/>
        <w:ind w:left="0"/>
        <w:rPr>
          <w:rFonts w:ascii="Times New Roman" w:hAnsi="Times New Roman"/>
        </w:rPr>
      </w:pPr>
      <w:r w:rsidRPr="00886832">
        <w:rPr>
          <w:rFonts w:ascii="Times New Roman" w:hAnsi="Times New Roman"/>
        </w:rPr>
        <w:t>2. Supplementary Figures:</w:t>
      </w:r>
    </w:p>
    <w:p w14:paraId="6A8B6090" w14:textId="5E92EF84" w:rsidR="001877D2" w:rsidRPr="00886832" w:rsidRDefault="001877D2" w:rsidP="00886832">
      <w:pPr>
        <w:pStyle w:val="MDPI21heading1"/>
        <w:ind w:left="0"/>
        <w:rPr>
          <w:rFonts w:ascii="Times New Roman" w:hAnsi="Times New Roman"/>
        </w:rPr>
      </w:pPr>
      <w:r w:rsidRPr="00886832">
        <w:rPr>
          <w:rFonts w:ascii="Times New Roman" w:hAnsi="Times New Roman"/>
          <w:noProof/>
          <w:snapToGrid/>
        </w:rPr>
        <w:drawing>
          <wp:inline distT="0" distB="0" distL="0" distR="0" wp14:anchorId="45FB70BF" wp14:editId="2C33C1C5">
            <wp:extent cx="4125230" cy="4182398"/>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rotWithShape="1">
                    <a:blip r:embed="rId7">
                      <a:extLst>
                        <a:ext uri="{28A0092B-C50C-407E-A947-70E740481C1C}">
                          <a14:useLocalDpi xmlns:a14="http://schemas.microsoft.com/office/drawing/2010/main" val="0"/>
                        </a:ext>
                      </a:extLst>
                    </a:blip>
                    <a:srcRect l="6681" r="10101" b="41591"/>
                    <a:stretch/>
                  </pic:blipFill>
                  <pic:spPr bwMode="auto">
                    <a:xfrm>
                      <a:off x="0" y="0"/>
                      <a:ext cx="4135926" cy="4193242"/>
                    </a:xfrm>
                    <a:prstGeom prst="rect">
                      <a:avLst/>
                    </a:prstGeom>
                    <a:ln>
                      <a:noFill/>
                    </a:ln>
                    <a:extLst>
                      <a:ext uri="{53640926-AAD7-44D8-BBD7-CCE9431645EC}">
                        <a14:shadowObscured xmlns:a14="http://schemas.microsoft.com/office/drawing/2010/main"/>
                      </a:ext>
                    </a:extLst>
                  </pic:spPr>
                </pic:pic>
              </a:graphicData>
            </a:graphic>
          </wp:inline>
        </w:drawing>
      </w:r>
    </w:p>
    <w:p w14:paraId="3BEBF9BD" w14:textId="4C00541F" w:rsidR="000D6839" w:rsidRPr="00886832" w:rsidRDefault="000D6839" w:rsidP="007F76FE">
      <w:pPr>
        <w:pStyle w:val="MDPI52figure"/>
        <w:ind w:left="2608"/>
        <w:jc w:val="left"/>
        <w:rPr>
          <w:rFonts w:ascii="Times New Roman" w:hAnsi="Times New Roman"/>
          <w:b/>
        </w:rPr>
      </w:pPr>
      <w:bookmarkStart w:id="4" w:name="page3"/>
      <w:bookmarkEnd w:id="4"/>
    </w:p>
    <w:p w14:paraId="66D8A744" w14:textId="251D2B84" w:rsidR="000D6839" w:rsidRPr="00886832" w:rsidRDefault="00B21CDF" w:rsidP="00886832">
      <w:pPr>
        <w:pStyle w:val="MDPI51figurecaption"/>
        <w:ind w:left="0"/>
        <w:rPr>
          <w:rFonts w:ascii="Times New Roman" w:hAnsi="Times New Roman"/>
          <w:lang w:eastAsia="zh-CN"/>
        </w:rPr>
      </w:pPr>
      <w:bookmarkStart w:id="5" w:name="OLE_LINK1"/>
      <w:bookmarkStart w:id="6" w:name="OLE_LINK2"/>
      <w:r w:rsidRPr="00886832">
        <w:rPr>
          <w:rFonts w:ascii="Times New Roman" w:hAnsi="Times New Roman"/>
          <w:b/>
          <w:lang w:eastAsia="zh-CN"/>
        </w:rPr>
        <w:t>Supplementary figure 1</w:t>
      </w:r>
      <w:r w:rsidR="000D6839" w:rsidRPr="00886832">
        <w:rPr>
          <w:rFonts w:ascii="Times New Roman" w:hAnsi="Times New Roman"/>
          <w:b/>
        </w:rPr>
        <w:t xml:space="preserve">. </w:t>
      </w:r>
      <w:r w:rsidR="004208A8" w:rsidRPr="00886832">
        <w:rPr>
          <w:rFonts w:ascii="Times New Roman" w:hAnsi="Times New Roman"/>
          <w:lang w:eastAsia="zh-CN"/>
        </w:rPr>
        <w:t xml:space="preserve">Clinical significance of HER2 in TCGA and </w:t>
      </w:r>
      <w:proofErr w:type="spellStart"/>
      <w:r w:rsidR="004208A8" w:rsidRPr="00886832">
        <w:rPr>
          <w:rFonts w:ascii="Times New Roman" w:hAnsi="Times New Roman"/>
          <w:lang w:eastAsia="zh-CN"/>
        </w:rPr>
        <w:t>Renji</w:t>
      </w:r>
      <w:proofErr w:type="spellEnd"/>
      <w:r w:rsidR="004208A8" w:rsidRPr="00886832">
        <w:rPr>
          <w:rFonts w:ascii="Times New Roman" w:hAnsi="Times New Roman"/>
          <w:lang w:eastAsia="zh-CN"/>
        </w:rPr>
        <w:t xml:space="preserve"> cohorts.</w:t>
      </w:r>
      <w:r w:rsidR="004208A8" w:rsidRPr="00886832">
        <w:rPr>
          <w:rFonts w:ascii="Times New Roman" w:hAnsi="Times New Roman"/>
          <w:b/>
          <w:bCs/>
          <w:lang w:eastAsia="zh-CN"/>
        </w:rPr>
        <w:t xml:space="preserve"> (A)</w:t>
      </w:r>
      <w:r w:rsidR="004208A8" w:rsidRPr="00886832">
        <w:rPr>
          <w:rFonts w:ascii="Times New Roman" w:hAnsi="Times New Roman"/>
          <w:lang w:eastAsia="zh-CN"/>
        </w:rPr>
        <w:t xml:space="preserve"> Kaplan-Meier analysis for OS (left) and DFS (right) in TCGA according to HER2 level. </w:t>
      </w:r>
      <w:r w:rsidR="004208A8" w:rsidRPr="00886832">
        <w:rPr>
          <w:rFonts w:ascii="Times New Roman" w:hAnsi="Times New Roman"/>
          <w:b/>
          <w:bCs/>
          <w:lang w:eastAsia="zh-CN"/>
        </w:rPr>
        <w:t xml:space="preserve">(B) </w:t>
      </w:r>
      <w:r w:rsidR="004208A8" w:rsidRPr="00886832">
        <w:rPr>
          <w:rFonts w:ascii="Times New Roman" w:hAnsi="Times New Roman"/>
          <w:lang w:eastAsia="zh-CN"/>
        </w:rPr>
        <w:t xml:space="preserve">Kaplan-Meier analysis for OS in </w:t>
      </w:r>
      <w:proofErr w:type="spellStart"/>
      <w:r w:rsidR="004208A8" w:rsidRPr="00886832">
        <w:rPr>
          <w:rFonts w:ascii="Times New Roman" w:hAnsi="Times New Roman"/>
          <w:lang w:eastAsia="zh-CN"/>
        </w:rPr>
        <w:t>Renji</w:t>
      </w:r>
      <w:proofErr w:type="spellEnd"/>
      <w:r w:rsidR="004208A8" w:rsidRPr="00886832">
        <w:rPr>
          <w:rFonts w:ascii="Times New Roman" w:hAnsi="Times New Roman"/>
          <w:lang w:eastAsia="zh-CN"/>
        </w:rPr>
        <w:t xml:space="preserve"> cohort according to HER2 level. </w:t>
      </w:r>
      <w:r w:rsidR="004208A8" w:rsidRPr="00886832">
        <w:rPr>
          <w:rFonts w:ascii="Times New Roman" w:hAnsi="Times New Roman"/>
          <w:b/>
          <w:bCs/>
          <w:lang w:eastAsia="zh-CN"/>
        </w:rPr>
        <w:t>(C)</w:t>
      </w:r>
      <w:r w:rsidR="004208A8" w:rsidRPr="00886832">
        <w:rPr>
          <w:rFonts w:ascii="Times New Roman" w:hAnsi="Times New Roman"/>
          <w:lang w:eastAsia="zh-CN"/>
        </w:rPr>
        <w:t xml:space="preserve"> Multivariate Cox regression analysis of clinicopathologic factor for OS applied in </w:t>
      </w:r>
      <w:proofErr w:type="spellStart"/>
      <w:r w:rsidR="004208A8" w:rsidRPr="00886832">
        <w:rPr>
          <w:rFonts w:ascii="Times New Roman" w:hAnsi="Times New Roman"/>
          <w:lang w:eastAsia="zh-CN"/>
        </w:rPr>
        <w:t>Renji</w:t>
      </w:r>
      <w:proofErr w:type="spellEnd"/>
      <w:r w:rsidR="004208A8" w:rsidRPr="00886832">
        <w:rPr>
          <w:rFonts w:ascii="Times New Roman" w:hAnsi="Times New Roman"/>
          <w:lang w:eastAsia="zh-CN"/>
        </w:rPr>
        <w:t xml:space="preserve"> cohort. </w:t>
      </w:r>
      <w:r w:rsidR="004208A8" w:rsidRPr="00886832">
        <w:rPr>
          <w:rFonts w:ascii="Times New Roman" w:hAnsi="Times New Roman"/>
          <w:b/>
          <w:bCs/>
          <w:lang w:eastAsia="zh-CN"/>
        </w:rPr>
        <w:t>(</w:t>
      </w:r>
      <w:r w:rsidR="004208A8" w:rsidRPr="00886832">
        <w:rPr>
          <w:rFonts w:ascii="Times New Roman" w:hAnsi="Times New Roman"/>
          <w:b/>
          <w:bCs/>
        </w:rPr>
        <w:t xml:space="preserve">D) </w:t>
      </w:r>
      <w:r w:rsidR="004208A8" w:rsidRPr="00886832">
        <w:rPr>
          <w:rFonts w:ascii="Times New Roman" w:hAnsi="Times New Roman"/>
          <w:lang w:eastAsia="zh-CN"/>
        </w:rPr>
        <w:t xml:space="preserve">Representative images of HER2 non-amplification in PDXs, fluorescence in situ hybridization using a HER2 IQFISH </w:t>
      </w:r>
      <w:proofErr w:type="spellStart"/>
      <w:r w:rsidR="004208A8" w:rsidRPr="00886832">
        <w:rPr>
          <w:rFonts w:ascii="Times New Roman" w:hAnsi="Times New Roman"/>
          <w:lang w:eastAsia="zh-CN"/>
        </w:rPr>
        <w:t>pharmDxTM</w:t>
      </w:r>
      <w:proofErr w:type="spellEnd"/>
      <w:r w:rsidR="004208A8" w:rsidRPr="00886832">
        <w:rPr>
          <w:rFonts w:ascii="Times New Roman" w:hAnsi="Times New Roman"/>
          <w:lang w:eastAsia="zh-CN"/>
        </w:rPr>
        <w:t xml:space="preserve"> probe, </w:t>
      </w:r>
      <w:proofErr w:type="spellStart"/>
      <w:r w:rsidR="004208A8" w:rsidRPr="00886832">
        <w:rPr>
          <w:rFonts w:ascii="Times New Roman" w:hAnsi="Times New Roman"/>
          <w:lang w:eastAsia="zh-CN"/>
        </w:rPr>
        <w:t>Dako</w:t>
      </w:r>
      <w:proofErr w:type="spellEnd"/>
      <w:r w:rsidR="004208A8" w:rsidRPr="00886832">
        <w:rPr>
          <w:rFonts w:ascii="Times New Roman" w:hAnsi="Times New Roman"/>
          <w:lang w:eastAsia="zh-CN"/>
        </w:rPr>
        <w:t xml:space="preserve"> (HER2 = red signal, CEP17 = green signal).</w:t>
      </w:r>
      <w:r w:rsidR="004208A8" w:rsidRPr="00886832">
        <w:rPr>
          <w:rFonts w:ascii="Times New Roman" w:hAnsi="Times New Roman"/>
        </w:rPr>
        <w:t xml:space="preserve"> </w:t>
      </w:r>
      <w:r w:rsidR="004208A8" w:rsidRPr="00886832">
        <w:rPr>
          <w:rFonts w:ascii="Times New Roman" w:hAnsi="Times New Roman"/>
          <w:lang w:eastAsia="zh-CN"/>
        </w:rPr>
        <w:t>OS, overall survival; DFS, disease-free survival; CI, confidence interval.</w:t>
      </w:r>
    </w:p>
    <w:bookmarkEnd w:id="5"/>
    <w:bookmarkEnd w:id="6"/>
    <w:p w14:paraId="6B1B3F11" w14:textId="61AA6D92" w:rsidR="003B30CD" w:rsidRPr="00886832" w:rsidRDefault="00F677C5" w:rsidP="00886832">
      <w:pPr>
        <w:pStyle w:val="MDPI51figurecaption"/>
        <w:ind w:left="0"/>
        <w:rPr>
          <w:rFonts w:ascii="Times New Roman" w:hAnsi="Times New Roman"/>
        </w:rPr>
      </w:pPr>
      <w:r w:rsidRPr="00886832">
        <w:rPr>
          <w:rFonts w:ascii="Times New Roman" w:hAnsi="Times New Roman"/>
          <w:noProof/>
        </w:rPr>
        <w:lastRenderedPageBreak/>
        <w:drawing>
          <wp:inline distT="0" distB="0" distL="0" distR="0" wp14:anchorId="271D884D" wp14:editId="4B642413">
            <wp:extent cx="3956010" cy="552048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8">
                      <a:extLst>
                        <a:ext uri="{28A0092B-C50C-407E-A947-70E740481C1C}">
                          <a14:useLocalDpi xmlns:a14="http://schemas.microsoft.com/office/drawing/2010/main" val="0"/>
                        </a:ext>
                      </a:extLst>
                    </a:blip>
                    <a:stretch>
                      <a:fillRect/>
                    </a:stretch>
                  </pic:blipFill>
                  <pic:spPr>
                    <a:xfrm>
                      <a:off x="0" y="0"/>
                      <a:ext cx="3973470" cy="5544844"/>
                    </a:xfrm>
                    <a:prstGeom prst="rect">
                      <a:avLst/>
                    </a:prstGeom>
                  </pic:spPr>
                </pic:pic>
              </a:graphicData>
            </a:graphic>
          </wp:inline>
        </w:drawing>
      </w:r>
    </w:p>
    <w:p w14:paraId="7BB0BD07" w14:textId="77777777" w:rsidR="00881AC4" w:rsidRPr="00886832" w:rsidRDefault="00F677C5" w:rsidP="00886832">
      <w:pPr>
        <w:pStyle w:val="MDPI51figurecaption"/>
        <w:ind w:left="0"/>
        <w:rPr>
          <w:rFonts w:ascii="Times New Roman" w:hAnsi="Times New Roman"/>
          <w:lang w:eastAsia="zh-CN"/>
        </w:rPr>
      </w:pPr>
      <w:r w:rsidRPr="00886832">
        <w:rPr>
          <w:rFonts w:ascii="Times New Roman" w:hAnsi="Times New Roman"/>
          <w:b/>
          <w:lang w:eastAsia="zh-CN"/>
        </w:rPr>
        <w:t>Supplementary figure 2</w:t>
      </w:r>
      <w:r w:rsidRPr="00886832">
        <w:rPr>
          <w:rFonts w:ascii="Times New Roman" w:hAnsi="Times New Roman"/>
          <w:b/>
        </w:rPr>
        <w:t xml:space="preserve">. </w:t>
      </w:r>
      <w:r w:rsidRPr="00886832">
        <w:rPr>
          <w:rFonts w:ascii="Times New Roman" w:hAnsi="Times New Roman"/>
          <w:lang w:eastAsia="zh-CN"/>
        </w:rPr>
        <w:t xml:space="preserve">Different dose-combination of </w:t>
      </w:r>
      <w:proofErr w:type="spellStart"/>
      <w:r w:rsidRPr="00886832">
        <w:rPr>
          <w:rFonts w:ascii="Times New Roman" w:hAnsi="Times New Roman"/>
          <w:lang w:eastAsia="zh-CN"/>
        </w:rPr>
        <w:t>pyrotinib</w:t>
      </w:r>
      <w:proofErr w:type="spellEnd"/>
      <w:r w:rsidRPr="00886832">
        <w:rPr>
          <w:rFonts w:ascii="Times New Roman" w:hAnsi="Times New Roman"/>
          <w:lang w:eastAsia="zh-CN"/>
        </w:rPr>
        <w:t xml:space="preserve"> and top 10 compounds showing the augment effect of HDACs/mTOR inhibitor 1(left panel top) combined with </w:t>
      </w:r>
      <w:proofErr w:type="spellStart"/>
      <w:r w:rsidRPr="00886832">
        <w:rPr>
          <w:rFonts w:ascii="Times New Roman" w:hAnsi="Times New Roman"/>
          <w:lang w:eastAsia="zh-CN"/>
        </w:rPr>
        <w:t>pyrotinib</w:t>
      </w:r>
      <w:proofErr w:type="spellEnd"/>
      <w:r w:rsidRPr="00886832">
        <w:rPr>
          <w:rFonts w:ascii="Times New Roman" w:hAnsi="Times New Roman"/>
          <w:lang w:eastAsia="zh-CN"/>
        </w:rPr>
        <w:t xml:space="preserve"> in 4 cell lines.</w:t>
      </w:r>
    </w:p>
    <w:p w14:paraId="692FBC92" w14:textId="58822EDD" w:rsidR="00881AC4" w:rsidRPr="00886832" w:rsidRDefault="00881AC4" w:rsidP="00886832">
      <w:pPr>
        <w:pStyle w:val="MDPI51figurecaption"/>
        <w:ind w:left="0"/>
        <w:rPr>
          <w:rFonts w:ascii="Times New Roman" w:hAnsi="Times New Roman"/>
          <w:lang w:eastAsia="zh-CN"/>
        </w:rPr>
      </w:pPr>
      <w:r w:rsidRPr="00886832">
        <w:rPr>
          <w:rFonts w:ascii="Times New Roman" w:hAnsi="Times New Roman"/>
          <w:b/>
          <w:lang w:eastAsia="zh-CN"/>
        </w:rPr>
        <w:t xml:space="preserve">Supplementary </w:t>
      </w:r>
      <w:r w:rsidRPr="00886832">
        <w:rPr>
          <w:rFonts w:ascii="Times New Roman" w:hAnsi="Times New Roman"/>
          <w:b/>
        </w:rPr>
        <w:t xml:space="preserve">table 1. Targets and related pathway of Top 38 drug screened showing </w:t>
      </w:r>
      <w:proofErr w:type="spellStart"/>
      <w:r w:rsidRPr="00886832">
        <w:rPr>
          <w:rFonts w:ascii="Times New Roman" w:hAnsi="Times New Roman"/>
          <w:b/>
        </w:rPr>
        <w:t>tocixity</w:t>
      </w:r>
      <w:proofErr w:type="spellEnd"/>
      <w:r w:rsidRPr="00886832">
        <w:rPr>
          <w:rFonts w:ascii="Times New Roman" w:hAnsi="Times New Roman"/>
          <w:b/>
        </w:rPr>
        <w:t xml:space="preserve"> combined with </w:t>
      </w:r>
      <w:proofErr w:type="spellStart"/>
      <w:r w:rsidRPr="00886832">
        <w:rPr>
          <w:rFonts w:ascii="Times New Roman" w:hAnsi="Times New Roman"/>
          <w:b/>
        </w:rPr>
        <w:t>Pyroti</w:t>
      </w:r>
      <w:proofErr w:type="spellEnd"/>
    </w:p>
    <w:tbl>
      <w:tblPr>
        <w:tblStyle w:val="a3"/>
        <w:tblW w:w="9026" w:type="dxa"/>
        <w:jc w:val="righ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728"/>
        <w:gridCol w:w="4313"/>
      </w:tblGrid>
      <w:tr w:rsidR="00881AC4" w:rsidRPr="00886832" w14:paraId="4A4BE089" w14:textId="77777777" w:rsidTr="00881AC4">
        <w:trPr>
          <w:trHeight w:val="320"/>
          <w:jc w:val="right"/>
        </w:trPr>
        <w:tc>
          <w:tcPr>
            <w:tcW w:w="1985" w:type="dxa"/>
            <w:tcBorders>
              <w:top w:val="single" w:sz="4" w:space="0" w:color="auto"/>
              <w:bottom w:val="single" w:sz="4" w:space="0" w:color="auto"/>
            </w:tcBorders>
            <w:noWrap/>
            <w:hideMark/>
          </w:tcPr>
          <w:p w14:paraId="3B696C8E" w14:textId="77777777" w:rsidR="00881AC4" w:rsidRPr="00886832" w:rsidRDefault="00881AC4" w:rsidP="0016311E">
            <w:pPr>
              <w:rPr>
                <w:rFonts w:ascii="Times New Roman" w:eastAsia="Times New Roman" w:hAnsi="Times New Roman"/>
                <w:b/>
                <w:bCs/>
                <w:sz w:val="18"/>
                <w:szCs w:val="18"/>
              </w:rPr>
            </w:pPr>
            <w:r w:rsidRPr="00886832">
              <w:rPr>
                <w:rFonts w:ascii="Times New Roman" w:eastAsia="Times New Roman" w:hAnsi="Times New Roman"/>
                <w:b/>
                <w:bCs/>
                <w:sz w:val="18"/>
                <w:szCs w:val="18"/>
              </w:rPr>
              <w:t>Product Name</w:t>
            </w:r>
          </w:p>
        </w:tc>
        <w:tc>
          <w:tcPr>
            <w:tcW w:w="2728" w:type="dxa"/>
            <w:tcBorders>
              <w:top w:val="single" w:sz="4" w:space="0" w:color="auto"/>
              <w:bottom w:val="single" w:sz="4" w:space="0" w:color="auto"/>
            </w:tcBorders>
            <w:noWrap/>
            <w:hideMark/>
          </w:tcPr>
          <w:p w14:paraId="567644B3" w14:textId="77777777" w:rsidR="00881AC4" w:rsidRPr="00886832" w:rsidRDefault="00881AC4" w:rsidP="0016311E">
            <w:pPr>
              <w:rPr>
                <w:rFonts w:ascii="Times New Roman" w:eastAsia="Times New Roman" w:hAnsi="Times New Roman"/>
                <w:b/>
                <w:bCs/>
                <w:sz w:val="18"/>
                <w:szCs w:val="18"/>
              </w:rPr>
            </w:pPr>
            <w:r w:rsidRPr="00886832">
              <w:rPr>
                <w:rFonts w:ascii="Times New Roman" w:eastAsia="Times New Roman" w:hAnsi="Times New Roman"/>
                <w:b/>
                <w:bCs/>
                <w:sz w:val="18"/>
                <w:szCs w:val="18"/>
              </w:rPr>
              <w:t>Target</w:t>
            </w:r>
          </w:p>
        </w:tc>
        <w:tc>
          <w:tcPr>
            <w:tcW w:w="4313" w:type="dxa"/>
            <w:tcBorders>
              <w:top w:val="single" w:sz="4" w:space="0" w:color="auto"/>
              <w:bottom w:val="single" w:sz="4" w:space="0" w:color="auto"/>
            </w:tcBorders>
            <w:noWrap/>
            <w:hideMark/>
          </w:tcPr>
          <w:p w14:paraId="12365AF3" w14:textId="77777777" w:rsidR="00881AC4" w:rsidRPr="00886832" w:rsidRDefault="00881AC4" w:rsidP="0016311E">
            <w:pPr>
              <w:rPr>
                <w:rFonts w:ascii="Times New Roman" w:eastAsia="Times New Roman" w:hAnsi="Times New Roman"/>
                <w:b/>
                <w:bCs/>
                <w:sz w:val="18"/>
                <w:szCs w:val="18"/>
              </w:rPr>
            </w:pPr>
            <w:r w:rsidRPr="00886832">
              <w:rPr>
                <w:rFonts w:ascii="Times New Roman" w:eastAsia="Times New Roman" w:hAnsi="Times New Roman"/>
                <w:b/>
                <w:bCs/>
                <w:sz w:val="18"/>
                <w:szCs w:val="18"/>
              </w:rPr>
              <w:t>Pathway</w:t>
            </w:r>
          </w:p>
        </w:tc>
      </w:tr>
      <w:tr w:rsidR="00881AC4" w:rsidRPr="00886832" w14:paraId="062C04EC" w14:textId="77777777" w:rsidTr="00881AC4">
        <w:trPr>
          <w:trHeight w:val="320"/>
          <w:jc w:val="right"/>
        </w:trPr>
        <w:tc>
          <w:tcPr>
            <w:tcW w:w="1985" w:type="dxa"/>
            <w:tcBorders>
              <w:top w:val="single" w:sz="4" w:space="0" w:color="auto"/>
            </w:tcBorders>
            <w:noWrap/>
            <w:hideMark/>
          </w:tcPr>
          <w:p w14:paraId="5BF1D3D1"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BMS-214662</w:t>
            </w:r>
          </w:p>
        </w:tc>
        <w:tc>
          <w:tcPr>
            <w:tcW w:w="2728" w:type="dxa"/>
            <w:tcBorders>
              <w:top w:val="single" w:sz="4" w:space="0" w:color="auto"/>
            </w:tcBorders>
            <w:noWrap/>
            <w:hideMark/>
          </w:tcPr>
          <w:p w14:paraId="6757CFEA"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Farnesyl Transferase</w:t>
            </w:r>
          </w:p>
        </w:tc>
        <w:tc>
          <w:tcPr>
            <w:tcW w:w="4313" w:type="dxa"/>
            <w:tcBorders>
              <w:top w:val="single" w:sz="4" w:space="0" w:color="auto"/>
            </w:tcBorders>
            <w:noWrap/>
            <w:hideMark/>
          </w:tcPr>
          <w:p w14:paraId="2ED03FCA"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Metabolic Enzyme/Protease</w:t>
            </w:r>
          </w:p>
        </w:tc>
      </w:tr>
      <w:tr w:rsidR="00881AC4" w:rsidRPr="00886832" w14:paraId="09655785" w14:textId="77777777" w:rsidTr="00881AC4">
        <w:trPr>
          <w:trHeight w:val="320"/>
          <w:jc w:val="right"/>
        </w:trPr>
        <w:tc>
          <w:tcPr>
            <w:tcW w:w="1985" w:type="dxa"/>
            <w:noWrap/>
            <w:hideMark/>
          </w:tcPr>
          <w:p w14:paraId="61C591B9"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JAK/HDAC-IN-1</w:t>
            </w:r>
          </w:p>
        </w:tc>
        <w:tc>
          <w:tcPr>
            <w:tcW w:w="2728" w:type="dxa"/>
            <w:noWrap/>
            <w:hideMark/>
          </w:tcPr>
          <w:p w14:paraId="737444B0"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HDAC; JAK</w:t>
            </w:r>
          </w:p>
        </w:tc>
        <w:tc>
          <w:tcPr>
            <w:tcW w:w="4313" w:type="dxa"/>
            <w:noWrap/>
            <w:hideMark/>
          </w:tcPr>
          <w:p w14:paraId="4E7C1603"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Cell Cycle/DNA Damage; Epigenetics; JAK/STAT Signaling; Stem Cell/Wnt</w:t>
            </w:r>
          </w:p>
        </w:tc>
      </w:tr>
      <w:tr w:rsidR="00881AC4" w:rsidRPr="00886832" w14:paraId="0B7992FF" w14:textId="77777777" w:rsidTr="00881AC4">
        <w:trPr>
          <w:trHeight w:val="320"/>
          <w:jc w:val="right"/>
        </w:trPr>
        <w:tc>
          <w:tcPr>
            <w:tcW w:w="1985" w:type="dxa"/>
            <w:noWrap/>
            <w:hideMark/>
          </w:tcPr>
          <w:p w14:paraId="0FDB4869"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Foretinib</w:t>
            </w:r>
          </w:p>
        </w:tc>
        <w:tc>
          <w:tcPr>
            <w:tcW w:w="2728" w:type="dxa"/>
            <w:noWrap/>
            <w:hideMark/>
          </w:tcPr>
          <w:p w14:paraId="6A75955F"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c-Met/HGFR; VEGFR</w:t>
            </w:r>
          </w:p>
        </w:tc>
        <w:tc>
          <w:tcPr>
            <w:tcW w:w="4313" w:type="dxa"/>
            <w:noWrap/>
            <w:hideMark/>
          </w:tcPr>
          <w:p w14:paraId="3BF04450"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Protein Tyrosine Kinase/RTK</w:t>
            </w:r>
          </w:p>
        </w:tc>
      </w:tr>
      <w:tr w:rsidR="00881AC4" w:rsidRPr="00886832" w14:paraId="29AC8224" w14:textId="77777777" w:rsidTr="00881AC4">
        <w:trPr>
          <w:trHeight w:val="320"/>
          <w:jc w:val="right"/>
        </w:trPr>
        <w:tc>
          <w:tcPr>
            <w:tcW w:w="1985" w:type="dxa"/>
            <w:noWrap/>
            <w:hideMark/>
          </w:tcPr>
          <w:p w14:paraId="5209039F"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FIIN-3</w:t>
            </w:r>
          </w:p>
        </w:tc>
        <w:tc>
          <w:tcPr>
            <w:tcW w:w="2728" w:type="dxa"/>
            <w:noWrap/>
            <w:hideMark/>
          </w:tcPr>
          <w:p w14:paraId="3EDCD370"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EGFR; FGFR</w:t>
            </w:r>
          </w:p>
        </w:tc>
        <w:tc>
          <w:tcPr>
            <w:tcW w:w="4313" w:type="dxa"/>
            <w:noWrap/>
            <w:hideMark/>
          </w:tcPr>
          <w:p w14:paraId="38A84003"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JAK/STAT Signaling; Protein Tyrosine Kinase/RTK</w:t>
            </w:r>
          </w:p>
        </w:tc>
      </w:tr>
      <w:tr w:rsidR="00881AC4" w:rsidRPr="00886832" w14:paraId="3D2DF9DE" w14:textId="77777777" w:rsidTr="00881AC4">
        <w:trPr>
          <w:trHeight w:val="320"/>
          <w:jc w:val="right"/>
        </w:trPr>
        <w:tc>
          <w:tcPr>
            <w:tcW w:w="1985" w:type="dxa"/>
            <w:noWrap/>
            <w:hideMark/>
          </w:tcPr>
          <w:p w14:paraId="5A096AC1"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Shikonin</w:t>
            </w:r>
          </w:p>
        </w:tc>
        <w:tc>
          <w:tcPr>
            <w:tcW w:w="2728" w:type="dxa"/>
            <w:noWrap/>
            <w:hideMark/>
          </w:tcPr>
          <w:p w14:paraId="3651597D"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Chloride Channel; HIV; NF-κB; Pyruvate Kinase; TNF Receptor</w:t>
            </w:r>
          </w:p>
        </w:tc>
        <w:tc>
          <w:tcPr>
            <w:tcW w:w="4313" w:type="dxa"/>
            <w:noWrap/>
            <w:hideMark/>
          </w:tcPr>
          <w:p w14:paraId="69E2CF0C"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Anti-infection; Apoptosis; Membrane Transporter/Ion Channel; Metabolic Enzyme/Protease; NF-κB</w:t>
            </w:r>
          </w:p>
        </w:tc>
      </w:tr>
      <w:tr w:rsidR="00881AC4" w:rsidRPr="00886832" w14:paraId="56F4F337" w14:textId="77777777" w:rsidTr="00881AC4">
        <w:trPr>
          <w:trHeight w:val="320"/>
          <w:jc w:val="right"/>
        </w:trPr>
        <w:tc>
          <w:tcPr>
            <w:tcW w:w="1985" w:type="dxa"/>
            <w:noWrap/>
            <w:hideMark/>
          </w:tcPr>
          <w:p w14:paraId="27D792D1"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PF-03814735</w:t>
            </w:r>
          </w:p>
        </w:tc>
        <w:tc>
          <w:tcPr>
            <w:tcW w:w="2728" w:type="dxa"/>
            <w:noWrap/>
            <w:hideMark/>
          </w:tcPr>
          <w:p w14:paraId="14281540"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Aurora Kinase; VEGFR</w:t>
            </w:r>
          </w:p>
        </w:tc>
        <w:tc>
          <w:tcPr>
            <w:tcW w:w="4313" w:type="dxa"/>
            <w:noWrap/>
            <w:hideMark/>
          </w:tcPr>
          <w:p w14:paraId="60C3EA00"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Cell Cycle/DNA Damage; Epigenetics; Protein Tyrosine Kinase/RTK</w:t>
            </w:r>
          </w:p>
        </w:tc>
      </w:tr>
      <w:tr w:rsidR="00881AC4" w:rsidRPr="00886832" w14:paraId="4515C55A" w14:textId="77777777" w:rsidTr="00881AC4">
        <w:trPr>
          <w:trHeight w:val="320"/>
          <w:jc w:val="right"/>
        </w:trPr>
        <w:tc>
          <w:tcPr>
            <w:tcW w:w="1985" w:type="dxa"/>
            <w:noWrap/>
            <w:hideMark/>
          </w:tcPr>
          <w:p w14:paraId="0E23706E"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mTOR inhibitor-1</w:t>
            </w:r>
          </w:p>
        </w:tc>
        <w:tc>
          <w:tcPr>
            <w:tcW w:w="2728" w:type="dxa"/>
            <w:noWrap/>
            <w:hideMark/>
          </w:tcPr>
          <w:p w14:paraId="009CF193"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Autophagy; mTOR</w:t>
            </w:r>
          </w:p>
        </w:tc>
        <w:tc>
          <w:tcPr>
            <w:tcW w:w="4313" w:type="dxa"/>
            <w:noWrap/>
            <w:hideMark/>
          </w:tcPr>
          <w:p w14:paraId="1FEC3E11"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Autophagy; PI3K/Akt/mTOR</w:t>
            </w:r>
          </w:p>
        </w:tc>
      </w:tr>
      <w:tr w:rsidR="00881AC4" w:rsidRPr="00886832" w14:paraId="629C61BD" w14:textId="77777777" w:rsidTr="00881AC4">
        <w:trPr>
          <w:trHeight w:val="320"/>
          <w:jc w:val="right"/>
        </w:trPr>
        <w:tc>
          <w:tcPr>
            <w:tcW w:w="1985" w:type="dxa"/>
            <w:noWrap/>
            <w:hideMark/>
          </w:tcPr>
          <w:p w14:paraId="6F40F55B"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Tyrphostin A9</w:t>
            </w:r>
          </w:p>
        </w:tc>
        <w:tc>
          <w:tcPr>
            <w:tcW w:w="2728" w:type="dxa"/>
            <w:noWrap/>
            <w:hideMark/>
          </w:tcPr>
          <w:p w14:paraId="2A119C8C"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Influenza Virus; VEGFR</w:t>
            </w:r>
          </w:p>
        </w:tc>
        <w:tc>
          <w:tcPr>
            <w:tcW w:w="4313" w:type="dxa"/>
            <w:noWrap/>
            <w:hideMark/>
          </w:tcPr>
          <w:p w14:paraId="00AF5D56"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Anti-infection; Protein Tyrosine Kinase/RTK</w:t>
            </w:r>
          </w:p>
        </w:tc>
      </w:tr>
      <w:tr w:rsidR="00881AC4" w:rsidRPr="00886832" w14:paraId="3A8D7C27" w14:textId="77777777" w:rsidTr="00881AC4">
        <w:trPr>
          <w:trHeight w:val="320"/>
          <w:jc w:val="right"/>
        </w:trPr>
        <w:tc>
          <w:tcPr>
            <w:tcW w:w="1985" w:type="dxa"/>
            <w:noWrap/>
            <w:hideMark/>
          </w:tcPr>
          <w:p w14:paraId="245E8407"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lastRenderedPageBreak/>
              <w:t>Rebastinib</w:t>
            </w:r>
          </w:p>
        </w:tc>
        <w:tc>
          <w:tcPr>
            <w:tcW w:w="2728" w:type="dxa"/>
            <w:noWrap/>
            <w:hideMark/>
          </w:tcPr>
          <w:p w14:paraId="58FBC2DA"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Apoptosis; Bcr-Abl; FLT3; Src</w:t>
            </w:r>
          </w:p>
        </w:tc>
        <w:tc>
          <w:tcPr>
            <w:tcW w:w="4313" w:type="dxa"/>
            <w:noWrap/>
            <w:hideMark/>
          </w:tcPr>
          <w:p w14:paraId="4D6F1BE2"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Apoptosis; Protein Tyrosine Kinase/RTK</w:t>
            </w:r>
          </w:p>
        </w:tc>
      </w:tr>
      <w:tr w:rsidR="00881AC4" w:rsidRPr="00886832" w14:paraId="13514B52" w14:textId="77777777" w:rsidTr="00881AC4">
        <w:trPr>
          <w:trHeight w:val="320"/>
          <w:jc w:val="right"/>
        </w:trPr>
        <w:tc>
          <w:tcPr>
            <w:tcW w:w="1985" w:type="dxa"/>
            <w:noWrap/>
            <w:hideMark/>
          </w:tcPr>
          <w:p w14:paraId="60E0AFD8"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3CAI</w:t>
            </w:r>
          </w:p>
        </w:tc>
        <w:tc>
          <w:tcPr>
            <w:tcW w:w="2728" w:type="dxa"/>
            <w:noWrap/>
            <w:hideMark/>
          </w:tcPr>
          <w:p w14:paraId="26C6DCD8"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Akt</w:t>
            </w:r>
          </w:p>
        </w:tc>
        <w:tc>
          <w:tcPr>
            <w:tcW w:w="4313" w:type="dxa"/>
            <w:noWrap/>
            <w:hideMark/>
          </w:tcPr>
          <w:p w14:paraId="3613091C"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PI3K/Akt/mTOR</w:t>
            </w:r>
          </w:p>
        </w:tc>
      </w:tr>
      <w:tr w:rsidR="00881AC4" w:rsidRPr="00886832" w14:paraId="0F6FB71B" w14:textId="77777777" w:rsidTr="00881AC4">
        <w:trPr>
          <w:trHeight w:val="320"/>
          <w:jc w:val="right"/>
        </w:trPr>
        <w:tc>
          <w:tcPr>
            <w:tcW w:w="1985" w:type="dxa"/>
            <w:noWrap/>
            <w:hideMark/>
          </w:tcPr>
          <w:p w14:paraId="30C33B97"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BMS-599626 (Hydrochloride)</w:t>
            </w:r>
          </w:p>
        </w:tc>
        <w:tc>
          <w:tcPr>
            <w:tcW w:w="2728" w:type="dxa"/>
            <w:noWrap/>
            <w:hideMark/>
          </w:tcPr>
          <w:p w14:paraId="4CD1EF8A"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EGFR</w:t>
            </w:r>
          </w:p>
        </w:tc>
        <w:tc>
          <w:tcPr>
            <w:tcW w:w="4313" w:type="dxa"/>
            <w:noWrap/>
            <w:hideMark/>
          </w:tcPr>
          <w:p w14:paraId="2CDF5940"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JAK/STAT Signaling; Protein Tyrosine Kinase/RTK</w:t>
            </w:r>
          </w:p>
        </w:tc>
      </w:tr>
      <w:tr w:rsidR="00881AC4" w:rsidRPr="00886832" w14:paraId="7C0006AC" w14:textId="77777777" w:rsidTr="00881AC4">
        <w:trPr>
          <w:trHeight w:val="320"/>
          <w:jc w:val="right"/>
        </w:trPr>
        <w:tc>
          <w:tcPr>
            <w:tcW w:w="1985" w:type="dxa"/>
            <w:noWrap/>
            <w:hideMark/>
          </w:tcPr>
          <w:p w14:paraId="4BD04BE4"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LDN193189 (Tetrahydrochloride)</w:t>
            </w:r>
          </w:p>
        </w:tc>
        <w:tc>
          <w:tcPr>
            <w:tcW w:w="2728" w:type="dxa"/>
            <w:noWrap/>
            <w:hideMark/>
          </w:tcPr>
          <w:p w14:paraId="10FC55CE"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TGF-β Receptor</w:t>
            </w:r>
          </w:p>
        </w:tc>
        <w:tc>
          <w:tcPr>
            <w:tcW w:w="4313" w:type="dxa"/>
            <w:noWrap/>
            <w:hideMark/>
          </w:tcPr>
          <w:p w14:paraId="3B74697F"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TGF-beta/Smad</w:t>
            </w:r>
          </w:p>
        </w:tc>
      </w:tr>
      <w:tr w:rsidR="00881AC4" w:rsidRPr="00886832" w14:paraId="6D720D1A" w14:textId="77777777" w:rsidTr="00881AC4">
        <w:trPr>
          <w:trHeight w:val="320"/>
          <w:jc w:val="right"/>
        </w:trPr>
        <w:tc>
          <w:tcPr>
            <w:tcW w:w="1985" w:type="dxa"/>
            <w:noWrap/>
            <w:hideMark/>
          </w:tcPr>
          <w:p w14:paraId="280CF703"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Domatinostat</w:t>
            </w:r>
          </w:p>
        </w:tc>
        <w:tc>
          <w:tcPr>
            <w:tcW w:w="2728" w:type="dxa"/>
            <w:noWrap/>
            <w:hideMark/>
          </w:tcPr>
          <w:p w14:paraId="146CF1C1"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Apoptosis; HDAC</w:t>
            </w:r>
          </w:p>
        </w:tc>
        <w:tc>
          <w:tcPr>
            <w:tcW w:w="4313" w:type="dxa"/>
            <w:noWrap/>
            <w:hideMark/>
          </w:tcPr>
          <w:p w14:paraId="32832D6A"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Apoptosis; Cell Cycle/DNA Damage; Epigenetics</w:t>
            </w:r>
          </w:p>
        </w:tc>
      </w:tr>
      <w:tr w:rsidR="00881AC4" w:rsidRPr="00886832" w14:paraId="379200C5" w14:textId="77777777" w:rsidTr="00881AC4">
        <w:trPr>
          <w:trHeight w:val="320"/>
          <w:jc w:val="right"/>
        </w:trPr>
        <w:tc>
          <w:tcPr>
            <w:tcW w:w="1985" w:type="dxa"/>
            <w:noWrap/>
            <w:hideMark/>
          </w:tcPr>
          <w:p w14:paraId="4B6D973B"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JNJ-7706621</w:t>
            </w:r>
          </w:p>
        </w:tc>
        <w:tc>
          <w:tcPr>
            <w:tcW w:w="2728" w:type="dxa"/>
            <w:noWrap/>
            <w:hideMark/>
          </w:tcPr>
          <w:p w14:paraId="464F84C8"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Apoptosis; Aurora Kinase; CDK</w:t>
            </w:r>
          </w:p>
        </w:tc>
        <w:tc>
          <w:tcPr>
            <w:tcW w:w="4313" w:type="dxa"/>
            <w:noWrap/>
            <w:hideMark/>
          </w:tcPr>
          <w:p w14:paraId="73A5B808"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Apoptosis; Cell Cycle/DNA Damage; Epigenetics</w:t>
            </w:r>
          </w:p>
        </w:tc>
      </w:tr>
      <w:tr w:rsidR="00881AC4" w:rsidRPr="00886832" w14:paraId="431FDBD7" w14:textId="77777777" w:rsidTr="00881AC4">
        <w:trPr>
          <w:trHeight w:val="320"/>
          <w:jc w:val="right"/>
        </w:trPr>
        <w:tc>
          <w:tcPr>
            <w:tcW w:w="1985" w:type="dxa"/>
            <w:noWrap/>
            <w:hideMark/>
          </w:tcPr>
          <w:p w14:paraId="773454C3"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GDC-0326</w:t>
            </w:r>
          </w:p>
        </w:tc>
        <w:tc>
          <w:tcPr>
            <w:tcW w:w="2728" w:type="dxa"/>
            <w:noWrap/>
            <w:hideMark/>
          </w:tcPr>
          <w:p w14:paraId="2DA4BCD2"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PI3K</w:t>
            </w:r>
          </w:p>
        </w:tc>
        <w:tc>
          <w:tcPr>
            <w:tcW w:w="4313" w:type="dxa"/>
            <w:noWrap/>
            <w:hideMark/>
          </w:tcPr>
          <w:p w14:paraId="23EC810F"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PI3K/Akt/mTOR</w:t>
            </w:r>
          </w:p>
        </w:tc>
      </w:tr>
      <w:tr w:rsidR="00881AC4" w:rsidRPr="00886832" w14:paraId="03FB2DDC" w14:textId="77777777" w:rsidTr="00881AC4">
        <w:trPr>
          <w:trHeight w:val="320"/>
          <w:jc w:val="right"/>
        </w:trPr>
        <w:tc>
          <w:tcPr>
            <w:tcW w:w="1985" w:type="dxa"/>
            <w:noWrap/>
            <w:hideMark/>
          </w:tcPr>
          <w:p w14:paraId="38419435"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AZ960</w:t>
            </w:r>
          </w:p>
        </w:tc>
        <w:tc>
          <w:tcPr>
            <w:tcW w:w="2728" w:type="dxa"/>
            <w:noWrap/>
            <w:hideMark/>
          </w:tcPr>
          <w:p w14:paraId="46DF8B92"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Apoptosis; JAK; Parasite; Virus Protease</w:t>
            </w:r>
          </w:p>
        </w:tc>
        <w:tc>
          <w:tcPr>
            <w:tcW w:w="4313" w:type="dxa"/>
            <w:noWrap/>
            <w:hideMark/>
          </w:tcPr>
          <w:p w14:paraId="08FA4379"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Anti-infection; Apoptosis; Epigenetics; JAK/STAT Signaling; Stem Cell/Wnt</w:t>
            </w:r>
          </w:p>
        </w:tc>
      </w:tr>
      <w:tr w:rsidR="00881AC4" w:rsidRPr="00886832" w14:paraId="1A943A55" w14:textId="77777777" w:rsidTr="00881AC4">
        <w:trPr>
          <w:trHeight w:val="320"/>
          <w:jc w:val="right"/>
        </w:trPr>
        <w:tc>
          <w:tcPr>
            <w:tcW w:w="1985" w:type="dxa"/>
            <w:noWrap/>
            <w:hideMark/>
          </w:tcPr>
          <w:p w14:paraId="561B0D8A"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Gandotinib</w:t>
            </w:r>
          </w:p>
        </w:tc>
        <w:tc>
          <w:tcPr>
            <w:tcW w:w="2728" w:type="dxa"/>
            <w:noWrap/>
            <w:hideMark/>
          </w:tcPr>
          <w:p w14:paraId="66E33EF2"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FGFR; FLT3; JAK; VEGFR</w:t>
            </w:r>
          </w:p>
        </w:tc>
        <w:tc>
          <w:tcPr>
            <w:tcW w:w="4313" w:type="dxa"/>
            <w:noWrap/>
            <w:hideMark/>
          </w:tcPr>
          <w:p w14:paraId="36F2C59F"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Epigenetics; JAK/STAT Signaling; Protein Tyrosine Kinase/RTK; Stem Cell/Wnt</w:t>
            </w:r>
          </w:p>
        </w:tc>
      </w:tr>
      <w:tr w:rsidR="00881AC4" w:rsidRPr="00886832" w14:paraId="0EFB6C65" w14:textId="77777777" w:rsidTr="00881AC4">
        <w:trPr>
          <w:trHeight w:val="320"/>
          <w:jc w:val="right"/>
        </w:trPr>
        <w:tc>
          <w:tcPr>
            <w:tcW w:w="1985" w:type="dxa"/>
            <w:noWrap/>
            <w:hideMark/>
          </w:tcPr>
          <w:p w14:paraId="438E92FD"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CEP-37440</w:t>
            </w:r>
          </w:p>
        </w:tc>
        <w:tc>
          <w:tcPr>
            <w:tcW w:w="2728" w:type="dxa"/>
            <w:noWrap/>
            <w:hideMark/>
          </w:tcPr>
          <w:p w14:paraId="4FA9D205"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ALK; FAK</w:t>
            </w:r>
          </w:p>
        </w:tc>
        <w:tc>
          <w:tcPr>
            <w:tcW w:w="4313" w:type="dxa"/>
            <w:noWrap/>
            <w:hideMark/>
          </w:tcPr>
          <w:p w14:paraId="40EAE90D"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Protein Tyrosine Kinase/RTK</w:t>
            </w:r>
          </w:p>
        </w:tc>
      </w:tr>
      <w:tr w:rsidR="00881AC4" w:rsidRPr="00886832" w14:paraId="36F2E8CD" w14:textId="77777777" w:rsidTr="00881AC4">
        <w:trPr>
          <w:trHeight w:val="320"/>
          <w:jc w:val="right"/>
        </w:trPr>
        <w:tc>
          <w:tcPr>
            <w:tcW w:w="1985" w:type="dxa"/>
            <w:noWrap/>
            <w:hideMark/>
          </w:tcPr>
          <w:p w14:paraId="5E7A1BE8"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SF2523</w:t>
            </w:r>
          </w:p>
        </w:tc>
        <w:tc>
          <w:tcPr>
            <w:tcW w:w="2728" w:type="dxa"/>
            <w:noWrap/>
            <w:hideMark/>
          </w:tcPr>
          <w:p w14:paraId="0D8D7C7C"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DNA-PK; Epigenetic Reader Domain; PI3K</w:t>
            </w:r>
          </w:p>
        </w:tc>
        <w:tc>
          <w:tcPr>
            <w:tcW w:w="4313" w:type="dxa"/>
            <w:noWrap/>
            <w:hideMark/>
          </w:tcPr>
          <w:p w14:paraId="07ED556D"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Cell Cycle/DNA Damage; Epigenetics; PI3K/Akt/mTOR</w:t>
            </w:r>
          </w:p>
        </w:tc>
      </w:tr>
      <w:tr w:rsidR="00881AC4" w:rsidRPr="00886832" w14:paraId="5C04BFF0" w14:textId="77777777" w:rsidTr="00881AC4">
        <w:trPr>
          <w:trHeight w:val="320"/>
          <w:jc w:val="right"/>
        </w:trPr>
        <w:tc>
          <w:tcPr>
            <w:tcW w:w="1985" w:type="dxa"/>
            <w:noWrap/>
            <w:hideMark/>
          </w:tcPr>
          <w:p w14:paraId="1FD9CEC6"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NSC 228155</w:t>
            </w:r>
          </w:p>
        </w:tc>
        <w:tc>
          <w:tcPr>
            <w:tcW w:w="2728" w:type="dxa"/>
            <w:noWrap/>
            <w:hideMark/>
          </w:tcPr>
          <w:p w14:paraId="01DE54A8"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EGFR; Epigenetic Reader Domain; Histone Acetyltransferase</w:t>
            </w:r>
          </w:p>
        </w:tc>
        <w:tc>
          <w:tcPr>
            <w:tcW w:w="4313" w:type="dxa"/>
            <w:noWrap/>
            <w:hideMark/>
          </w:tcPr>
          <w:p w14:paraId="49625286"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Epigenetics; JAK/STAT Signaling; Protein Tyrosine Kinase/RTK</w:t>
            </w:r>
          </w:p>
        </w:tc>
      </w:tr>
      <w:tr w:rsidR="00881AC4" w:rsidRPr="00886832" w14:paraId="7643EE35" w14:textId="77777777" w:rsidTr="00881AC4">
        <w:trPr>
          <w:trHeight w:val="320"/>
          <w:jc w:val="right"/>
        </w:trPr>
        <w:tc>
          <w:tcPr>
            <w:tcW w:w="1985" w:type="dxa"/>
            <w:noWrap/>
            <w:hideMark/>
          </w:tcPr>
          <w:p w14:paraId="3D444230"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LY294002</w:t>
            </w:r>
          </w:p>
        </w:tc>
        <w:tc>
          <w:tcPr>
            <w:tcW w:w="2728" w:type="dxa"/>
            <w:noWrap/>
            <w:hideMark/>
          </w:tcPr>
          <w:p w14:paraId="7EAC09C5"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Apoptosis; Autophagy; Casein Kinase; DNA-PK; PI3K</w:t>
            </w:r>
          </w:p>
        </w:tc>
        <w:tc>
          <w:tcPr>
            <w:tcW w:w="4313" w:type="dxa"/>
            <w:noWrap/>
            <w:hideMark/>
          </w:tcPr>
          <w:p w14:paraId="28FFBEB5"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Apoptosis; Autophagy; Cell Cycle/DNA Damage; PI3K/Akt/mTOR; Stem Cell/Wnt</w:t>
            </w:r>
          </w:p>
        </w:tc>
      </w:tr>
      <w:tr w:rsidR="00881AC4" w:rsidRPr="00886832" w14:paraId="6377C7F7" w14:textId="77777777" w:rsidTr="00881AC4">
        <w:trPr>
          <w:trHeight w:val="320"/>
          <w:jc w:val="right"/>
        </w:trPr>
        <w:tc>
          <w:tcPr>
            <w:tcW w:w="1985" w:type="dxa"/>
            <w:noWrap/>
            <w:hideMark/>
          </w:tcPr>
          <w:p w14:paraId="271659E5"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HDACs/mTOR Inhibitor 1</w:t>
            </w:r>
          </w:p>
        </w:tc>
        <w:tc>
          <w:tcPr>
            <w:tcW w:w="2728" w:type="dxa"/>
            <w:noWrap/>
            <w:hideMark/>
          </w:tcPr>
          <w:p w14:paraId="1F837CBC"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Apoptosis; HDAC; mTOR</w:t>
            </w:r>
          </w:p>
        </w:tc>
        <w:tc>
          <w:tcPr>
            <w:tcW w:w="4313" w:type="dxa"/>
            <w:noWrap/>
            <w:hideMark/>
          </w:tcPr>
          <w:p w14:paraId="12550A46"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Apoptosis; Cell Cycle/DNA Damage; Epigenetics; PI3K/Akt/mTOR</w:t>
            </w:r>
          </w:p>
        </w:tc>
      </w:tr>
      <w:tr w:rsidR="00881AC4" w:rsidRPr="00886832" w14:paraId="5448023B" w14:textId="77777777" w:rsidTr="00881AC4">
        <w:trPr>
          <w:trHeight w:val="320"/>
          <w:jc w:val="right"/>
        </w:trPr>
        <w:tc>
          <w:tcPr>
            <w:tcW w:w="1985" w:type="dxa"/>
            <w:noWrap/>
            <w:hideMark/>
          </w:tcPr>
          <w:p w14:paraId="053F32D7"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PI-103 (Hydrochloride)</w:t>
            </w:r>
          </w:p>
        </w:tc>
        <w:tc>
          <w:tcPr>
            <w:tcW w:w="2728" w:type="dxa"/>
            <w:noWrap/>
            <w:hideMark/>
          </w:tcPr>
          <w:p w14:paraId="648E08FE"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Apoptosis; Autophagy; DNA-PK; mTOR; PI3K</w:t>
            </w:r>
          </w:p>
        </w:tc>
        <w:tc>
          <w:tcPr>
            <w:tcW w:w="4313" w:type="dxa"/>
            <w:noWrap/>
            <w:hideMark/>
          </w:tcPr>
          <w:p w14:paraId="37FBDC87"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Apoptosis; Autophagy; Cell Cycle/DNA Damage; PI3K/Akt/mTOR</w:t>
            </w:r>
          </w:p>
        </w:tc>
      </w:tr>
      <w:tr w:rsidR="00881AC4" w:rsidRPr="00886832" w14:paraId="1C071A00" w14:textId="77777777" w:rsidTr="00881AC4">
        <w:trPr>
          <w:trHeight w:val="320"/>
          <w:jc w:val="right"/>
        </w:trPr>
        <w:tc>
          <w:tcPr>
            <w:tcW w:w="1985" w:type="dxa"/>
            <w:noWrap/>
            <w:hideMark/>
          </w:tcPr>
          <w:p w14:paraId="698A6D71"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Rociletinib hydrobromide</w:t>
            </w:r>
          </w:p>
        </w:tc>
        <w:tc>
          <w:tcPr>
            <w:tcW w:w="2728" w:type="dxa"/>
            <w:noWrap/>
            <w:hideMark/>
          </w:tcPr>
          <w:p w14:paraId="7E958A59"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EGFR</w:t>
            </w:r>
          </w:p>
        </w:tc>
        <w:tc>
          <w:tcPr>
            <w:tcW w:w="4313" w:type="dxa"/>
            <w:noWrap/>
            <w:hideMark/>
          </w:tcPr>
          <w:p w14:paraId="49E973AA"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JAK/STAT Signaling; Protein Tyrosine Kinase/RTK</w:t>
            </w:r>
          </w:p>
        </w:tc>
      </w:tr>
      <w:tr w:rsidR="00881AC4" w:rsidRPr="00886832" w14:paraId="206DD9A9" w14:textId="77777777" w:rsidTr="00881AC4">
        <w:trPr>
          <w:trHeight w:val="320"/>
          <w:jc w:val="right"/>
        </w:trPr>
        <w:tc>
          <w:tcPr>
            <w:tcW w:w="1985" w:type="dxa"/>
            <w:noWrap/>
            <w:hideMark/>
          </w:tcPr>
          <w:p w14:paraId="577D324A"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Bimiralisib</w:t>
            </w:r>
          </w:p>
        </w:tc>
        <w:tc>
          <w:tcPr>
            <w:tcW w:w="2728" w:type="dxa"/>
            <w:noWrap/>
            <w:hideMark/>
          </w:tcPr>
          <w:p w14:paraId="78FF14E0"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mTOR; PI3K</w:t>
            </w:r>
          </w:p>
        </w:tc>
        <w:tc>
          <w:tcPr>
            <w:tcW w:w="4313" w:type="dxa"/>
            <w:noWrap/>
            <w:hideMark/>
          </w:tcPr>
          <w:p w14:paraId="6CD0C6F7"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PI3K/Akt/mTOR</w:t>
            </w:r>
          </w:p>
        </w:tc>
      </w:tr>
      <w:tr w:rsidR="00881AC4" w:rsidRPr="00886832" w14:paraId="1389B878" w14:textId="77777777" w:rsidTr="00881AC4">
        <w:trPr>
          <w:trHeight w:val="320"/>
          <w:jc w:val="right"/>
        </w:trPr>
        <w:tc>
          <w:tcPr>
            <w:tcW w:w="1985" w:type="dxa"/>
            <w:noWrap/>
            <w:hideMark/>
          </w:tcPr>
          <w:p w14:paraId="3143D979"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Ulixertinib</w:t>
            </w:r>
          </w:p>
        </w:tc>
        <w:tc>
          <w:tcPr>
            <w:tcW w:w="2728" w:type="dxa"/>
            <w:noWrap/>
            <w:hideMark/>
          </w:tcPr>
          <w:p w14:paraId="12FACFD3"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ERK</w:t>
            </w:r>
          </w:p>
        </w:tc>
        <w:tc>
          <w:tcPr>
            <w:tcW w:w="4313" w:type="dxa"/>
            <w:noWrap/>
            <w:hideMark/>
          </w:tcPr>
          <w:p w14:paraId="3B039577"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MAPK/ERK Pathway; Stem Cell/Wnt</w:t>
            </w:r>
          </w:p>
        </w:tc>
      </w:tr>
      <w:tr w:rsidR="00881AC4" w:rsidRPr="00886832" w14:paraId="19E56A2A" w14:textId="77777777" w:rsidTr="00881AC4">
        <w:trPr>
          <w:trHeight w:val="320"/>
          <w:jc w:val="right"/>
        </w:trPr>
        <w:tc>
          <w:tcPr>
            <w:tcW w:w="1985" w:type="dxa"/>
            <w:noWrap/>
            <w:hideMark/>
          </w:tcPr>
          <w:p w14:paraId="25769CF3"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CSF1R-IN-2</w:t>
            </w:r>
          </w:p>
        </w:tc>
        <w:tc>
          <w:tcPr>
            <w:tcW w:w="2728" w:type="dxa"/>
            <w:noWrap/>
            <w:hideMark/>
          </w:tcPr>
          <w:p w14:paraId="526FE972"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c-Fms; c-Met/HGFR; Src</w:t>
            </w:r>
          </w:p>
        </w:tc>
        <w:tc>
          <w:tcPr>
            <w:tcW w:w="4313" w:type="dxa"/>
            <w:noWrap/>
            <w:hideMark/>
          </w:tcPr>
          <w:p w14:paraId="2A5BAC15"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Protein Tyrosine Kinase/RTK</w:t>
            </w:r>
          </w:p>
        </w:tc>
      </w:tr>
      <w:tr w:rsidR="00881AC4" w:rsidRPr="00886832" w14:paraId="09390D6F" w14:textId="77777777" w:rsidTr="00881AC4">
        <w:trPr>
          <w:trHeight w:val="320"/>
          <w:jc w:val="right"/>
        </w:trPr>
        <w:tc>
          <w:tcPr>
            <w:tcW w:w="1985" w:type="dxa"/>
            <w:noWrap/>
            <w:hideMark/>
          </w:tcPr>
          <w:p w14:paraId="11267A25"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AZD-0364</w:t>
            </w:r>
          </w:p>
        </w:tc>
        <w:tc>
          <w:tcPr>
            <w:tcW w:w="2728" w:type="dxa"/>
            <w:noWrap/>
            <w:hideMark/>
          </w:tcPr>
          <w:p w14:paraId="0C28895A"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ERK</w:t>
            </w:r>
          </w:p>
        </w:tc>
        <w:tc>
          <w:tcPr>
            <w:tcW w:w="4313" w:type="dxa"/>
            <w:noWrap/>
            <w:hideMark/>
          </w:tcPr>
          <w:p w14:paraId="0A2A061C"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MAPK/ERK Pathway; Stem Cell/Wnt</w:t>
            </w:r>
          </w:p>
        </w:tc>
      </w:tr>
      <w:tr w:rsidR="00881AC4" w:rsidRPr="00886832" w14:paraId="50750F56" w14:textId="77777777" w:rsidTr="00881AC4">
        <w:trPr>
          <w:trHeight w:val="320"/>
          <w:jc w:val="right"/>
        </w:trPr>
        <w:tc>
          <w:tcPr>
            <w:tcW w:w="1985" w:type="dxa"/>
            <w:noWrap/>
            <w:hideMark/>
          </w:tcPr>
          <w:p w14:paraId="6CC503B5"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AZD-5438</w:t>
            </w:r>
          </w:p>
        </w:tc>
        <w:tc>
          <w:tcPr>
            <w:tcW w:w="2728" w:type="dxa"/>
            <w:noWrap/>
            <w:hideMark/>
          </w:tcPr>
          <w:p w14:paraId="5D2C3349"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CDK</w:t>
            </w:r>
          </w:p>
        </w:tc>
        <w:tc>
          <w:tcPr>
            <w:tcW w:w="4313" w:type="dxa"/>
            <w:noWrap/>
            <w:hideMark/>
          </w:tcPr>
          <w:p w14:paraId="03B84D2B"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Cell Cycle/DNA Damage</w:t>
            </w:r>
          </w:p>
        </w:tc>
      </w:tr>
      <w:tr w:rsidR="00881AC4" w:rsidRPr="00886832" w14:paraId="7CE8346A" w14:textId="77777777" w:rsidTr="00881AC4">
        <w:trPr>
          <w:trHeight w:val="320"/>
          <w:jc w:val="right"/>
        </w:trPr>
        <w:tc>
          <w:tcPr>
            <w:tcW w:w="1985" w:type="dxa"/>
            <w:noWrap/>
            <w:hideMark/>
          </w:tcPr>
          <w:p w14:paraId="35DA303B"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PD173074</w:t>
            </w:r>
          </w:p>
        </w:tc>
        <w:tc>
          <w:tcPr>
            <w:tcW w:w="2728" w:type="dxa"/>
            <w:noWrap/>
            <w:hideMark/>
          </w:tcPr>
          <w:p w14:paraId="0E79270C"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Apoptosis; FGFR; VEGFR</w:t>
            </w:r>
          </w:p>
        </w:tc>
        <w:tc>
          <w:tcPr>
            <w:tcW w:w="4313" w:type="dxa"/>
            <w:noWrap/>
            <w:hideMark/>
          </w:tcPr>
          <w:p w14:paraId="58DBA224"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Apoptosis; Protein Tyrosine Kinase/RTK</w:t>
            </w:r>
          </w:p>
        </w:tc>
      </w:tr>
      <w:tr w:rsidR="00881AC4" w:rsidRPr="00886832" w14:paraId="05953DBD" w14:textId="77777777" w:rsidTr="00881AC4">
        <w:trPr>
          <w:trHeight w:val="320"/>
          <w:jc w:val="right"/>
        </w:trPr>
        <w:tc>
          <w:tcPr>
            <w:tcW w:w="1985" w:type="dxa"/>
            <w:noWrap/>
            <w:hideMark/>
          </w:tcPr>
          <w:p w14:paraId="732FB194"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RO4987655</w:t>
            </w:r>
          </w:p>
        </w:tc>
        <w:tc>
          <w:tcPr>
            <w:tcW w:w="2728" w:type="dxa"/>
            <w:noWrap/>
            <w:hideMark/>
          </w:tcPr>
          <w:p w14:paraId="07BC6A56"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MEK</w:t>
            </w:r>
          </w:p>
        </w:tc>
        <w:tc>
          <w:tcPr>
            <w:tcW w:w="4313" w:type="dxa"/>
            <w:noWrap/>
            <w:hideMark/>
          </w:tcPr>
          <w:p w14:paraId="62482A8D"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MAPK/ERK Pathway</w:t>
            </w:r>
          </w:p>
        </w:tc>
      </w:tr>
      <w:tr w:rsidR="00881AC4" w:rsidRPr="00886832" w14:paraId="20642B15" w14:textId="77777777" w:rsidTr="00881AC4">
        <w:trPr>
          <w:trHeight w:val="320"/>
          <w:jc w:val="right"/>
        </w:trPr>
        <w:tc>
          <w:tcPr>
            <w:tcW w:w="1985" w:type="dxa"/>
            <w:noWrap/>
            <w:hideMark/>
          </w:tcPr>
          <w:p w14:paraId="496E3F52"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Canertinib</w:t>
            </w:r>
          </w:p>
        </w:tc>
        <w:tc>
          <w:tcPr>
            <w:tcW w:w="2728" w:type="dxa"/>
            <w:noWrap/>
            <w:hideMark/>
          </w:tcPr>
          <w:p w14:paraId="25800774"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EGFR</w:t>
            </w:r>
          </w:p>
        </w:tc>
        <w:tc>
          <w:tcPr>
            <w:tcW w:w="4313" w:type="dxa"/>
            <w:noWrap/>
            <w:hideMark/>
          </w:tcPr>
          <w:p w14:paraId="3BAABEBD"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JAK/STAT Signaling; Protein Tyrosine Kinase/RTK</w:t>
            </w:r>
          </w:p>
        </w:tc>
      </w:tr>
      <w:tr w:rsidR="00881AC4" w:rsidRPr="00886832" w14:paraId="623FBFAA" w14:textId="77777777" w:rsidTr="00881AC4">
        <w:trPr>
          <w:trHeight w:val="320"/>
          <w:jc w:val="right"/>
        </w:trPr>
        <w:tc>
          <w:tcPr>
            <w:tcW w:w="1985" w:type="dxa"/>
            <w:noWrap/>
            <w:hideMark/>
          </w:tcPr>
          <w:p w14:paraId="3DD596FA"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TP-3654</w:t>
            </w:r>
          </w:p>
        </w:tc>
        <w:tc>
          <w:tcPr>
            <w:tcW w:w="2728" w:type="dxa"/>
            <w:noWrap/>
            <w:hideMark/>
          </w:tcPr>
          <w:p w14:paraId="460DC033"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Pim</w:t>
            </w:r>
          </w:p>
        </w:tc>
        <w:tc>
          <w:tcPr>
            <w:tcW w:w="4313" w:type="dxa"/>
            <w:noWrap/>
            <w:hideMark/>
          </w:tcPr>
          <w:p w14:paraId="18933407"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JAK/STAT Signaling</w:t>
            </w:r>
          </w:p>
        </w:tc>
      </w:tr>
      <w:tr w:rsidR="00881AC4" w:rsidRPr="00886832" w14:paraId="7A3DA8F0" w14:textId="77777777" w:rsidTr="00881AC4">
        <w:trPr>
          <w:trHeight w:val="320"/>
          <w:jc w:val="right"/>
        </w:trPr>
        <w:tc>
          <w:tcPr>
            <w:tcW w:w="1985" w:type="dxa"/>
            <w:noWrap/>
            <w:hideMark/>
          </w:tcPr>
          <w:p w14:paraId="42A8D5C4"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UC-514321</w:t>
            </w:r>
          </w:p>
        </w:tc>
        <w:tc>
          <w:tcPr>
            <w:tcW w:w="2728" w:type="dxa"/>
            <w:noWrap/>
            <w:hideMark/>
          </w:tcPr>
          <w:p w14:paraId="621DA774"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Apoptosis; STAT</w:t>
            </w:r>
          </w:p>
        </w:tc>
        <w:tc>
          <w:tcPr>
            <w:tcW w:w="4313" w:type="dxa"/>
            <w:noWrap/>
            <w:hideMark/>
          </w:tcPr>
          <w:p w14:paraId="26ADF285"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Apoptosis; JAK/STAT Signaling; Stem Cell/Wnt</w:t>
            </w:r>
          </w:p>
        </w:tc>
      </w:tr>
      <w:tr w:rsidR="00881AC4" w:rsidRPr="00886832" w14:paraId="175FC8DC" w14:textId="77777777" w:rsidTr="00881AC4">
        <w:trPr>
          <w:trHeight w:val="320"/>
          <w:jc w:val="right"/>
        </w:trPr>
        <w:tc>
          <w:tcPr>
            <w:tcW w:w="1985" w:type="dxa"/>
            <w:noWrap/>
            <w:hideMark/>
          </w:tcPr>
          <w:p w14:paraId="2A86EA1D"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ETP-46464</w:t>
            </w:r>
          </w:p>
        </w:tc>
        <w:tc>
          <w:tcPr>
            <w:tcW w:w="2728" w:type="dxa"/>
            <w:noWrap/>
            <w:hideMark/>
          </w:tcPr>
          <w:p w14:paraId="14D015CE"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ATM/ATR; mTOR</w:t>
            </w:r>
          </w:p>
        </w:tc>
        <w:tc>
          <w:tcPr>
            <w:tcW w:w="4313" w:type="dxa"/>
            <w:noWrap/>
            <w:hideMark/>
          </w:tcPr>
          <w:p w14:paraId="0DE14D51"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Cell Cycle/DNA Damage; PI3K/Akt/mTOR</w:t>
            </w:r>
          </w:p>
        </w:tc>
      </w:tr>
      <w:tr w:rsidR="00881AC4" w:rsidRPr="00886832" w14:paraId="6B83E69A" w14:textId="77777777" w:rsidTr="00881AC4">
        <w:trPr>
          <w:trHeight w:val="320"/>
          <w:jc w:val="right"/>
        </w:trPr>
        <w:tc>
          <w:tcPr>
            <w:tcW w:w="1985" w:type="dxa"/>
            <w:noWrap/>
            <w:hideMark/>
          </w:tcPr>
          <w:p w14:paraId="50A96EBF"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TWS119</w:t>
            </w:r>
          </w:p>
        </w:tc>
        <w:tc>
          <w:tcPr>
            <w:tcW w:w="2728" w:type="dxa"/>
            <w:noWrap/>
            <w:hideMark/>
          </w:tcPr>
          <w:p w14:paraId="0F0A7287"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Autophagy; GSK-3</w:t>
            </w:r>
          </w:p>
        </w:tc>
        <w:tc>
          <w:tcPr>
            <w:tcW w:w="4313" w:type="dxa"/>
            <w:noWrap/>
            <w:hideMark/>
          </w:tcPr>
          <w:p w14:paraId="1ED8500E"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Autophagy; PI3K/Akt/mTOR; Stem Cell/Wnt</w:t>
            </w:r>
          </w:p>
        </w:tc>
      </w:tr>
      <w:tr w:rsidR="00881AC4" w:rsidRPr="00886832" w14:paraId="46EA0BB5" w14:textId="77777777" w:rsidTr="00881AC4">
        <w:trPr>
          <w:trHeight w:val="320"/>
          <w:jc w:val="right"/>
        </w:trPr>
        <w:tc>
          <w:tcPr>
            <w:tcW w:w="1985" w:type="dxa"/>
            <w:noWrap/>
            <w:hideMark/>
          </w:tcPr>
          <w:p w14:paraId="3E3280A8"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Leniolisib</w:t>
            </w:r>
          </w:p>
        </w:tc>
        <w:tc>
          <w:tcPr>
            <w:tcW w:w="2728" w:type="dxa"/>
            <w:noWrap/>
            <w:hideMark/>
          </w:tcPr>
          <w:p w14:paraId="327E7749"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PI3K</w:t>
            </w:r>
          </w:p>
        </w:tc>
        <w:tc>
          <w:tcPr>
            <w:tcW w:w="4313" w:type="dxa"/>
            <w:noWrap/>
            <w:hideMark/>
          </w:tcPr>
          <w:p w14:paraId="38B30596"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PI3K/Akt/mTOR</w:t>
            </w:r>
          </w:p>
        </w:tc>
      </w:tr>
      <w:tr w:rsidR="00881AC4" w:rsidRPr="00886832" w14:paraId="2CC243E6" w14:textId="77777777" w:rsidTr="00881AC4">
        <w:trPr>
          <w:trHeight w:val="320"/>
          <w:jc w:val="right"/>
        </w:trPr>
        <w:tc>
          <w:tcPr>
            <w:tcW w:w="1985" w:type="dxa"/>
            <w:noWrap/>
            <w:hideMark/>
          </w:tcPr>
          <w:p w14:paraId="1BCFEBC8"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GSK2110183 analog 1 (hydrochloride)</w:t>
            </w:r>
          </w:p>
        </w:tc>
        <w:tc>
          <w:tcPr>
            <w:tcW w:w="2728" w:type="dxa"/>
            <w:noWrap/>
            <w:hideMark/>
          </w:tcPr>
          <w:p w14:paraId="12952702"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Akt</w:t>
            </w:r>
          </w:p>
        </w:tc>
        <w:tc>
          <w:tcPr>
            <w:tcW w:w="4313" w:type="dxa"/>
            <w:noWrap/>
            <w:hideMark/>
          </w:tcPr>
          <w:p w14:paraId="7F0638E9" w14:textId="77777777" w:rsidR="00881AC4" w:rsidRPr="00886832" w:rsidRDefault="00881AC4" w:rsidP="0016311E">
            <w:pPr>
              <w:rPr>
                <w:rFonts w:ascii="Times New Roman" w:eastAsia="Times New Roman" w:hAnsi="Times New Roman"/>
                <w:sz w:val="18"/>
                <w:szCs w:val="18"/>
              </w:rPr>
            </w:pPr>
            <w:r w:rsidRPr="00886832">
              <w:rPr>
                <w:rFonts w:ascii="Times New Roman" w:eastAsia="Times New Roman" w:hAnsi="Times New Roman"/>
                <w:sz w:val="18"/>
                <w:szCs w:val="18"/>
              </w:rPr>
              <w:t>PI3K/Akt/mTOR</w:t>
            </w:r>
          </w:p>
        </w:tc>
      </w:tr>
    </w:tbl>
    <w:p w14:paraId="627B257E" w14:textId="77777777" w:rsidR="005B54A9" w:rsidRPr="00886832" w:rsidRDefault="005B54A9" w:rsidP="005B54A9">
      <w:pPr>
        <w:adjustRightInd w:val="0"/>
        <w:snapToGrid w:val="0"/>
        <w:spacing w:after="60" w:line="228" w:lineRule="auto"/>
        <w:jc w:val="left"/>
        <w:outlineLvl w:val="1"/>
        <w:rPr>
          <w:rFonts w:ascii="Times New Roman" w:hAnsi="Times New Roman"/>
        </w:rPr>
      </w:pPr>
    </w:p>
    <w:p w14:paraId="7D317BEA" w14:textId="6FB932A7" w:rsidR="005B54A9" w:rsidRPr="00886832" w:rsidRDefault="005B54A9" w:rsidP="00886832">
      <w:pPr>
        <w:pStyle w:val="MDPI51figurecaption"/>
        <w:ind w:left="0"/>
        <w:rPr>
          <w:rFonts w:ascii="Times New Roman" w:hAnsi="Times New Roman"/>
          <w:bCs/>
        </w:rPr>
      </w:pPr>
      <w:r w:rsidRPr="00886832">
        <w:rPr>
          <w:rFonts w:ascii="Times New Roman" w:hAnsi="Times New Roman"/>
          <w:b/>
          <w:lang w:eastAsia="zh-CN"/>
        </w:rPr>
        <w:lastRenderedPageBreak/>
        <w:t xml:space="preserve">Supplementary </w:t>
      </w:r>
      <w:r w:rsidRPr="00886832">
        <w:rPr>
          <w:rFonts w:ascii="Times New Roman" w:hAnsi="Times New Roman"/>
          <w:b/>
        </w:rPr>
        <w:t xml:space="preserve">table 2. </w:t>
      </w:r>
      <w:r w:rsidR="00754CBC" w:rsidRPr="00886832">
        <w:rPr>
          <w:rFonts w:ascii="Times New Roman" w:hAnsi="Times New Roman"/>
          <w:bCs/>
        </w:rPr>
        <w:t>Q-PCR primers used in this study</w:t>
      </w:r>
    </w:p>
    <w:tbl>
      <w:tblPr>
        <w:tblW w:w="8095" w:type="dxa"/>
        <w:jc w:val="right"/>
        <w:tblLook w:val="04A0" w:firstRow="1" w:lastRow="0" w:firstColumn="1" w:lastColumn="0" w:noHBand="0" w:noVBand="1"/>
      </w:tblPr>
      <w:tblGrid>
        <w:gridCol w:w="1433"/>
        <w:gridCol w:w="3402"/>
        <w:gridCol w:w="3260"/>
      </w:tblGrid>
      <w:tr w:rsidR="00754CBC" w:rsidRPr="00886832" w14:paraId="56BAAFC4" w14:textId="77777777" w:rsidTr="00754CBC">
        <w:trPr>
          <w:trHeight w:val="288"/>
          <w:jc w:val="right"/>
        </w:trPr>
        <w:tc>
          <w:tcPr>
            <w:tcW w:w="1433" w:type="dxa"/>
            <w:tcBorders>
              <w:top w:val="single" w:sz="12" w:space="0" w:color="auto"/>
              <w:left w:val="nil"/>
              <w:bottom w:val="single" w:sz="8" w:space="0" w:color="auto"/>
              <w:right w:val="nil"/>
            </w:tcBorders>
            <w:shd w:val="clear" w:color="auto" w:fill="auto"/>
            <w:noWrap/>
            <w:vAlign w:val="center"/>
            <w:hideMark/>
          </w:tcPr>
          <w:p w14:paraId="7E652414" w14:textId="77777777" w:rsidR="00754CBC" w:rsidRPr="00886832" w:rsidRDefault="00754CBC" w:rsidP="00BD1952">
            <w:pPr>
              <w:jc w:val="center"/>
              <w:rPr>
                <w:rFonts w:ascii="Times New Roman" w:hAnsi="Times New Roman"/>
                <w:b/>
                <w:bCs/>
                <w:sz w:val="18"/>
                <w:szCs w:val="18"/>
              </w:rPr>
            </w:pPr>
            <w:bookmarkStart w:id="7" w:name="OLE_LINK5"/>
            <w:bookmarkStart w:id="8" w:name="OLE_LINK6"/>
            <w:r w:rsidRPr="00886832">
              <w:rPr>
                <w:rFonts w:ascii="Times New Roman" w:hAnsi="Times New Roman"/>
                <w:b/>
                <w:bCs/>
                <w:sz w:val="18"/>
                <w:szCs w:val="18"/>
              </w:rPr>
              <w:t>Gene symbol</w:t>
            </w:r>
          </w:p>
        </w:tc>
        <w:tc>
          <w:tcPr>
            <w:tcW w:w="3402" w:type="dxa"/>
            <w:tcBorders>
              <w:top w:val="single" w:sz="12" w:space="0" w:color="auto"/>
              <w:left w:val="nil"/>
              <w:bottom w:val="single" w:sz="8" w:space="0" w:color="auto"/>
              <w:right w:val="nil"/>
            </w:tcBorders>
            <w:shd w:val="clear" w:color="auto" w:fill="auto"/>
            <w:noWrap/>
            <w:vAlign w:val="center"/>
            <w:hideMark/>
          </w:tcPr>
          <w:p w14:paraId="092601CA" w14:textId="77777777" w:rsidR="00754CBC" w:rsidRPr="00886832" w:rsidRDefault="00754CBC" w:rsidP="00BD1952">
            <w:pPr>
              <w:jc w:val="center"/>
              <w:rPr>
                <w:rFonts w:ascii="Times New Roman" w:hAnsi="Times New Roman"/>
                <w:b/>
                <w:bCs/>
                <w:sz w:val="18"/>
                <w:szCs w:val="18"/>
              </w:rPr>
            </w:pPr>
            <w:r w:rsidRPr="00886832">
              <w:rPr>
                <w:rFonts w:ascii="Times New Roman" w:hAnsi="Times New Roman"/>
                <w:b/>
                <w:bCs/>
                <w:sz w:val="18"/>
                <w:szCs w:val="18"/>
              </w:rPr>
              <w:t>Forward sequence (5’-3’)</w:t>
            </w:r>
          </w:p>
        </w:tc>
        <w:tc>
          <w:tcPr>
            <w:tcW w:w="3260" w:type="dxa"/>
            <w:tcBorders>
              <w:top w:val="single" w:sz="12" w:space="0" w:color="auto"/>
              <w:left w:val="nil"/>
              <w:bottom w:val="single" w:sz="8" w:space="0" w:color="auto"/>
              <w:right w:val="nil"/>
            </w:tcBorders>
            <w:shd w:val="clear" w:color="auto" w:fill="auto"/>
            <w:noWrap/>
            <w:vAlign w:val="center"/>
            <w:hideMark/>
          </w:tcPr>
          <w:p w14:paraId="121F52DD" w14:textId="77777777" w:rsidR="00754CBC" w:rsidRPr="00886832" w:rsidRDefault="00754CBC" w:rsidP="00BD1952">
            <w:pPr>
              <w:jc w:val="center"/>
              <w:rPr>
                <w:rFonts w:ascii="Times New Roman" w:hAnsi="Times New Roman"/>
                <w:b/>
                <w:bCs/>
                <w:sz w:val="18"/>
                <w:szCs w:val="18"/>
              </w:rPr>
            </w:pPr>
            <w:r w:rsidRPr="00886832">
              <w:rPr>
                <w:rFonts w:ascii="Times New Roman" w:hAnsi="Times New Roman"/>
                <w:b/>
                <w:bCs/>
                <w:sz w:val="18"/>
                <w:szCs w:val="18"/>
              </w:rPr>
              <w:t>Reverse sequence (5’-3’)</w:t>
            </w:r>
          </w:p>
        </w:tc>
      </w:tr>
      <w:tr w:rsidR="00754CBC" w:rsidRPr="00886832" w14:paraId="0EF98D6C" w14:textId="77777777" w:rsidTr="00754CBC">
        <w:trPr>
          <w:trHeight w:val="288"/>
          <w:jc w:val="right"/>
        </w:trPr>
        <w:tc>
          <w:tcPr>
            <w:tcW w:w="1433" w:type="dxa"/>
            <w:tcBorders>
              <w:top w:val="single" w:sz="8" w:space="0" w:color="auto"/>
              <w:left w:val="nil"/>
              <w:bottom w:val="nil"/>
              <w:right w:val="nil"/>
            </w:tcBorders>
            <w:shd w:val="clear" w:color="auto" w:fill="auto"/>
            <w:noWrap/>
            <w:vAlign w:val="center"/>
            <w:hideMark/>
          </w:tcPr>
          <w:p w14:paraId="52F5D6FB" w14:textId="77777777" w:rsidR="00754CBC" w:rsidRPr="00886832" w:rsidRDefault="00754CBC" w:rsidP="00BD1952">
            <w:pPr>
              <w:jc w:val="center"/>
              <w:rPr>
                <w:rFonts w:ascii="Times New Roman" w:hAnsi="Times New Roman"/>
                <w:i/>
                <w:sz w:val="18"/>
                <w:szCs w:val="18"/>
              </w:rPr>
            </w:pPr>
            <w:r w:rsidRPr="00886832">
              <w:rPr>
                <w:rFonts w:ascii="Times New Roman" w:hAnsi="Times New Roman"/>
                <w:i/>
                <w:sz w:val="18"/>
                <w:szCs w:val="18"/>
              </w:rPr>
              <w:t>18S</w:t>
            </w:r>
          </w:p>
        </w:tc>
        <w:tc>
          <w:tcPr>
            <w:tcW w:w="3402" w:type="dxa"/>
            <w:tcBorders>
              <w:top w:val="single" w:sz="8" w:space="0" w:color="auto"/>
              <w:left w:val="nil"/>
              <w:bottom w:val="nil"/>
              <w:right w:val="nil"/>
            </w:tcBorders>
            <w:shd w:val="clear" w:color="auto" w:fill="auto"/>
            <w:noWrap/>
            <w:vAlign w:val="center"/>
            <w:hideMark/>
          </w:tcPr>
          <w:p w14:paraId="3C4540C9" w14:textId="77777777" w:rsidR="00754CBC" w:rsidRPr="00886832" w:rsidRDefault="00754CBC" w:rsidP="00BD1952">
            <w:pPr>
              <w:jc w:val="center"/>
              <w:rPr>
                <w:rFonts w:ascii="Times New Roman" w:hAnsi="Times New Roman"/>
                <w:sz w:val="18"/>
                <w:szCs w:val="18"/>
              </w:rPr>
            </w:pPr>
            <w:r w:rsidRPr="00886832">
              <w:rPr>
                <w:rFonts w:ascii="Times New Roman" w:hAnsi="Times New Roman"/>
                <w:sz w:val="18"/>
                <w:szCs w:val="18"/>
              </w:rPr>
              <w:t>TGCGAGTACTCAACACCAACA</w:t>
            </w:r>
          </w:p>
        </w:tc>
        <w:tc>
          <w:tcPr>
            <w:tcW w:w="3260" w:type="dxa"/>
            <w:tcBorders>
              <w:top w:val="single" w:sz="8" w:space="0" w:color="auto"/>
              <w:left w:val="nil"/>
              <w:bottom w:val="nil"/>
              <w:right w:val="nil"/>
            </w:tcBorders>
            <w:shd w:val="clear" w:color="auto" w:fill="auto"/>
            <w:noWrap/>
            <w:vAlign w:val="center"/>
            <w:hideMark/>
          </w:tcPr>
          <w:p w14:paraId="47D3448C" w14:textId="77777777" w:rsidR="00754CBC" w:rsidRPr="00886832" w:rsidRDefault="00754CBC" w:rsidP="00BD1952">
            <w:pPr>
              <w:jc w:val="center"/>
              <w:rPr>
                <w:rFonts w:ascii="Times New Roman" w:hAnsi="Times New Roman"/>
                <w:sz w:val="18"/>
                <w:szCs w:val="18"/>
              </w:rPr>
            </w:pPr>
            <w:r w:rsidRPr="00886832">
              <w:rPr>
                <w:rFonts w:ascii="Times New Roman" w:hAnsi="Times New Roman"/>
                <w:sz w:val="18"/>
                <w:szCs w:val="18"/>
              </w:rPr>
              <w:t>GCATATCTTCGGCCCACA</w:t>
            </w:r>
          </w:p>
        </w:tc>
      </w:tr>
      <w:tr w:rsidR="00754CBC" w:rsidRPr="00886832" w14:paraId="1981EE29" w14:textId="77777777" w:rsidTr="00754CBC">
        <w:trPr>
          <w:trHeight w:val="288"/>
          <w:jc w:val="right"/>
        </w:trPr>
        <w:tc>
          <w:tcPr>
            <w:tcW w:w="1433" w:type="dxa"/>
            <w:tcBorders>
              <w:top w:val="nil"/>
              <w:left w:val="nil"/>
              <w:bottom w:val="nil"/>
              <w:right w:val="nil"/>
            </w:tcBorders>
            <w:shd w:val="clear" w:color="auto" w:fill="auto"/>
            <w:noWrap/>
            <w:vAlign w:val="center"/>
            <w:hideMark/>
          </w:tcPr>
          <w:p w14:paraId="16B3248E" w14:textId="5F14AFBE" w:rsidR="00754CBC" w:rsidRPr="00886832" w:rsidRDefault="00754CBC" w:rsidP="00BD1952">
            <w:pPr>
              <w:jc w:val="center"/>
              <w:rPr>
                <w:rFonts w:ascii="Times New Roman" w:hAnsi="Times New Roman"/>
                <w:i/>
                <w:sz w:val="18"/>
                <w:szCs w:val="18"/>
              </w:rPr>
            </w:pPr>
            <w:r w:rsidRPr="00886832">
              <w:rPr>
                <w:rFonts w:ascii="Times New Roman" w:hAnsi="Times New Roman"/>
                <w:i/>
                <w:sz w:val="18"/>
                <w:szCs w:val="18"/>
              </w:rPr>
              <w:t>P53</w:t>
            </w:r>
          </w:p>
        </w:tc>
        <w:tc>
          <w:tcPr>
            <w:tcW w:w="3402" w:type="dxa"/>
            <w:tcBorders>
              <w:top w:val="nil"/>
              <w:left w:val="nil"/>
              <w:bottom w:val="nil"/>
              <w:right w:val="nil"/>
            </w:tcBorders>
            <w:shd w:val="clear" w:color="auto" w:fill="auto"/>
            <w:noWrap/>
            <w:vAlign w:val="center"/>
            <w:hideMark/>
          </w:tcPr>
          <w:p w14:paraId="718E1787" w14:textId="19D57D1A" w:rsidR="00754CBC" w:rsidRPr="00886832" w:rsidRDefault="00754CBC" w:rsidP="00754CBC">
            <w:pPr>
              <w:jc w:val="center"/>
              <w:rPr>
                <w:rFonts w:ascii="Times New Roman" w:hAnsi="Times New Roman"/>
                <w:sz w:val="18"/>
                <w:szCs w:val="18"/>
              </w:rPr>
            </w:pPr>
            <w:r w:rsidRPr="00886832">
              <w:rPr>
                <w:rFonts w:ascii="Times New Roman" w:hAnsi="Times New Roman"/>
                <w:sz w:val="18"/>
                <w:szCs w:val="18"/>
              </w:rPr>
              <w:t>CCTCAGCATCTTATCCGAGTGG</w:t>
            </w:r>
          </w:p>
        </w:tc>
        <w:tc>
          <w:tcPr>
            <w:tcW w:w="3260" w:type="dxa"/>
            <w:tcBorders>
              <w:top w:val="nil"/>
              <w:left w:val="nil"/>
              <w:bottom w:val="nil"/>
              <w:right w:val="nil"/>
            </w:tcBorders>
            <w:shd w:val="clear" w:color="auto" w:fill="auto"/>
            <w:noWrap/>
            <w:vAlign w:val="center"/>
            <w:hideMark/>
          </w:tcPr>
          <w:p w14:paraId="73297BDE" w14:textId="1D4065E2" w:rsidR="00754CBC" w:rsidRPr="00886832" w:rsidRDefault="00754CBC" w:rsidP="00754CBC">
            <w:pPr>
              <w:jc w:val="center"/>
              <w:rPr>
                <w:rFonts w:ascii="Times New Roman" w:hAnsi="Times New Roman"/>
                <w:sz w:val="18"/>
                <w:szCs w:val="18"/>
              </w:rPr>
            </w:pPr>
            <w:r w:rsidRPr="00886832">
              <w:rPr>
                <w:rFonts w:ascii="Times New Roman" w:hAnsi="Times New Roman"/>
                <w:sz w:val="18"/>
                <w:szCs w:val="18"/>
              </w:rPr>
              <w:t>TGGATGGTGGTACAGTCAGAGC</w:t>
            </w:r>
          </w:p>
        </w:tc>
      </w:tr>
      <w:tr w:rsidR="00754CBC" w:rsidRPr="00886832" w14:paraId="205579D6" w14:textId="77777777" w:rsidTr="00754CBC">
        <w:trPr>
          <w:trHeight w:val="288"/>
          <w:jc w:val="right"/>
        </w:trPr>
        <w:tc>
          <w:tcPr>
            <w:tcW w:w="1433" w:type="dxa"/>
            <w:tcBorders>
              <w:top w:val="nil"/>
              <w:left w:val="nil"/>
              <w:bottom w:val="nil"/>
              <w:right w:val="nil"/>
            </w:tcBorders>
            <w:shd w:val="clear" w:color="auto" w:fill="auto"/>
            <w:noWrap/>
            <w:vAlign w:val="center"/>
            <w:hideMark/>
          </w:tcPr>
          <w:p w14:paraId="289A4DC6" w14:textId="6F525AB8" w:rsidR="00754CBC" w:rsidRPr="00886832" w:rsidRDefault="00754CBC" w:rsidP="00BD1952">
            <w:pPr>
              <w:jc w:val="center"/>
              <w:rPr>
                <w:rFonts w:ascii="Times New Roman" w:hAnsi="Times New Roman"/>
                <w:i/>
                <w:sz w:val="18"/>
                <w:szCs w:val="18"/>
              </w:rPr>
            </w:pPr>
            <w:r w:rsidRPr="00886832">
              <w:rPr>
                <w:rFonts w:ascii="Times New Roman" w:hAnsi="Times New Roman"/>
                <w:i/>
                <w:sz w:val="18"/>
                <w:szCs w:val="18"/>
              </w:rPr>
              <w:t>BAI1</w:t>
            </w:r>
          </w:p>
        </w:tc>
        <w:tc>
          <w:tcPr>
            <w:tcW w:w="3402" w:type="dxa"/>
            <w:tcBorders>
              <w:top w:val="nil"/>
              <w:left w:val="nil"/>
              <w:bottom w:val="nil"/>
              <w:right w:val="nil"/>
            </w:tcBorders>
            <w:shd w:val="clear" w:color="auto" w:fill="auto"/>
            <w:noWrap/>
            <w:vAlign w:val="center"/>
            <w:hideMark/>
          </w:tcPr>
          <w:p w14:paraId="42A66538" w14:textId="1D441C18" w:rsidR="00754CBC" w:rsidRPr="00886832" w:rsidRDefault="00754CBC" w:rsidP="00BD1952">
            <w:pPr>
              <w:jc w:val="center"/>
              <w:rPr>
                <w:rFonts w:ascii="Times New Roman" w:hAnsi="Times New Roman"/>
                <w:sz w:val="18"/>
                <w:szCs w:val="18"/>
              </w:rPr>
            </w:pPr>
            <w:r w:rsidRPr="00886832">
              <w:rPr>
                <w:rFonts w:ascii="Times New Roman" w:hAnsi="Times New Roman"/>
                <w:sz w:val="18"/>
                <w:szCs w:val="18"/>
              </w:rPr>
              <w:t>ACAACCTGGTTCTCAGCATCC</w:t>
            </w:r>
          </w:p>
        </w:tc>
        <w:tc>
          <w:tcPr>
            <w:tcW w:w="3260" w:type="dxa"/>
            <w:tcBorders>
              <w:top w:val="nil"/>
              <w:left w:val="nil"/>
              <w:bottom w:val="nil"/>
              <w:right w:val="nil"/>
            </w:tcBorders>
            <w:shd w:val="clear" w:color="auto" w:fill="auto"/>
            <w:noWrap/>
            <w:vAlign w:val="center"/>
            <w:hideMark/>
          </w:tcPr>
          <w:p w14:paraId="0485E958" w14:textId="499EF84A" w:rsidR="00754CBC" w:rsidRPr="00886832" w:rsidRDefault="00754CBC" w:rsidP="00BD1952">
            <w:pPr>
              <w:jc w:val="center"/>
              <w:rPr>
                <w:rFonts w:ascii="Times New Roman" w:hAnsi="Times New Roman"/>
                <w:sz w:val="18"/>
                <w:szCs w:val="18"/>
              </w:rPr>
            </w:pPr>
            <w:r w:rsidRPr="00886832">
              <w:rPr>
                <w:rFonts w:ascii="Times New Roman" w:hAnsi="Times New Roman"/>
                <w:sz w:val="18"/>
                <w:szCs w:val="18"/>
              </w:rPr>
              <w:t>GGACGGTCGTGTTCCTCTG</w:t>
            </w:r>
          </w:p>
        </w:tc>
      </w:tr>
      <w:tr w:rsidR="00754CBC" w:rsidRPr="00886832" w14:paraId="5ACA84D0" w14:textId="77777777" w:rsidTr="00754CBC">
        <w:trPr>
          <w:trHeight w:val="288"/>
          <w:jc w:val="right"/>
        </w:trPr>
        <w:tc>
          <w:tcPr>
            <w:tcW w:w="1433" w:type="dxa"/>
            <w:tcBorders>
              <w:top w:val="nil"/>
              <w:left w:val="nil"/>
              <w:bottom w:val="nil"/>
              <w:right w:val="nil"/>
            </w:tcBorders>
            <w:shd w:val="clear" w:color="auto" w:fill="auto"/>
            <w:noWrap/>
            <w:vAlign w:val="center"/>
            <w:hideMark/>
          </w:tcPr>
          <w:p w14:paraId="0A2FC84F" w14:textId="612922B5" w:rsidR="00754CBC" w:rsidRPr="00886832" w:rsidRDefault="00754CBC" w:rsidP="00BD1952">
            <w:pPr>
              <w:jc w:val="center"/>
              <w:rPr>
                <w:rFonts w:ascii="Times New Roman" w:hAnsi="Times New Roman"/>
                <w:i/>
                <w:sz w:val="18"/>
                <w:szCs w:val="18"/>
              </w:rPr>
            </w:pPr>
            <w:r w:rsidRPr="00886832">
              <w:rPr>
                <w:rFonts w:ascii="Times New Roman" w:hAnsi="Times New Roman"/>
                <w:i/>
                <w:sz w:val="18"/>
                <w:szCs w:val="18"/>
              </w:rPr>
              <w:t>P21</w:t>
            </w:r>
          </w:p>
        </w:tc>
        <w:tc>
          <w:tcPr>
            <w:tcW w:w="3402" w:type="dxa"/>
            <w:tcBorders>
              <w:top w:val="nil"/>
              <w:left w:val="nil"/>
              <w:bottom w:val="nil"/>
              <w:right w:val="nil"/>
            </w:tcBorders>
            <w:shd w:val="clear" w:color="auto" w:fill="auto"/>
            <w:noWrap/>
            <w:vAlign w:val="center"/>
            <w:hideMark/>
          </w:tcPr>
          <w:p w14:paraId="66242FB3" w14:textId="382D6156" w:rsidR="00754CBC" w:rsidRPr="00886832" w:rsidRDefault="00754CBC" w:rsidP="00BD1952">
            <w:pPr>
              <w:jc w:val="center"/>
              <w:rPr>
                <w:rFonts w:ascii="Times New Roman" w:hAnsi="Times New Roman"/>
                <w:sz w:val="18"/>
                <w:szCs w:val="18"/>
              </w:rPr>
            </w:pPr>
            <w:r w:rsidRPr="00886832">
              <w:rPr>
                <w:rFonts w:ascii="Times New Roman" w:hAnsi="Times New Roman"/>
                <w:sz w:val="18"/>
                <w:szCs w:val="18"/>
              </w:rPr>
              <w:t>CGATGGAACTTCGACTTTGTCA</w:t>
            </w:r>
          </w:p>
        </w:tc>
        <w:tc>
          <w:tcPr>
            <w:tcW w:w="3260" w:type="dxa"/>
            <w:tcBorders>
              <w:top w:val="nil"/>
              <w:left w:val="nil"/>
              <w:bottom w:val="nil"/>
              <w:right w:val="nil"/>
            </w:tcBorders>
            <w:shd w:val="clear" w:color="auto" w:fill="auto"/>
            <w:noWrap/>
            <w:vAlign w:val="center"/>
            <w:hideMark/>
          </w:tcPr>
          <w:p w14:paraId="1546DE4A" w14:textId="1628F213" w:rsidR="00754CBC" w:rsidRPr="00886832" w:rsidRDefault="00754CBC" w:rsidP="00BD1952">
            <w:pPr>
              <w:jc w:val="center"/>
              <w:rPr>
                <w:rFonts w:ascii="Times New Roman" w:hAnsi="Times New Roman"/>
                <w:sz w:val="18"/>
                <w:szCs w:val="18"/>
              </w:rPr>
            </w:pPr>
            <w:r w:rsidRPr="00886832">
              <w:rPr>
                <w:rFonts w:ascii="Times New Roman" w:hAnsi="Times New Roman"/>
                <w:sz w:val="18"/>
                <w:szCs w:val="18"/>
              </w:rPr>
              <w:t>GCACAAGGGTACAAGACAGTG</w:t>
            </w:r>
          </w:p>
        </w:tc>
      </w:tr>
      <w:tr w:rsidR="00754CBC" w:rsidRPr="00886832" w14:paraId="22668D48" w14:textId="77777777" w:rsidTr="00754CBC">
        <w:trPr>
          <w:trHeight w:val="288"/>
          <w:jc w:val="right"/>
        </w:trPr>
        <w:tc>
          <w:tcPr>
            <w:tcW w:w="1433" w:type="dxa"/>
            <w:tcBorders>
              <w:top w:val="nil"/>
              <w:left w:val="nil"/>
              <w:bottom w:val="single" w:sz="12" w:space="0" w:color="auto"/>
              <w:right w:val="nil"/>
            </w:tcBorders>
            <w:shd w:val="clear" w:color="auto" w:fill="auto"/>
            <w:noWrap/>
            <w:vAlign w:val="center"/>
            <w:hideMark/>
          </w:tcPr>
          <w:p w14:paraId="6138ABFE" w14:textId="5244B8F0" w:rsidR="00754CBC" w:rsidRPr="00886832" w:rsidRDefault="00754CBC" w:rsidP="00754CBC">
            <w:pPr>
              <w:jc w:val="center"/>
              <w:rPr>
                <w:rFonts w:ascii="Times New Roman" w:hAnsi="Times New Roman"/>
                <w:i/>
                <w:sz w:val="18"/>
                <w:szCs w:val="18"/>
              </w:rPr>
            </w:pPr>
            <w:r w:rsidRPr="00886832">
              <w:rPr>
                <w:rFonts w:ascii="Times New Roman" w:hAnsi="Times New Roman"/>
                <w:i/>
                <w:sz w:val="18"/>
                <w:szCs w:val="18"/>
              </w:rPr>
              <w:t>PUMA</w:t>
            </w:r>
          </w:p>
        </w:tc>
        <w:tc>
          <w:tcPr>
            <w:tcW w:w="3402" w:type="dxa"/>
            <w:tcBorders>
              <w:top w:val="nil"/>
              <w:left w:val="nil"/>
              <w:bottom w:val="single" w:sz="12" w:space="0" w:color="auto"/>
              <w:right w:val="nil"/>
            </w:tcBorders>
            <w:shd w:val="clear" w:color="auto" w:fill="auto"/>
            <w:noWrap/>
            <w:vAlign w:val="center"/>
            <w:hideMark/>
          </w:tcPr>
          <w:p w14:paraId="562B1F4A" w14:textId="7D17F9C5" w:rsidR="00754CBC" w:rsidRPr="00886832" w:rsidRDefault="00754CBC" w:rsidP="00754CBC">
            <w:pPr>
              <w:jc w:val="center"/>
              <w:rPr>
                <w:rFonts w:ascii="Times New Roman" w:hAnsi="Times New Roman"/>
                <w:sz w:val="18"/>
                <w:szCs w:val="18"/>
              </w:rPr>
            </w:pPr>
            <w:r w:rsidRPr="00886832">
              <w:rPr>
                <w:rFonts w:ascii="Times New Roman" w:hAnsi="Times New Roman"/>
                <w:sz w:val="18"/>
                <w:szCs w:val="18"/>
              </w:rPr>
              <w:t>ACGACCTCAACGCACAGTACGA</w:t>
            </w:r>
          </w:p>
        </w:tc>
        <w:tc>
          <w:tcPr>
            <w:tcW w:w="3260" w:type="dxa"/>
            <w:tcBorders>
              <w:top w:val="nil"/>
              <w:left w:val="nil"/>
              <w:bottom w:val="single" w:sz="12" w:space="0" w:color="auto"/>
              <w:right w:val="nil"/>
            </w:tcBorders>
            <w:shd w:val="clear" w:color="auto" w:fill="auto"/>
            <w:noWrap/>
            <w:vAlign w:val="center"/>
            <w:hideMark/>
          </w:tcPr>
          <w:p w14:paraId="4F5C48ED" w14:textId="7A782F84" w:rsidR="00754CBC" w:rsidRPr="00886832" w:rsidRDefault="00754CBC" w:rsidP="00754CBC">
            <w:pPr>
              <w:jc w:val="center"/>
              <w:rPr>
                <w:rFonts w:ascii="Times New Roman" w:hAnsi="Times New Roman"/>
                <w:sz w:val="18"/>
                <w:szCs w:val="18"/>
              </w:rPr>
            </w:pPr>
            <w:r w:rsidRPr="00886832">
              <w:rPr>
                <w:rFonts w:ascii="Times New Roman" w:hAnsi="Times New Roman"/>
                <w:sz w:val="18"/>
                <w:szCs w:val="18"/>
              </w:rPr>
              <w:t>CCTAATTGGGCTCCATCTCGGG</w:t>
            </w:r>
          </w:p>
        </w:tc>
      </w:tr>
    </w:tbl>
    <w:bookmarkEnd w:id="7"/>
    <w:bookmarkEnd w:id="8"/>
    <w:p w14:paraId="6CD8C1F5" w14:textId="6E02D62E" w:rsidR="000975F1" w:rsidRPr="00886832" w:rsidRDefault="000975F1" w:rsidP="00886832">
      <w:pPr>
        <w:pStyle w:val="MDPI51figurecaption"/>
        <w:ind w:left="0"/>
        <w:rPr>
          <w:rFonts w:ascii="Times New Roman" w:hAnsi="Times New Roman"/>
          <w:bCs/>
        </w:rPr>
      </w:pPr>
      <w:r w:rsidRPr="00886832">
        <w:rPr>
          <w:rFonts w:ascii="Times New Roman" w:hAnsi="Times New Roman"/>
          <w:b/>
          <w:lang w:eastAsia="zh-CN"/>
        </w:rPr>
        <w:t xml:space="preserve">Supplementary </w:t>
      </w:r>
      <w:r w:rsidRPr="00886832">
        <w:rPr>
          <w:rFonts w:ascii="Times New Roman" w:hAnsi="Times New Roman"/>
          <w:b/>
        </w:rPr>
        <w:t xml:space="preserve">table 3. </w:t>
      </w:r>
      <w:r w:rsidRPr="00886832">
        <w:rPr>
          <w:rFonts w:ascii="Times New Roman" w:hAnsi="Times New Roman"/>
          <w:bCs/>
        </w:rPr>
        <w:t xml:space="preserve">Mutant status of </w:t>
      </w:r>
      <w:r w:rsidRPr="00886832">
        <w:rPr>
          <w:rFonts w:ascii="Times New Roman" w:hAnsi="Times New Roman"/>
          <w:bCs/>
          <w:i/>
          <w:iCs/>
        </w:rPr>
        <w:t>P53</w:t>
      </w:r>
      <w:r w:rsidRPr="00886832">
        <w:rPr>
          <w:rFonts w:ascii="Times New Roman" w:hAnsi="Times New Roman"/>
          <w:bCs/>
        </w:rPr>
        <w:t xml:space="preserve"> in PDAC cell lines in this study</w:t>
      </w:r>
    </w:p>
    <w:tbl>
      <w:tblPr>
        <w:tblW w:w="8095" w:type="dxa"/>
        <w:jc w:val="right"/>
        <w:tblLook w:val="04A0" w:firstRow="1" w:lastRow="0" w:firstColumn="1" w:lastColumn="0" w:noHBand="0" w:noVBand="1"/>
      </w:tblPr>
      <w:tblGrid>
        <w:gridCol w:w="1433"/>
        <w:gridCol w:w="3402"/>
        <w:gridCol w:w="3260"/>
      </w:tblGrid>
      <w:tr w:rsidR="000975F1" w:rsidRPr="00886832" w14:paraId="67E59201" w14:textId="77777777" w:rsidTr="00C6350F">
        <w:trPr>
          <w:trHeight w:val="288"/>
          <w:jc w:val="right"/>
        </w:trPr>
        <w:tc>
          <w:tcPr>
            <w:tcW w:w="1433" w:type="dxa"/>
            <w:tcBorders>
              <w:top w:val="single" w:sz="12" w:space="0" w:color="auto"/>
              <w:left w:val="nil"/>
              <w:bottom w:val="single" w:sz="8" w:space="0" w:color="auto"/>
              <w:right w:val="nil"/>
            </w:tcBorders>
            <w:shd w:val="clear" w:color="auto" w:fill="auto"/>
            <w:noWrap/>
            <w:vAlign w:val="center"/>
            <w:hideMark/>
          </w:tcPr>
          <w:p w14:paraId="28BA5C4B" w14:textId="68A9F4F5" w:rsidR="000975F1" w:rsidRPr="00886832" w:rsidRDefault="000975F1" w:rsidP="00C6350F">
            <w:pPr>
              <w:jc w:val="center"/>
              <w:rPr>
                <w:rFonts w:ascii="Times New Roman" w:hAnsi="Times New Roman"/>
                <w:b/>
                <w:bCs/>
                <w:sz w:val="18"/>
                <w:szCs w:val="18"/>
              </w:rPr>
            </w:pPr>
            <w:r w:rsidRPr="00886832">
              <w:rPr>
                <w:rFonts w:ascii="Times New Roman" w:hAnsi="Times New Roman"/>
                <w:b/>
                <w:bCs/>
                <w:sz w:val="18"/>
                <w:szCs w:val="18"/>
              </w:rPr>
              <w:t>Cell line</w:t>
            </w:r>
          </w:p>
        </w:tc>
        <w:tc>
          <w:tcPr>
            <w:tcW w:w="3402" w:type="dxa"/>
            <w:tcBorders>
              <w:top w:val="single" w:sz="12" w:space="0" w:color="auto"/>
              <w:left w:val="nil"/>
              <w:bottom w:val="single" w:sz="8" w:space="0" w:color="auto"/>
              <w:right w:val="nil"/>
            </w:tcBorders>
            <w:shd w:val="clear" w:color="auto" w:fill="auto"/>
            <w:noWrap/>
            <w:vAlign w:val="center"/>
            <w:hideMark/>
          </w:tcPr>
          <w:p w14:paraId="107365B7" w14:textId="03053DDB" w:rsidR="000975F1" w:rsidRPr="00886832" w:rsidRDefault="000975F1" w:rsidP="00C6350F">
            <w:pPr>
              <w:jc w:val="center"/>
              <w:rPr>
                <w:rFonts w:ascii="Times New Roman" w:hAnsi="Times New Roman"/>
                <w:b/>
                <w:bCs/>
                <w:sz w:val="18"/>
                <w:szCs w:val="18"/>
              </w:rPr>
            </w:pPr>
            <w:r w:rsidRPr="00886832">
              <w:rPr>
                <w:rFonts w:ascii="Times New Roman" w:hAnsi="Times New Roman"/>
                <w:b/>
                <w:bCs/>
                <w:sz w:val="18"/>
                <w:szCs w:val="18"/>
              </w:rPr>
              <w:t>TP53 variant type</w:t>
            </w:r>
          </w:p>
        </w:tc>
        <w:tc>
          <w:tcPr>
            <w:tcW w:w="3260" w:type="dxa"/>
            <w:tcBorders>
              <w:top w:val="single" w:sz="12" w:space="0" w:color="auto"/>
              <w:left w:val="nil"/>
              <w:bottom w:val="single" w:sz="8" w:space="0" w:color="auto"/>
              <w:right w:val="nil"/>
            </w:tcBorders>
            <w:shd w:val="clear" w:color="auto" w:fill="auto"/>
            <w:noWrap/>
            <w:vAlign w:val="center"/>
            <w:hideMark/>
          </w:tcPr>
          <w:p w14:paraId="3611E75C" w14:textId="40860744" w:rsidR="000975F1" w:rsidRPr="00886832" w:rsidRDefault="000975F1" w:rsidP="00C6350F">
            <w:pPr>
              <w:jc w:val="center"/>
              <w:rPr>
                <w:rFonts w:ascii="Times New Roman" w:hAnsi="Times New Roman"/>
                <w:b/>
                <w:bCs/>
                <w:sz w:val="18"/>
                <w:szCs w:val="18"/>
              </w:rPr>
            </w:pPr>
            <w:r w:rsidRPr="00886832">
              <w:rPr>
                <w:rFonts w:ascii="Times New Roman" w:hAnsi="Times New Roman"/>
                <w:b/>
                <w:bCs/>
                <w:sz w:val="18"/>
                <w:szCs w:val="18"/>
              </w:rPr>
              <w:t>Protein Change</w:t>
            </w:r>
          </w:p>
        </w:tc>
      </w:tr>
      <w:tr w:rsidR="000975F1" w:rsidRPr="00886832" w14:paraId="4C4758B8" w14:textId="77777777" w:rsidTr="00C6350F">
        <w:trPr>
          <w:trHeight w:val="288"/>
          <w:jc w:val="right"/>
        </w:trPr>
        <w:tc>
          <w:tcPr>
            <w:tcW w:w="1433" w:type="dxa"/>
            <w:tcBorders>
              <w:top w:val="single" w:sz="8" w:space="0" w:color="auto"/>
              <w:left w:val="nil"/>
              <w:bottom w:val="nil"/>
              <w:right w:val="nil"/>
            </w:tcBorders>
            <w:shd w:val="clear" w:color="auto" w:fill="auto"/>
            <w:noWrap/>
            <w:vAlign w:val="center"/>
            <w:hideMark/>
          </w:tcPr>
          <w:p w14:paraId="6D1F2B8B" w14:textId="370D3EE5" w:rsidR="000975F1" w:rsidRPr="00886832" w:rsidRDefault="000975F1" w:rsidP="00C6350F">
            <w:pPr>
              <w:jc w:val="center"/>
              <w:rPr>
                <w:rFonts w:ascii="Times New Roman" w:hAnsi="Times New Roman"/>
                <w:i/>
                <w:sz w:val="18"/>
                <w:szCs w:val="18"/>
              </w:rPr>
            </w:pPr>
            <w:r w:rsidRPr="00886832">
              <w:rPr>
                <w:rFonts w:ascii="Times New Roman" w:hAnsi="Times New Roman"/>
                <w:i/>
                <w:sz w:val="18"/>
                <w:szCs w:val="18"/>
              </w:rPr>
              <w:t>AsPC-1</w:t>
            </w:r>
          </w:p>
        </w:tc>
        <w:tc>
          <w:tcPr>
            <w:tcW w:w="3402" w:type="dxa"/>
            <w:tcBorders>
              <w:top w:val="single" w:sz="8" w:space="0" w:color="auto"/>
              <w:left w:val="nil"/>
              <w:bottom w:val="nil"/>
              <w:right w:val="nil"/>
            </w:tcBorders>
            <w:shd w:val="clear" w:color="auto" w:fill="auto"/>
            <w:noWrap/>
            <w:vAlign w:val="center"/>
            <w:hideMark/>
          </w:tcPr>
          <w:p w14:paraId="5FD66503" w14:textId="7EAB46FD" w:rsidR="000975F1" w:rsidRPr="00886832" w:rsidRDefault="000975F1" w:rsidP="00C6350F">
            <w:pPr>
              <w:jc w:val="center"/>
              <w:rPr>
                <w:rFonts w:ascii="Times New Roman" w:hAnsi="Times New Roman"/>
                <w:sz w:val="18"/>
                <w:szCs w:val="18"/>
              </w:rPr>
            </w:pPr>
            <w:r w:rsidRPr="00886832">
              <w:rPr>
                <w:rFonts w:ascii="Times New Roman" w:hAnsi="Times New Roman"/>
                <w:sz w:val="18"/>
                <w:szCs w:val="18"/>
              </w:rPr>
              <w:t xml:space="preserve"> DEL</w:t>
            </w:r>
          </w:p>
        </w:tc>
        <w:tc>
          <w:tcPr>
            <w:tcW w:w="3260" w:type="dxa"/>
            <w:tcBorders>
              <w:top w:val="single" w:sz="8" w:space="0" w:color="auto"/>
              <w:left w:val="nil"/>
              <w:bottom w:val="nil"/>
              <w:right w:val="nil"/>
            </w:tcBorders>
            <w:shd w:val="clear" w:color="auto" w:fill="auto"/>
            <w:noWrap/>
            <w:vAlign w:val="center"/>
            <w:hideMark/>
          </w:tcPr>
          <w:p w14:paraId="3EEE051F" w14:textId="623D6E91" w:rsidR="000975F1" w:rsidRPr="00886832" w:rsidRDefault="000975F1" w:rsidP="00C6350F">
            <w:pPr>
              <w:jc w:val="center"/>
              <w:rPr>
                <w:rFonts w:ascii="Times New Roman" w:hAnsi="Times New Roman"/>
                <w:sz w:val="18"/>
                <w:szCs w:val="18"/>
              </w:rPr>
            </w:pPr>
            <w:r w:rsidRPr="00886832">
              <w:rPr>
                <w:rFonts w:ascii="Times New Roman" w:hAnsi="Times New Roman"/>
                <w:sz w:val="18"/>
                <w:szCs w:val="18"/>
              </w:rPr>
              <w:t>C135fs</w:t>
            </w:r>
          </w:p>
        </w:tc>
      </w:tr>
      <w:tr w:rsidR="000975F1" w:rsidRPr="00886832" w14:paraId="1247E95D" w14:textId="77777777" w:rsidTr="00C6350F">
        <w:trPr>
          <w:trHeight w:val="288"/>
          <w:jc w:val="right"/>
        </w:trPr>
        <w:tc>
          <w:tcPr>
            <w:tcW w:w="1433" w:type="dxa"/>
            <w:tcBorders>
              <w:top w:val="nil"/>
              <w:left w:val="nil"/>
              <w:bottom w:val="nil"/>
              <w:right w:val="nil"/>
            </w:tcBorders>
            <w:shd w:val="clear" w:color="auto" w:fill="auto"/>
            <w:noWrap/>
            <w:vAlign w:val="center"/>
            <w:hideMark/>
          </w:tcPr>
          <w:p w14:paraId="6823583E" w14:textId="2645073A" w:rsidR="000975F1" w:rsidRPr="00886832" w:rsidRDefault="000975F1" w:rsidP="00C6350F">
            <w:pPr>
              <w:jc w:val="center"/>
              <w:rPr>
                <w:rFonts w:ascii="Times New Roman" w:hAnsi="Times New Roman"/>
                <w:i/>
                <w:sz w:val="18"/>
                <w:szCs w:val="18"/>
              </w:rPr>
            </w:pPr>
            <w:r w:rsidRPr="00886832">
              <w:rPr>
                <w:rFonts w:ascii="Times New Roman" w:hAnsi="Times New Roman"/>
                <w:i/>
                <w:sz w:val="18"/>
                <w:szCs w:val="18"/>
              </w:rPr>
              <w:t>BxPC-3</w:t>
            </w:r>
          </w:p>
        </w:tc>
        <w:tc>
          <w:tcPr>
            <w:tcW w:w="3402" w:type="dxa"/>
            <w:tcBorders>
              <w:top w:val="nil"/>
              <w:left w:val="nil"/>
              <w:bottom w:val="nil"/>
              <w:right w:val="nil"/>
            </w:tcBorders>
            <w:shd w:val="clear" w:color="auto" w:fill="auto"/>
            <w:noWrap/>
            <w:vAlign w:val="center"/>
            <w:hideMark/>
          </w:tcPr>
          <w:p w14:paraId="2EFD34B7" w14:textId="5BC511E9" w:rsidR="000975F1" w:rsidRPr="00886832" w:rsidRDefault="000975F1" w:rsidP="00C6350F">
            <w:pPr>
              <w:jc w:val="center"/>
              <w:rPr>
                <w:rFonts w:ascii="Times New Roman" w:hAnsi="Times New Roman"/>
                <w:sz w:val="18"/>
                <w:szCs w:val="18"/>
              </w:rPr>
            </w:pPr>
            <w:r w:rsidRPr="00886832">
              <w:rPr>
                <w:rFonts w:ascii="Times New Roman" w:hAnsi="Times New Roman"/>
                <w:sz w:val="18"/>
                <w:szCs w:val="18"/>
              </w:rPr>
              <w:t>SNP</w:t>
            </w:r>
          </w:p>
        </w:tc>
        <w:tc>
          <w:tcPr>
            <w:tcW w:w="3260" w:type="dxa"/>
            <w:tcBorders>
              <w:top w:val="nil"/>
              <w:left w:val="nil"/>
              <w:bottom w:val="nil"/>
              <w:right w:val="nil"/>
            </w:tcBorders>
            <w:shd w:val="clear" w:color="auto" w:fill="auto"/>
            <w:noWrap/>
            <w:vAlign w:val="center"/>
            <w:hideMark/>
          </w:tcPr>
          <w:p w14:paraId="42DC236D" w14:textId="0D4E5448" w:rsidR="000975F1" w:rsidRPr="00886832" w:rsidRDefault="000975F1" w:rsidP="00C6350F">
            <w:pPr>
              <w:jc w:val="center"/>
              <w:rPr>
                <w:rFonts w:ascii="Times New Roman" w:hAnsi="Times New Roman"/>
                <w:sz w:val="18"/>
                <w:szCs w:val="18"/>
              </w:rPr>
            </w:pPr>
            <w:r w:rsidRPr="00886832">
              <w:rPr>
                <w:rFonts w:ascii="Times New Roman" w:hAnsi="Times New Roman"/>
                <w:sz w:val="18"/>
                <w:szCs w:val="18"/>
              </w:rPr>
              <w:t>Y220C</w:t>
            </w:r>
          </w:p>
        </w:tc>
      </w:tr>
      <w:tr w:rsidR="000975F1" w:rsidRPr="00886832" w14:paraId="033F4F88" w14:textId="77777777" w:rsidTr="00C6350F">
        <w:trPr>
          <w:trHeight w:val="288"/>
          <w:jc w:val="right"/>
        </w:trPr>
        <w:tc>
          <w:tcPr>
            <w:tcW w:w="1433" w:type="dxa"/>
            <w:tcBorders>
              <w:top w:val="nil"/>
              <w:left w:val="nil"/>
              <w:bottom w:val="nil"/>
              <w:right w:val="nil"/>
            </w:tcBorders>
            <w:shd w:val="clear" w:color="auto" w:fill="auto"/>
            <w:noWrap/>
            <w:vAlign w:val="center"/>
            <w:hideMark/>
          </w:tcPr>
          <w:p w14:paraId="6BD04350" w14:textId="2BDBCAFB" w:rsidR="000975F1" w:rsidRPr="00886832" w:rsidRDefault="000975F1" w:rsidP="00C6350F">
            <w:pPr>
              <w:jc w:val="center"/>
              <w:rPr>
                <w:rFonts w:ascii="Times New Roman" w:hAnsi="Times New Roman"/>
                <w:i/>
                <w:sz w:val="18"/>
                <w:szCs w:val="18"/>
              </w:rPr>
            </w:pPr>
            <w:r w:rsidRPr="00886832">
              <w:rPr>
                <w:rFonts w:ascii="Times New Roman" w:hAnsi="Times New Roman"/>
                <w:i/>
                <w:sz w:val="18"/>
                <w:szCs w:val="18"/>
              </w:rPr>
              <w:t>CFPAC-1</w:t>
            </w:r>
          </w:p>
        </w:tc>
        <w:tc>
          <w:tcPr>
            <w:tcW w:w="3402" w:type="dxa"/>
            <w:tcBorders>
              <w:top w:val="nil"/>
              <w:left w:val="nil"/>
              <w:bottom w:val="nil"/>
              <w:right w:val="nil"/>
            </w:tcBorders>
            <w:shd w:val="clear" w:color="auto" w:fill="auto"/>
            <w:noWrap/>
            <w:vAlign w:val="center"/>
            <w:hideMark/>
          </w:tcPr>
          <w:p w14:paraId="2FB34C8C" w14:textId="4266045B" w:rsidR="000975F1" w:rsidRPr="00886832" w:rsidRDefault="000975F1" w:rsidP="00C6350F">
            <w:pPr>
              <w:jc w:val="center"/>
              <w:rPr>
                <w:rFonts w:ascii="Times New Roman" w:hAnsi="Times New Roman"/>
                <w:sz w:val="18"/>
                <w:szCs w:val="18"/>
              </w:rPr>
            </w:pPr>
            <w:r w:rsidRPr="00886832">
              <w:rPr>
                <w:rFonts w:ascii="Times New Roman" w:hAnsi="Times New Roman"/>
                <w:sz w:val="18"/>
                <w:szCs w:val="18"/>
              </w:rPr>
              <w:t>SNP</w:t>
            </w:r>
          </w:p>
        </w:tc>
        <w:tc>
          <w:tcPr>
            <w:tcW w:w="3260" w:type="dxa"/>
            <w:tcBorders>
              <w:top w:val="nil"/>
              <w:left w:val="nil"/>
              <w:bottom w:val="nil"/>
              <w:right w:val="nil"/>
            </w:tcBorders>
            <w:shd w:val="clear" w:color="auto" w:fill="auto"/>
            <w:noWrap/>
            <w:vAlign w:val="center"/>
            <w:hideMark/>
          </w:tcPr>
          <w:p w14:paraId="0C8C73B3" w14:textId="16409CB9" w:rsidR="000975F1" w:rsidRPr="00886832" w:rsidRDefault="000975F1" w:rsidP="00C6350F">
            <w:pPr>
              <w:jc w:val="center"/>
              <w:rPr>
                <w:rFonts w:ascii="Times New Roman" w:hAnsi="Times New Roman"/>
                <w:sz w:val="18"/>
                <w:szCs w:val="18"/>
              </w:rPr>
            </w:pPr>
            <w:r w:rsidRPr="00886832">
              <w:rPr>
                <w:rFonts w:ascii="Times New Roman" w:hAnsi="Times New Roman"/>
                <w:sz w:val="18"/>
                <w:szCs w:val="18"/>
              </w:rPr>
              <w:t>C242R</w:t>
            </w:r>
          </w:p>
        </w:tc>
      </w:tr>
      <w:tr w:rsidR="000975F1" w:rsidRPr="00886832" w14:paraId="7E3AAB45" w14:textId="77777777" w:rsidTr="00C6350F">
        <w:trPr>
          <w:trHeight w:val="288"/>
          <w:jc w:val="right"/>
        </w:trPr>
        <w:tc>
          <w:tcPr>
            <w:tcW w:w="1433" w:type="dxa"/>
            <w:tcBorders>
              <w:top w:val="nil"/>
              <w:left w:val="nil"/>
              <w:bottom w:val="nil"/>
              <w:right w:val="nil"/>
            </w:tcBorders>
            <w:shd w:val="clear" w:color="auto" w:fill="auto"/>
            <w:noWrap/>
            <w:vAlign w:val="center"/>
            <w:hideMark/>
          </w:tcPr>
          <w:p w14:paraId="2EDABC0B" w14:textId="743CD418" w:rsidR="000975F1" w:rsidRPr="00886832" w:rsidRDefault="000975F1" w:rsidP="00C6350F">
            <w:pPr>
              <w:jc w:val="center"/>
              <w:rPr>
                <w:rFonts w:ascii="Times New Roman" w:hAnsi="Times New Roman"/>
                <w:i/>
                <w:sz w:val="18"/>
                <w:szCs w:val="18"/>
              </w:rPr>
            </w:pPr>
            <w:r w:rsidRPr="00886832">
              <w:rPr>
                <w:rFonts w:ascii="Times New Roman" w:hAnsi="Times New Roman"/>
                <w:i/>
                <w:sz w:val="18"/>
                <w:szCs w:val="18"/>
              </w:rPr>
              <w:t>CaPan 1</w:t>
            </w:r>
          </w:p>
        </w:tc>
        <w:tc>
          <w:tcPr>
            <w:tcW w:w="3402" w:type="dxa"/>
            <w:tcBorders>
              <w:top w:val="nil"/>
              <w:left w:val="nil"/>
              <w:bottom w:val="nil"/>
              <w:right w:val="nil"/>
            </w:tcBorders>
            <w:shd w:val="clear" w:color="auto" w:fill="auto"/>
            <w:noWrap/>
            <w:vAlign w:val="center"/>
            <w:hideMark/>
          </w:tcPr>
          <w:p w14:paraId="186CCF36" w14:textId="5C70ED78" w:rsidR="000975F1" w:rsidRPr="00886832" w:rsidRDefault="000975F1" w:rsidP="00C6350F">
            <w:pPr>
              <w:jc w:val="center"/>
              <w:rPr>
                <w:rFonts w:ascii="Times New Roman" w:hAnsi="Times New Roman"/>
                <w:sz w:val="18"/>
                <w:szCs w:val="18"/>
              </w:rPr>
            </w:pPr>
            <w:r w:rsidRPr="00886832">
              <w:rPr>
                <w:rFonts w:ascii="Times New Roman" w:hAnsi="Times New Roman"/>
                <w:sz w:val="18"/>
                <w:szCs w:val="18"/>
              </w:rPr>
              <w:t>SNP</w:t>
            </w:r>
          </w:p>
        </w:tc>
        <w:tc>
          <w:tcPr>
            <w:tcW w:w="3260" w:type="dxa"/>
            <w:tcBorders>
              <w:top w:val="nil"/>
              <w:left w:val="nil"/>
              <w:bottom w:val="nil"/>
              <w:right w:val="nil"/>
            </w:tcBorders>
            <w:shd w:val="clear" w:color="auto" w:fill="auto"/>
            <w:noWrap/>
            <w:vAlign w:val="center"/>
            <w:hideMark/>
          </w:tcPr>
          <w:p w14:paraId="21561399" w14:textId="56CCACC6" w:rsidR="000975F1" w:rsidRPr="00886832" w:rsidRDefault="000975F1" w:rsidP="00C6350F">
            <w:pPr>
              <w:jc w:val="center"/>
              <w:rPr>
                <w:rFonts w:ascii="Times New Roman" w:hAnsi="Times New Roman"/>
                <w:sz w:val="18"/>
                <w:szCs w:val="18"/>
              </w:rPr>
            </w:pPr>
            <w:r w:rsidRPr="00886832">
              <w:rPr>
                <w:rFonts w:ascii="Times New Roman" w:hAnsi="Times New Roman"/>
                <w:sz w:val="18"/>
                <w:szCs w:val="18"/>
              </w:rPr>
              <w:t>A159V</w:t>
            </w:r>
          </w:p>
        </w:tc>
      </w:tr>
      <w:tr w:rsidR="000975F1" w:rsidRPr="00886832" w14:paraId="5786D385" w14:textId="77777777" w:rsidTr="000975F1">
        <w:trPr>
          <w:trHeight w:val="288"/>
          <w:jc w:val="right"/>
        </w:trPr>
        <w:tc>
          <w:tcPr>
            <w:tcW w:w="1433" w:type="dxa"/>
            <w:tcBorders>
              <w:top w:val="nil"/>
              <w:left w:val="nil"/>
              <w:bottom w:val="nil"/>
              <w:right w:val="nil"/>
            </w:tcBorders>
            <w:shd w:val="clear" w:color="auto" w:fill="auto"/>
            <w:noWrap/>
            <w:vAlign w:val="center"/>
            <w:hideMark/>
          </w:tcPr>
          <w:p w14:paraId="2BC97C57" w14:textId="20001065" w:rsidR="000975F1" w:rsidRPr="00886832" w:rsidRDefault="000975F1" w:rsidP="00C6350F">
            <w:pPr>
              <w:jc w:val="center"/>
              <w:rPr>
                <w:rFonts w:ascii="Times New Roman" w:hAnsi="Times New Roman"/>
                <w:i/>
                <w:sz w:val="18"/>
                <w:szCs w:val="18"/>
              </w:rPr>
            </w:pPr>
            <w:r w:rsidRPr="00886832">
              <w:rPr>
                <w:rFonts w:ascii="Times New Roman" w:hAnsi="Times New Roman"/>
                <w:i/>
                <w:sz w:val="18"/>
                <w:szCs w:val="18"/>
              </w:rPr>
              <w:t>PANC1</w:t>
            </w:r>
          </w:p>
        </w:tc>
        <w:tc>
          <w:tcPr>
            <w:tcW w:w="3402" w:type="dxa"/>
            <w:tcBorders>
              <w:top w:val="nil"/>
              <w:left w:val="nil"/>
              <w:bottom w:val="nil"/>
              <w:right w:val="nil"/>
            </w:tcBorders>
            <w:shd w:val="clear" w:color="auto" w:fill="auto"/>
            <w:noWrap/>
            <w:vAlign w:val="center"/>
            <w:hideMark/>
          </w:tcPr>
          <w:p w14:paraId="6BB3DC43" w14:textId="347822F6" w:rsidR="000975F1" w:rsidRPr="00886832" w:rsidRDefault="000975F1" w:rsidP="00C6350F">
            <w:pPr>
              <w:jc w:val="center"/>
              <w:rPr>
                <w:rFonts w:ascii="Times New Roman" w:hAnsi="Times New Roman"/>
                <w:sz w:val="18"/>
                <w:szCs w:val="18"/>
              </w:rPr>
            </w:pPr>
            <w:r w:rsidRPr="00886832">
              <w:rPr>
                <w:rFonts w:ascii="Times New Roman" w:hAnsi="Times New Roman"/>
                <w:sz w:val="18"/>
                <w:szCs w:val="18"/>
              </w:rPr>
              <w:t>SNP</w:t>
            </w:r>
          </w:p>
        </w:tc>
        <w:tc>
          <w:tcPr>
            <w:tcW w:w="3260" w:type="dxa"/>
            <w:tcBorders>
              <w:top w:val="nil"/>
              <w:left w:val="nil"/>
              <w:bottom w:val="nil"/>
              <w:right w:val="nil"/>
            </w:tcBorders>
            <w:shd w:val="clear" w:color="auto" w:fill="auto"/>
            <w:noWrap/>
            <w:vAlign w:val="center"/>
            <w:hideMark/>
          </w:tcPr>
          <w:p w14:paraId="6E15DB31" w14:textId="7D1BB9F4" w:rsidR="000975F1" w:rsidRPr="00886832" w:rsidRDefault="000975F1" w:rsidP="00C6350F">
            <w:pPr>
              <w:jc w:val="center"/>
              <w:rPr>
                <w:rFonts w:ascii="Times New Roman" w:hAnsi="Times New Roman"/>
                <w:sz w:val="18"/>
                <w:szCs w:val="18"/>
              </w:rPr>
            </w:pPr>
            <w:r w:rsidRPr="00886832">
              <w:rPr>
                <w:rFonts w:ascii="Times New Roman" w:hAnsi="Times New Roman"/>
                <w:sz w:val="18"/>
                <w:szCs w:val="18"/>
              </w:rPr>
              <w:t>R273H</w:t>
            </w:r>
          </w:p>
        </w:tc>
      </w:tr>
      <w:tr w:rsidR="000975F1" w:rsidRPr="00886832" w14:paraId="3EF19D5F" w14:textId="77777777" w:rsidTr="000975F1">
        <w:trPr>
          <w:trHeight w:val="288"/>
          <w:jc w:val="right"/>
        </w:trPr>
        <w:tc>
          <w:tcPr>
            <w:tcW w:w="1433" w:type="dxa"/>
            <w:tcBorders>
              <w:top w:val="nil"/>
              <w:left w:val="nil"/>
              <w:bottom w:val="nil"/>
              <w:right w:val="nil"/>
            </w:tcBorders>
            <w:shd w:val="clear" w:color="auto" w:fill="auto"/>
            <w:noWrap/>
            <w:vAlign w:val="center"/>
          </w:tcPr>
          <w:p w14:paraId="2C250F4E" w14:textId="6D1AE02D" w:rsidR="000975F1" w:rsidRPr="00886832" w:rsidRDefault="000975F1" w:rsidP="00C6350F">
            <w:pPr>
              <w:jc w:val="center"/>
              <w:rPr>
                <w:rFonts w:ascii="Times New Roman" w:hAnsi="Times New Roman"/>
                <w:i/>
                <w:sz w:val="18"/>
                <w:szCs w:val="18"/>
              </w:rPr>
            </w:pPr>
            <w:r w:rsidRPr="00886832">
              <w:rPr>
                <w:rFonts w:ascii="Times New Roman" w:hAnsi="Times New Roman"/>
                <w:i/>
                <w:sz w:val="18"/>
                <w:szCs w:val="18"/>
              </w:rPr>
              <w:t>Mia PaCa-2</w:t>
            </w:r>
          </w:p>
        </w:tc>
        <w:tc>
          <w:tcPr>
            <w:tcW w:w="3402" w:type="dxa"/>
            <w:tcBorders>
              <w:top w:val="nil"/>
              <w:left w:val="nil"/>
              <w:bottom w:val="nil"/>
              <w:right w:val="nil"/>
            </w:tcBorders>
            <w:shd w:val="clear" w:color="auto" w:fill="auto"/>
            <w:noWrap/>
            <w:vAlign w:val="center"/>
          </w:tcPr>
          <w:p w14:paraId="24C8F16A" w14:textId="4D740A48" w:rsidR="000975F1" w:rsidRPr="00886832" w:rsidRDefault="000975F1" w:rsidP="00C6350F">
            <w:pPr>
              <w:jc w:val="center"/>
              <w:rPr>
                <w:rFonts w:ascii="Times New Roman" w:hAnsi="Times New Roman"/>
                <w:sz w:val="18"/>
                <w:szCs w:val="18"/>
              </w:rPr>
            </w:pPr>
            <w:r w:rsidRPr="00886832">
              <w:rPr>
                <w:rFonts w:ascii="Times New Roman" w:hAnsi="Times New Roman"/>
                <w:sz w:val="18"/>
                <w:szCs w:val="18"/>
              </w:rPr>
              <w:t>SNP</w:t>
            </w:r>
          </w:p>
        </w:tc>
        <w:tc>
          <w:tcPr>
            <w:tcW w:w="3260" w:type="dxa"/>
            <w:tcBorders>
              <w:top w:val="nil"/>
              <w:left w:val="nil"/>
              <w:bottom w:val="nil"/>
              <w:right w:val="nil"/>
            </w:tcBorders>
            <w:shd w:val="clear" w:color="auto" w:fill="auto"/>
            <w:noWrap/>
            <w:vAlign w:val="center"/>
          </w:tcPr>
          <w:p w14:paraId="4BE22D53" w14:textId="3F120E45" w:rsidR="000975F1" w:rsidRPr="00886832" w:rsidRDefault="000975F1" w:rsidP="00C6350F">
            <w:pPr>
              <w:jc w:val="center"/>
              <w:rPr>
                <w:rFonts w:ascii="Times New Roman" w:hAnsi="Times New Roman"/>
                <w:sz w:val="18"/>
                <w:szCs w:val="18"/>
              </w:rPr>
            </w:pPr>
            <w:r w:rsidRPr="00886832">
              <w:rPr>
                <w:rFonts w:ascii="Times New Roman" w:hAnsi="Times New Roman"/>
                <w:sz w:val="18"/>
                <w:szCs w:val="18"/>
              </w:rPr>
              <w:t>R248W</w:t>
            </w:r>
          </w:p>
        </w:tc>
      </w:tr>
      <w:tr w:rsidR="000975F1" w:rsidRPr="00886832" w14:paraId="0519D7C5" w14:textId="77777777" w:rsidTr="00C6350F">
        <w:trPr>
          <w:trHeight w:val="288"/>
          <w:jc w:val="right"/>
        </w:trPr>
        <w:tc>
          <w:tcPr>
            <w:tcW w:w="1433" w:type="dxa"/>
            <w:tcBorders>
              <w:top w:val="nil"/>
              <w:left w:val="nil"/>
              <w:bottom w:val="single" w:sz="12" w:space="0" w:color="auto"/>
              <w:right w:val="nil"/>
            </w:tcBorders>
            <w:shd w:val="clear" w:color="auto" w:fill="auto"/>
            <w:noWrap/>
            <w:vAlign w:val="center"/>
          </w:tcPr>
          <w:p w14:paraId="50F5D9A8" w14:textId="43DAB34B" w:rsidR="000975F1" w:rsidRPr="00886832" w:rsidRDefault="000975F1" w:rsidP="00C6350F">
            <w:pPr>
              <w:jc w:val="center"/>
              <w:rPr>
                <w:rFonts w:ascii="Times New Roman" w:hAnsi="Times New Roman"/>
                <w:i/>
                <w:sz w:val="18"/>
                <w:szCs w:val="18"/>
              </w:rPr>
            </w:pPr>
            <w:r w:rsidRPr="00886832">
              <w:rPr>
                <w:rFonts w:ascii="Times New Roman" w:hAnsi="Times New Roman"/>
                <w:i/>
                <w:sz w:val="18"/>
                <w:szCs w:val="18"/>
              </w:rPr>
              <w:t>PATU 8988-T</w:t>
            </w:r>
          </w:p>
        </w:tc>
        <w:tc>
          <w:tcPr>
            <w:tcW w:w="3402" w:type="dxa"/>
            <w:tcBorders>
              <w:top w:val="nil"/>
              <w:left w:val="nil"/>
              <w:bottom w:val="single" w:sz="12" w:space="0" w:color="auto"/>
              <w:right w:val="nil"/>
            </w:tcBorders>
            <w:shd w:val="clear" w:color="auto" w:fill="auto"/>
            <w:noWrap/>
            <w:vAlign w:val="center"/>
          </w:tcPr>
          <w:p w14:paraId="02ABE17E" w14:textId="352F38C4" w:rsidR="000975F1" w:rsidRPr="00886832" w:rsidRDefault="000975F1" w:rsidP="00C6350F">
            <w:pPr>
              <w:jc w:val="center"/>
              <w:rPr>
                <w:rFonts w:ascii="Times New Roman" w:hAnsi="Times New Roman"/>
                <w:sz w:val="18"/>
                <w:szCs w:val="18"/>
              </w:rPr>
            </w:pPr>
            <w:r w:rsidRPr="00886832">
              <w:rPr>
                <w:rFonts w:ascii="Times New Roman" w:hAnsi="Times New Roman"/>
                <w:sz w:val="18"/>
                <w:szCs w:val="18"/>
              </w:rPr>
              <w:t>SNP</w:t>
            </w:r>
          </w:p>
        </w:tc>
        <w:tc>
          <w:tcPr>
            <w:tcW w:w="3260" w:type="dxa"/>
            <w:tcBorders>
              <w:top w:val="nil"/>
              <w:left w:val="nil"/>
              <w:bottom w:val="single" w:sz="12" w:space="0" w:color="auto"/>
              <w:right w:val="nil"/>
            </w:tcBorders>
            <w:shd w:val="clear" w:color="auto" w:fill="auto"/>
            <w:noWrap/>
            <w:vAlign w:val="center"/>
          </w:tcPr>
          <w:p w14:paraId="16F661FD" w14:textId="0509C4C7" w:rsidR="000975F1" w:rsidRPr="00886832" w:rsidRDefault="000975F1" w:rsidP="00C6350F">
            <w:pPr>
              <w:jc w:val="center"/>
              <w:rPr>
                <w:rFonts w:ascii="Times New Roman" w:hAnsi="Times New Roman"/>
                <w:sz w:val="18"/>
                <w:szCs w:val="18"/>
              </w:rPr>
            </w:pPr>
            <w:r w:rsidRPr="00886832">
              <w:rPr>
                <w:rFonts w:ascii="Times New Roman" w:hAnsi="Times New Roman"/>
                <w:sz w:val="18"/>
                <w:szCs w:val="18"/>
              </w:rPr>
              <w:t>NA</w:t>
            </w:r>
          </w:p>
        </w:tc>
      </w:tr>
    </w:tbl>
    <w:p w14:paraId="15BAB441" w14:textId="77777777" w:rsidR="00754CBC" w:rsidRPr="00886832" w:rsidRDefault="00754CBC" w:rsidP="005B54A9">
      <w:pPr>
        <w:pStyle w:val="MDPI51figurecaption"/>
        <w:rPr>
          <w:rFonts w:ascii="Times New Roman" w:hAnsi="Times New Roman"/>
          <w:lang w:eastAsia="zh-CN"/>
        </w:rPr>
      </w:pPr>
    </w:p>
    <w:p w14:paraId="2EA33043" w14:textId="42E106EB" w:rsidR="00B22D20" w:rsidRPr="00886832" w:rsidRDefault="00B22D20" w:rsidP="00886832">
      <w:pPr>
        <w:adjustRightInd w:val="0"/>
        <w:snapToGrid w:val="0"/>
        <w:spacing w:after="60" w:line="228" w:lineRule="auto"/>
        <w:jc w:val="left"/>
        <w:outlineLvl w:val="1"/>
        <w:rPr>
          <w:rFonts w:ascii="Times New Roman" w:hAnsi="Times New Roman"/>
        </w:rPr>
      </w:pPr>
    </w:p>
    <w:sectPr w:rsidR="00B22D20" w:rsidRPr="00886832" w:rsidSect="00C343B1">
      <w:headerReference w:type="even" r:id="rId9"/>
      <w:headerReference w:type="default" r:id="rId10"/>
      <w:footerReference w:type="default" r:id="rId11"/>
      <w:headerReference w:type="first" r:id="rId12"/>
      <w:footerReference w:type="first" r:id="rId13"/>
      <w:type w:val="continuous"/>
      <w:pgSz w:w="11906" w:h="16838" w:code="9"/>
      <w:pgMar w:top="1417" w:right="720" w:bottom="1077" w:left="720" w:header="1020" w:footer="340"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9B1789" w14:textId="77777777" w:rsidR="00DA45B9" w:rsidRDefault="00DA45B9">
      <w:pPr>
        <w:spacing w:line="240" w:lineRule="auto"/>
      </w:pPr>
      <w:r>
        <w:separator/>
      </w:r>
    </w:p>
  </w:endnote>
  <w:endnote w:type="continuationSeparator" w:id="0">
    <w:p w14:paraId="62EEB865" w14:textId="77777777" w:rsidR="00DA45B9" w:rsidRDefault="00DA45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1C5CC" w14:textId="77777777" w:rsidR="00AF7CE2" w:rsidRPr="00164C5C" w:rsidRDefault="00AF7CE2" w:rsidP="00AF7CE2">
    <w:pPr>
      <w:pStyle w:val="a4"/>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F3C25C" w14:textId="03E7882A" w:rsidR="00AF7CE2" w:rsidRPr="008B308E" w:rsidRDefault="00AF7CE2" w:rsidP="00AC5F82">
    <w:pPr>
      <w:pStyle w:val="MDPIfooterfirstpage"/>
      <w:tabs>
        <w:tab w:val="clear" w:pos="8845"/>
        <w:tab w:val="right" w:pos="10466"/>
      </w:tabs>
      <w:spacing w:line="240" w:lineRule="auto"/>
      <w:jc w:val="both"/>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8F2618" w14:textId="77777777" w:rsidR="00DA45B9" w:rsidRDefault="00DA45B9">
      <w:pPr>
        <w:spacing w:line="240" w:lineRule="auto"/>
      </w:pPr>
      <w:r>
        <w:separator/>
      </w:r>
    </w:p>
  </w:footnote>
  <w:footnote w:type="continuationSeparator" w:id="0">
    <w:p w14:paraId="1EFF67B7" w14:textId="77777777" w:rsidR="00DA45B9" w:rsidRDefault="00DA45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940EF0" w14:textId="77777777" w:rsidR="00AF7CE2" w:rsidRDefault="00AF7CE2" w:rsidP="00AF7CE2">
    <w:pPr>
      <w:pStyle w:val="a6"/>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ECAF4C" w14:textId="77777777" w:rsidR="00AF7CE2" w:rsidRPr="00836BB8" w:rsidRDefault="00AF7CE2" w:rsidP="00B16808">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B03D5" w14:textId="77777777" w:rsidR="00AF7CE2" w:rsidRPr="005F530C" w:rsidRDefault="00AF7CE2" w:rsidP="00B16808">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AA0F88"/>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6F7F4A"/>
    <w:multiLevelType w:val="hybridMultilevel"/>
    <w:tmpl w:val="5E48504A"/>
    <w:lvl w:ilvl="0" w:tplc="0F2A2F0C">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B468F5"/>
    <w:multiLevelType w:val="hybridMultilevel"/>
    <w:tmpl w:val="59E079DA"/>
    <w:lvl w:ilvl="0" w:tplc="48A68C36">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0C6F5D"/>
    <w:multiLevelType w:val="hybridMultilevel"/>
    <w:tmpl w:val="16F05918"/>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4"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6"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8" w15:restartNumberingAfterBreak="0">
    <w:nsid w:val="39925253"/>
    <w:multiLevelType w:val="hybridMultilevel"/>
    <w:tmpl w:val="4816D25A"/>
    <w:lvl w:ilvl="0" w:tplc="207EE52C">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9" w15:restartNumberingAfterBreak="0">
    <w:nsid w:val="4ADA639D"/>
    <w:multiLevelType w:val="hybridMultilevel"/>
    <w:tmpl w:val="6DDA9CE2"/>
    <w:lvl w:ilvl="0" w:tplc="9EC8C5CA">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0"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075B53"/>
    <w:multiLevelType w:val="hybridMultilevel"/>
    <w:tmpl w:val="A57C3798"/>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2" w15:restartNumberingAfterBreak="0">
    <w:nsid w:val="56CF7C60"/>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4"/>
  </w:num>
  <w:num w:numId="4">
    <w:abstractNumId w:val="6"/>
  </w:num>
  <w:num w:numId="5">
    <w:abstractNumId w:val="11"/>
  </w:num>
  <w:num w:numId="6">
    <w:abstractNumId w:val="3"/>
  </w:num>
  <w:num w:numId="7">
    <w:abstractNumId w:val="11"/>
  </w:num>
  <w:num w:numId="8">
    <w:abstractNumId w:val="3"/>
  </w:num>
  <w:num w:numId="9">
    <w:abstractNumId w:val="11"/>
  </w:num>
  <w:num w:numId="10">
    <w:abstractNumId w:val="3"/>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2"/>
  </w:num>
  <w:num w:numId="14">
    <w:abstractNumId w:val="13"/>
  </w:num>
  <w:num w:numId="15">
    <w:abstractNumId w:val="11"/>
  </w:num>
  <w:num w:numId="16">
    <w:abstractNumId w:val="3"/>
  </w:num>
  <w:num w:numId="17">
    <w:abstractNumId w:val="2"/>
  </w:num>
  <w:num w:numId="18">
    <w:abstractNumId w:val="10"/>
  </w:num>
  <w:num w:numId="19">
    <w:abstractNumId w:val="0"/>
  </w:num>
  <w:num w:numId="20">
    <w:abstractNumId w:val="11"/>
  </w:num>
  <w:num w:numId="21">
    <w:abstractNumId w:val="3"/>
  </w:num>
  <w:num w:numId="22">
    <w:abstractNumId w:val="2"/>
  </w:num>
  <w:num w:numId="23">
    <w:abstractNumId w:val="9"/>
  </w:num>
  <w:num w:numId="24">
    <w:abstractNumId w:val="8"/>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9"/>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DDE"/>
    <w:rsid w:val="00014FE6"/>
    <w:rsid w:val="000618E3"/>
    <w:rsid w:val="000700D0"/>
    <w:rsid w:val="00076F7E"/>
    <w:rsid w:val="00092478"/>
    <w:rsid w:val="000975F1"/>
    <w:rsid w:val="000A6F47"/>
    <w:rsid w:val="000B163D"/>
    <w:rsid w:val="000D4AE8"/>
    <w:rsid w:val="000D6839"/>
    <w:rsid w:val="000E1399"/>
    <w:rsid w:val="000F0E63"/>
    <w:rsid w:val="000F79E2"/>
    <w:rsid w:val="00103E20"/>
    <w:rsid w:val="001059C9"/>
    <w:rsid w:val="00110CC2"/>
    <w:rsid w:val="0011101E"/>
    <w:rsid w:val="00111EEF"/>
    <w:rsid w:val="00114987"/>
    <w:rsid w:val="00125CE1"/>
    <w:rsid w:val="00126C03"/>
    <w:rsid w:val="00135C67"/>
    <w:rsid w:val="00136443"/>
    <w:rsid w:val="001432AB"/>
    <w:rsid w:val="00145BCC"/>
    <w:rsid w:val="001475F2"/>
    <w:rsid w:val="00172EF8"/>
    <w:rsid w:val="00186691"/>
    <w:rsid w:val="001877D2"/>
    <w:rsid w:val="001A3DE7"/>
    <w:rsid w:val="001B645A"/>
    <w:rsid w:val="001D0EB3"/>
    <w:rsid w:val="001E2AEB"/>
    <w:rsid w:val="001F7B9E"/>
    <w:rsid w:val="002026A3"/>
    <w:rsid w:val="00206419"/>
    <w:rsid w:val="00232A00"/>
    <w:rsid w:val="002431C5"/>
    <w:rsid w:val="00272F25"/>
    <w:rsid w:val="00284883"/>
    <w:rsid w:val="00293431"/>
    <w:rsid w:val="002A0D6E"/>
    <w:rsid w:val="002B5823"/>
    <w:rsid w:val="002D78E7"/>
    <w:rsid w:val="00316E1B"/>
    <w:rsid w:val="00326141"/>
    <w:rsid w:val="003271CA"/>
    <w:rsid w:val="003611B0"/>
    <w:rsid w:val="003734CA"/>
    <w:rsid w:val="00375BAA"/>
    <w:rsid w:val="00394E80"/>
    <w:rsid w:val="003A004E"/>
    <w:rsid w:val="003A55A8"/>
    <w:rsid w:val="003B0587"/>
    <w:rsid w:val="003B30CD"/>
    <w:rsid w:val="003B4E27"/>
    <w:rsid w:val="003E5BF6"/>
    <w:rsid w:val="00401D30"/>
    <w:rsid w:val="004208A8"/>
    <w:rsid w:val="00420E55"/>
    <w:rsid w:val="0044756D"/>
    <w:rsid w:val="00451257"/>
    <w:rsid w:val="004648D4"/>
    <w:rsid w:val="004807A8"/>
    <w:rsid w:val="004A22C7"/>
    <w:rsid w:val="004C1F28"/>
    <w:rsid w:val="004D3593"/>
    <w:rsid w:val="004E0105"/>
    <w:rsid w:val="004F3629"/>
    <w:rsid w:val="00513C95"/>
    <w:rsid w:val="005306D7"/>
    <w:rsid w:val="00534C4A"/>
    <w:rsid w:val="00535ADB"/>
    <w:rsid w:val="00541837"/>
    <w:rsid w:val="005425B6"/>
    <w:rsid w:val="00547F78"/>
    <w:rsid w:val="00557A2C"/>
    <w:rsid w:val="005708DB"/>
    <w:rsid w:val="00572EBB"/>
    <w:rsid w:val="00596A63"/>
    <w:rsid w:val="005A0BED"/>
    <w:rsid w:val="005A2FC5"/>
    <w:rsid w:val="005B54A9"/>
    <w:rsid w:val="005E205F"/>
    <w:rsid w:val="005E2B1B"/>
    <w:rsid w:val="005F530C"/>
    <w:rsid w:val="00611407"/>
    <w:rsid w:val="00627D4F"/>
    <w:rsid w:val="0063570B"/>
    <w:rsid w:val="00640D7C"/>
    <w:rsid w:val="006457F2"/>
    <w:rsid w:val="00676FEB"/>
    <w:rsid w:val="006837C3"/>
    <w:rsid w:val="00692393"/>
    <w:rsid w:val="0069273C"/>
    <w:rsid w:val="006A25D2"/>
    <w:rsid w:val="006B71A5"/>
    <w:rsid w:val="006D37E0"/>
    <w:rsid w:val="006F7149"/>
    <w:rsid w:val="007346D0"/>
    <w:rsid w:val="00735EA3"/>
    <w:rsid w:val="00754CBC"/>
    <w:rsid w:val="007613BB"/>
    <w:rsid w:val="0076214D"/>
    <w:rsid w:val="00777981"/>
    <w:rsid w:val="007A54A4"/>
    <w:rsid w:val="007C17C4"/>
    <w:rsid w:val="007F6471"/>
    <w:rsid w:val="007F76FE"/>
    <w:rsid w:val="00817FC9"/>
    <w:rsid w:val="00851EBD"/>
    <w:rsid w:val="00863D29"/>
    <w:rsid w:val="00874B5B"/>
    <w:rsid w:val="00881AC4"/>
    <w:rsid w:val="00881D0E"/>
    <w:rsid w:val="00886832"/>
    <w:rsid w:val="008A58E0"/>
    <w:rsid w:val="008A5BFD"/>
    <w:rsid w:val="008B0E4D"/>
    <w:rsid w:val="008B6C95"/>
    <w:rsid w:val="008D036F"/>
    <w:rsid w:val="008D09DD"/>
    <w:rsid w:val="008F4843"/>
    <w:rsid w:val="009036CC"/>
    <w:rsid w:val="009150FF"/>
    <w:rsid w:val="00925B94"/>
    <w:rsid w:val="00957DDE"/>
    <w:rsid w:val="00963346"/>
    <w:rsid w:val="00964FB2"/>
    <w:rsid w:val="00977AC5"/>
    <w:rsid w:val="00994ED4"/>
    <w:rsid w:val="009A5A53"/>
    <w:rsid w:val="009A7C8B"/>
    <w:rsid w:val="009B0211"/>
    <w:rsid w:val="009B080B"/>
    <w:rsid w:val="009B3704"/>
    <w:rsid w:val="009D4726"/>
    <w:rsid w:val="009D74AE"/>
    <w:rsid w:val="009E69E6"/>
    <w:rsid w:val="009F70E6"/>
    <w:rsid w:val="00A004BA"/>
    <w:rsid w:val="00A02616"/>
    <w:rsid w:val="00A040D1"/>
    <w:rsid w:val="00A06051"/>
    <w:rsid w:val="00A25BF2"/>
    <w:rsid w:val="00A453A4"/>
    <w:rsid w:val="00A45543"/>
    <w:rsid w:val="00A53B15"/>
    <w:rsid w:val="00A54818"/>
    <w:rsid w:val="00A56CF6"/>
    <w:rsid w:val="00A57B3E"/>
    <w:rsid w:val="00A70EAB"/>
    <w:rsid w:val="00A72D48"/>
    <w:rsid w:val="00A935B2"/>
    <w:rsid w:val="00AA5BA5"/>
    <w:rsid w:val="00AB68AF"/>
    <w:rsid w:val="00AC1C84"/>
    <w:rsid w:val="00AC1D99"/>
    <w:rsid w:val="00AC2C4A"/>
    <w:rsid w:val="00AC5F82"/>
    <w:rsid w:val="00AD4A58"/>
    <w:rsid w:val="00AE0DE4"/>
    <w:rsid w:val="00AE48A6"/>
    <w:rsid w:val="00AF4AAA"/>
    <w:rsid w:val="00AF7CE2"/>
    <w:rsid w:val="00B005DB"/>
    <w:rsid w:val="00B00C21"/>
    <w:rsid w:val="00B16352"/>
    <w:rsid w:val="00B16808"/>
    <w:rsid w:val="00B21CDF"/>
    <w:rsid w:val="00B22C35"/>
    <w:rsid w:val="00B22D20"/>
    <w:rsid w:val="00B26679"/>
    <w:rsid w:val="00B41681"/>
    <w:rsid w:val="00B43CFF"/>
    <w:rsid w:val="00B63037"/>
    <w:rsid w:val="00B74A9D"/>
    <w:rsid w:val="00B874CF"/>
    <w:rsid w:val="00B904C6"/>
    <w:rsid w:val="00B92024"/>
    <w:rsid w:val="00B94A81"/>
    <w:rsid w:val="00B9529E"/>
    <w:rsid w:val="00B95494"/>
    <w:rsid w:val="00BA34A2"/>
    <w:rsid w:val="00BB5186"/>
    <w:rsid w:val="00BC29D4"/>
    <w:rsid w:val="00BD0BE9"/>
    <w:rsid w:val="00BF020E"/>
    <w:rsid w:val="00C16173"/>
    <w:rsid w:val="00C32442"/>
    <w:rsid w:val="00C334A7"/>
    <w:rsid w:val="00C343B1"/>
    <w:rsid w:val="00C34630"/>
    <w:rsid w:val="00C40546"/>
    <w:rsid w:val="00C44C10"/>
    <w:rsid w:val="00C770AD"/>
    <w:rsid w:val="00C862EE"/>
    <w:rsid w:val="00C90FA1"/>
    <w:rsid w:val="00C94F51"/>
    <w:rsid w:val="00CA11A5"/>
    <w:rsid w:val="00CA391B"/>
    <w:rsid w:val="00CB5381"/>
    <w:rsid w:val="00CB5C68"/>
    <w:rsid w:val="00CD4EB1"/>
    <w:rsid w:val="00CE3D9A"/>
    <w:rsid w:val="00D109C8"/>
    <w:rsid w:val="00D45117"/>
    <w:rsid w:val="00D47808"/>
    <w:rsid w:val="00D52E07"/>
    <w:rsid w:val="00D6477B"/>
    <w:rsid w:val="00D6737D"/>
    <w:rsid w:val="00D67A84"/>
    <w:rsid w:val="00D81694"/>
    <w:rsid w:val="00DA08C0"/>
    <w:rsid w:val="00DA0C78"/>
    <w:rsid w:val="00DA0F81"/>
    <w:rsid w:val="00DA4414"/>
    <w:rsid w:val="00DA45B9"/>
    <w:rsid w:val="00DA4D27"/>
    <w:rsid w:val="00DC2900"/>
    <w:rsid w:val="00DE3283"/>
    <w:rsid w:val="00E13705"/>
    <w:rsid w:val="00E1703B"/>
    <w:rsid w:val="00E2144B"/>
    <w:rsid w:val="00E21B5D"/>
    <w:rsid w:val="00E22013"/>
    <w:rsid w:val="00E317F8"/>
    <w:rsid w:val="00E521BD"/>
    <w:rsid w:val="00E73A24"/>
    <w:rsid w:val="00EC2D4D"/>
    <w:rsid w:val="00F06986"/>
    <w:rsid w:val="00F07097"/>
    <w:rsid w:val="00F17E93"/>
    <w:rsid w:val="00F22713"/>
    <w:rsid w:val="00F5117F"/>
    <w:rsid w:val="00F51FA2"/>
    <w:rsid w:val="00F528E5"/>
    <w:rsid w:val="00F677C5"/>
    <w:rsid w:val="00F71A8C"/>
    <w:rsid w:val="00F90736"/>
    <w:rsid w:val="00FB2D45"/>
    <w:rsid w:val="00FC2569"/>
    <w:rsid w:val="00FE1ED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2D60E7"/>
  <w15:chartTrackingRefBased/>
  <w15:docId w15:val="{A29F5534-2F8E-6543-9A24-5432105D9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6839"/>
    <w:pPr>
      <w:spacing w:line="260" w:lineRule="atLeast"/>
      <w:jc w:val="both"/>
    </w:pPr>
    <w:rPr>
      <w:rFonts w:ascii="Palatino Linotype" w:hAnsi="Palatino Linotype"/>
      <w:noProof/>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DPI11articletype">
    <w:name w:val="MDPI_1.1_article_type"/>
    <w:next w:val="a"/>
    <w:qFormat/>
    <w:rsid w:val="000D6839"/>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a"/>
    <w:qFormat/>
    <w:rsid w:val="000D6839"/>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a"/>
    <w:qFormat/>
    <w:rsid w:val="000D6839"/>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a"/>
    <w:next w:val="a"/>
    <w:qFormat/>
    <w:rsid w:val="000D6839"/>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0D6839"/>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a"/>
    <w:qFormat/>
    <w:rsid w:val="000D6839"/>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a"/>
    <w:qFormat/>
    <w:rsid w:val="000D6839"/>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0D6839"/>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table" w:customStyle="1" w:styleId="Mdeck5tablebodythreelines">
    <w:name w:val="M_deck_5_table_body_three_lines"/>
    <w:basedOn w:val="a1"/>
    <w:uiPriority w:val="99"/>
    <w:rsid w:val="003A55A8"/>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a3">
    <w:name w:val="Table Grid"/>
    <w:basedOn w:val="a1"/>
    <w:uiPriority w:val="39"/>
    <w:rsid w:val="000D6839"/>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0D6839"/>
    <w:pPr>
      <w:tabs>
        <w:tab w:val="center" w:pos="4153"/>
        <w:tab w:val="right" w:pos="8306"/>
      </w:tabs>
      <w:snapToGrid w:val="0"/>
      <w:spacing w:line="240" w:lineRule="atLeast"/>
    </w:pPr>
    <w:rPr>
      <w:szCs w:val="18"/>
    </w:rPr>
  </w:style>
  <w:style w:type="character" w:customStyle="1" w:styleId="a5">
    <w:name w:val="页脚 字符"/>
    <w:link w:val="a4"/>
    <w:uiPriority w:val="99"/>
    <w:rsid w:val="000D6839"/>
    <w:rPr>
      <w:rFonts w:ascii="Palatino Linotype" w:hAnsi="Palatino Linotype"/>
      <w:noProof/>
      <w:color w:val="000000"/>
      <w:szCs w:val="18"/>
    </w:rPr>
  </w:style>
  <w:style w:type="paragraph" w:styleId="a6">
    <w:name w:val="header"/>
    <w:basedOn w:val="a"/>
    <w:link w:val="a7"/>
    <w:uiPriority w:val="99"/>
    <w:rsid w:val="000D6839"/>
    <w:pPr>
      <w:pBdr>
        <w:bottom w:val="single" w:sz="6" w:space="1" w:color="auto"/>
      </w:pBdr>
      <w:tabs>
        <w:tab w:val="center" w:pos="4153"/>
        <w:tab w:val="right" w:pos="8306"/>
      </w:tabs>
      <w:snapToGrid w:val="0"/>
      <w:spacing w:line="240" w:lineRule="atLeast"/>
      <w:jc w:val="center"/>
    </w:pPr>
    <w:rPr>
      <w:szCs w:val="18"/>
    </w:rPr>
  </w:style>
  <w:style w:type="character" w:customStyle="1" w:styleId="a7">
    <w:name w:val="页眉 字符"/>
    <w:link w:val="a6"/>
    <w:uiPriority w:val="99"/>
    <w:rsid w:val="000D6839"/>
    <w:rPr>
      <w:rFonts w:ascii="Palatino Linotype" w:hAnsi="Palatino Linotype"/>
      <w:noProof/>
      <w:color w:val="000000"/>
      <w:szCs w:val="18"/>
    </w:rPr>
  </w:style>
  <w:style w:type="paragraph" w:customStyle="1" w:styleId="MDPIheaderjournallogo">
    <w:name w:val="MDPI_header_journal_logo"/>
    <w:qFormat/>
    <w:rsid w:val="000D6839"/>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0D6839"/>
    <w:pPr>
      <w:ind w:firstLine="0"/>
    </w:pPr>
  </w:style>
  <w:style w:type="paragraph" w:customStyle="1" w:styleId="MDPI31text">
    <w:name w:val="MDPI_3.1_text"/>
    <w:qFormat/>
    <w:rsid w:val="009B0211"/>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0D6839"/>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0D6839"/>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0D6839"/>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0D6839"/>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D6477B"/>
    <w:pPr>
      <w:numPr>
        <w:numId w:val="24"/>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D6477B"/>
    <w:pPr>
      <w:numPr>
        <w:numId w:val="23"/>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0D6839"/>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0D6839"/>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0D6839"/>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6F7149"/>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0D6839"/>
    <w:pPr>
      <w:adjustRightInd w:val="0"/>
      <w:snapToGrid w:val="0"/>
      <w:spacing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0D6839"/>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0D6839"/>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1theorem">
    <w:name w:val="MDPI_8.1_theorem"/>
    <w:qFormat/>
    <w:rsid w:val="000D6839"/>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0D6839"/>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footerfirstpage">
    <w:name w:val="MDPI_footer_firstpage"/>
    <w:qFormat/>
    <w:rsid w:val="000D6839"/>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0D6839"/>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0D6839"/>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0D6839"/>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284883"/>
    <w:pPr>
      <w:numPr>
        <w:numId w:val="25"/>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a8">
    <w:name w:val="Balloon Text"/>
    <w:basedOn w:val="a"/>
    <w:link w:val="a9"/>
    <w:uiPriority w:val="99"/>
    <w:rsid w:val="000D6839"/>
    <w:rPr>
      <w:rFonts w:cs="Tahoma"/>
      <w:szCs w:val="18"/>
    </w:rPr>
  </w:style>
  <w:style w:type="character" w:customStyle="1" w:styleId="a9">
    <w:name w:val="批注框文本 字符"/>
    <w:link w:val="a8"/>
    <w:uiPriority w:val="99"/>
    <w:rsid w:val="000D6839"/>
    <w:rPr>
      <w:rFonts w:ascii="Palatino Linotype" w:hAnsi="Palatino Linotype" w:cs="Tahoma"/>
      <w:noProof/>
      <w:color w:val="000000"/>
      <w:szCs w:val="18"/>
    </w:rPr>
  </w:style>
  <w:style w:type="character" w:styleId="aa">
    <w:name w:val="line number"/>
    <w:uiPriority w:val="99"/>
    <w:rsid w:val="00C343B1"/>
    <w:rPr>
      <w:rFonts w:ascii="Palatino Linotype" w:hAnsi="Palatino Linotype"/>
      <w:sz w:val="16"/>
    </w:rPr>
  </w:style>
  <w:style w:type="table" w:customStyle="1" w:styleId="MDPI41threelinetable">
    <w:name w:val="MDPI_4.1_three_line_table"/>
    <w:basedOn w:val="a1"/>
    <w:uiPriority w:val="99"/>
    <w:rsid w:val="000D6839"/>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ab">
    <w:name w:val="Hyperlink"/>
    <w:uiPriority w:val="99"/>
    <w:rsid w:val="000D6839"/>
    <w:rPr>
      <w:color w:val="0000FF"/>
      <w:u w:val="single"/>
    </w:rPr>
  </w:style>
  <w:style w:type="character" w:styleId="ac">
    <w:name w:val="Unresolved Mention"/>
    <w:uiPriority w:val="99"/>
    <w:semiHidden/>
    <w:unhideWhenUsed/>
    <w:rsid w:val="00963346"/>
    <w:rPr>
      <w:color w:val="605E5C"/>
      <w:shd w:val="clear" w:color="auto" w:fill="E1DFDD"/>
    </w:rPr>
  </w:style>
  <w:style w:type="table" w:styleId="4">
    <w:name w:val="Plain Table 4"/>
    <w:basedOn w:val="a1"/>
    <w:uiPriority w:val="44"/>
    <w:rsid w:val="00F71A8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0D6839"/>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0D6839"/>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0D6839"/>
    <w:pPr>
      <w:adjustRightInd w:val="0"/>
      <w:snapToGrid w:val="0"/>
      <w:spacing w:after="120" w:line="240" w:lineRule="atLeast"/>
      <w:ind w:right="113"/>
    </w:pPr>
    <w:rPr>
      <w:rFonts w:ascii="Palatino Linotype" w:hAnsi="Palatino Linotype"/>
      <w:snapToGrid w:val="0"/>
      <w:color w:val="000000"/>
      <w:sz w:val="14"/>
      <w:lang w:eastAsia="en-US" w:bidi="en-US"/>
    </w:rPr>
  </w:style>
  <w:style w:type="paragraph" w:customStyle="1" w:styleId="MDPI15academiceditor">
    <w:name w:val="MDPI_1.5_academic_editor"/>
    <w:qFormat/>
    <w:rsid w:val="00AD4A58"/>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0D6839"/>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0D6839"/>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0D6839"/>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0D6839"/>
    <w:pPr>
      <w:adjustRightInd w:val="0"/>
      <w:snapToGrid w:val="0"/>
      <w:spacing w:before="240" w:line="240" w:lineRule="atLeast"/>
      <w:ind w:right="113"/>
    </w:pPr>
    <w:rPr>
      <w:rFonts w:ascii="Palatino Linotype" w:eastAsia="Times New Roman" w:hAnsi="Palatino Linotype"/>
      <w:noProof/>
      <w:snapToGrid w:val="0"/>
      <w:color w:val="000000"/>
      <w:spacing w:val="-2"/>
      <w:sz w:val="14"/>
      <w:lang w:val="en-GB" w:eastAsia="en-GB"/>
    </w:rPr>
  </w:style>
  <w:style w:type="paragraph" w:customStyle="1" w:styleId="MDPI73CopyrightImage">
    <w:name w:val="MDPI_7.3_CopyrightImage"/>
    <w:rsid w:val="000D6839"/>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0D6839"/>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0D6839"/>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0D6839"/>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0D6839"/>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0D6839"/>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a1"/>
    <w:uiPriority w:val="99"/>
    <w:rsid w:val="000D6839"/>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rsid w:val="000D6839"/>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0D6839"/>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0D6839"/>
  </w:style>
  <w:style w:type="paragraph" w:styleId="ad">
    <w:name w:val="Bibliography"/>
    <w:basedOn w:val="a"/>
    <w:next w:val="a"/>
    <w:uiPriority w:val="37"/>
    <w:semiHidden/>
    <w:unhideWhenUsed/>
    <w:rsid w:val="000D6839"/>
  </w:style>
  <w:style w:type="paragraph" w:styleId="ae">
    <w:name w:val="Body Text"/>
    <w:link w:val="af"/>
    <w:rsid w:val="000D6839"/>
    <w:pPr>
      <w:spacing w:after="120" w:line="340" w:lineRule="atLeast"/>
      <w:jc w:val="both"/>
    </w:pPr>
    <w:rPr>
      <w:rFonts w:ascii="Palatino Linotype" w:hAnsi="Palatino Linotype"/>
      <w:color w:val="000000"/>
      <w:sz w:val="24"/>
      <w:lang w:eastAsia="de-DE"/>
    </w:rPr>
  </w:style>
  <w:style w:type="character" w:customStyle="1" w:styleId="af">
    <w:name w:val="正文文本 字符"/>
    <w:link w:val="ae"/>
    <w:rsid w:val="000D6839"/>
    <w:rPr>
      <w:rFonts w:ascii="Palatino Linotype" w:hAnsi="Palatino Linotype"/>
      <w:color w:val="000000"/>
      <w:sz w:val="24"/>
      <w:lang w:eastAsia="de-DE"/>
    </w:rPr>
  </w:style>
  <w:style w:type="character" w:styleId="af0">
    <w:name w:val="annotation reference"/>
    <w:rsid w:val="000D6839"/>
    <w:rPr>
      <w:sz w:val="21"/>
      <w:szCs w:val="21"/>
    </w:rPr>
  </w:style>
  <w:style w:type="paragraph" w:styleId="af1">
    <w:name w:val="annotation text"/>
    <w:basedOn w:val="a"/>
    <w:link w:val="af2"/>
    <w:rsid w:val="000D6839"/>
  </w:style>
  <w:style w:type="character" w:customStyle="1" w:styleId="af2">
    <w:name w:val="批注文字 字符"/>
    <w:link w:val="af1"/>
    <w:rsid w:val="000D6839"/>
    <w:rPr>
      <w:rFonts w:ascii="Palatino Linotype" w:hAnsi="Palatino Linotype"/>
      <w:noProof/>
      <w:color w:val="000000"/>
    </w:rPr>
  </w:style>
  <w:style w:type="paragraph" w:styleId="af3">
    <w:name w:val="annotation subject"/>
    <w:basedOn w:val="af1"/>
    <w:next w:val="af1"/>
    <w:link w:val="af4"/>
    <w:rsid w:val="000D6839"/>
    <w:rPr>
      <w:b/>
      <w:bCs/>
    </w:rPr>
  </w:style>
  <w:style w:type="character" w:customStyle="1" w:styleId="af4">
    <w:name w:val="批注主题 字符"/>
    <w:link w:val="af3"/>
    <w:rsid w:val="000D6839"/>
    <w:rPr>
      <w:rFonts w:ascii="Palatino Linotype" w:hAnsi="Palatino Linotype"/>
      <w:b/>
      <w:bCs/>
      <w:noProof/>
      <w:color w:val="000000"/>
    </w:rPr>
  </w:style>
  <w:style w:type="character" w:styleId="af5">
    <w:name w:val="endnote reference"/>
    <w:rsid w:val="000D6839"/>
    <w:rPr>
      <w:vertAlign w:val="superscript"/>
    </w:rPr>
  </w:style>
  <w:style w:type="paragraph" w:styleId="af6">
    <w:name w:val="endnote text"/>
    <w:basedOn w:val="a"/>
    <w:link w:val="af7"/>
    <w:semiHidden/>
    <w:unhideWhenUsed/>
    <w:rsid w:val="000D6839"/>
    <w:pPr>
      <w:spacing w:line="240" w:lineRule="auto"/>
    </w:pPr>
  </w:style>
  <w:style w:type="character" w:customStyle="1" w:styleId="af7">
    <w:name w:val="尾注文本 字符"/>
    <w:link w:val="af6"/>
    <w:semiHidden/>
    <w:rsid w:val="000D6839"/>
    <w:rPr>
      <w:rFonts w:ascii="Palatino Linotype" w:hAnsi="Palatino Linotype"/>
      <w:noProof/>
      <w:color w:val="000000"/>
    </w:rPr>
  </w:style>
  <w:style w:type="character" w:styleId="af8">
    <w:name w:val="FollowedHyperlink"/>
    <w:rsid w:val="000D6839"/>
    <w:rPr>
      <w:color w:val="954F72"/>
      <w:u w:val="single"/>
    </w:rPr>
  </w:style>
  <w:style w:type="paragraph" w:styleId="af9">
    <w:name w:val="footnote text"/>
    <w:basedOn w:val="a"/>
    <w:link w:val="afa"/>
    <w:semiHidden/>
    <w:unhideWhenUsed/>
    <w:rsid w:val="000D6839"/>
    <w:pPr>
      <w:spacing w:line="240" w:lineRule="auto"/>
    </w:pPr>
  </w:style>
  <w:style w:type="character" w:customStyle="1" w:styleId="afa">
    <w:name w:val="脚注文本 字符"/>
    <w:link w:val="af9"/>
    <w:semiHidden/>
    <w:rsid w:val="000D6839"/>
    <w:rPr>
      <w:rFonts w:ascii="Palatino Linotype" w:hAnsi="Palatino Linotype"/>
      <w:noProof/>
      <w:color w:val="000000"/>
    </w:rPr>
  </w:style>
  <w:style w:type="paragraph" w:styleId="afb">
    <w:name w:val="Normal (Web)"/>
    <w:basedOn w:val="a"/>
    <w:uiPriority w:val="99"/>
    <w:rsid w:val="000D6839"/>
    <w:rPr>
      <w:szCs w:val="24"/>
    </w:rPr>
  </w:style>
  <w:style w:type="paragraph" w:customStyle="1" w:styleId="MsoFootnoteText0">
    <w:name w:val="MsoFootnoteText"/>
    <w:basedOn w:val="afb"/>
    <w:qFormat/>
    <w:rsid w:val="000D6839"/>
    <w:rPr>
      <w:rFonts w:ascii="Times New Roman" w:hAnsi="Times New Roman"/>
    </w:rPr>
  </w:style>
  <w:style w:type="character" w:styleId="afc">
    <w:name w:val="page number"/>
    <w:rsid w:val="000D6839"/>
  </w:style>
  <w:style w:type="character" w:styleId="afd">
    <w:name w:val="Placeholder Text"/>
    <w:uiPriority w:val="99"/>
    <w:semiHidden/>
    <w:rsid w:val="000D6839"/>
    <w:rPr>
      <w:color w:val="808080"/>
    </w:rPr>
  </w:style>
  <w:style w:type="paragraph" w:customStyle="1" w:styleId="MDPI71FootNotes">
    <w:name w:val="MDPI_7.1_FootNotes"/>
    <w:qFormat/>
    <w:rsid w:val="003B4E27"/>
    <w:pPr>
      <w:numPr>
        <w:numId w:val="22"/>
      </w:numPr>
      <w:adjustRightInd w:val="0"/>
      <w:snapToGrid w:val="0"/>
      <w:spacing w:line="228" w:lineRule="auto"/>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8299">
      <w:bodyDiv w:val="1"/>
      <w:marLeft w:val="0"/>
      <w:marRight w:val="0"/>
      <w:marTop w:val="0"/>
      <w:marBottom w:val="0"/>
      <w:divBdr>
        <w:top w:val="none" w:sz="0" w:space="0" w:color="auto"/>
        <w:left w:val="none" w:sz="0" w:space="0" w:color="auto"/>
        <w:bottom w:val="none" w:sz="0" w:space="0" w:color="auto"/>
        <w:right w:val="none" w:sz="0" w:space="0" w:color="auto"/>
      </w:divBdr>
    </w:div>
    <w:div w:id="1401444446">
      <w:bodyDiv w:val="1"/>
      <w:marLeft w:val="0"/>
      <w:marRight w:val="0"/>
      <w:marTop w:val="0"/>
      <w:marBottom w:val="0"/>
      <w:divBdr>
        <w:top w:val="none" w:sz="0" w:space="0" w:color="auto"/>
        <w:left w:val="none" w:sz="0" w:space="0" w:color="auto"/>
        <w:bottom w:val="none" w:sz="0" w:space="0" w:color="auto"/>
        <w:right w:val="none" w:sz="0" w:space="0" w:color="auto"/>
      </w:divBdr>
    </w:div>
    <w:div w:id="1492717766">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sonmao/Desktop/ERBB2&#35838;&#39064;writing/cancers&#27169;&#26495;/cancers-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cancers-template.dot</Template>
  <TotalTime>117</TotalTime>
  <Pages>5</Pages>
  <Words>1662</Words>
  <Characters>9478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Microsoft Office User</dc:creator>
  <cp:keywords/>
  <dc:description/>
  <cp:lastModifiedBy>Microsoft Office User</cp:lastModifiedBy>
  <cp:revision>17</cp:revision>
  <dcterms:created xsi:type="dcterms:W3CDTF">2022-08-29T14:19:00Z</dcterms:created>
  <dcterms:modified xsi:type="dcterms:W3CDTF">2022-09-21T13:42:00Z</dcterms:modified>
</cp:coreProperties>
</file>