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1C0E8" w14:textId="77777777" w:rsidR="00C554B8" w:rsidRDefault="00000000">
      <w:pPr>
        <w:rPr>
          <w:rFonts w:ascii="Times New Roman" w:hAnsi="Times New Roman" w:cs="Times New Roman"/>
          <w:b/>
          <w:bCs/>
          <w:sz w:val="28"/>
          <w:szCs w:val="28"/>
        </w:rPr>
      </w:pPr>
      <w:r>
        <w:rPr>
          <w:rFonts w:ascii="Times New Roman" w:hAnsi="Times New Roman" w:cs="Times New Roman" w:hint="eastAsia"/>
          <w:b/>
          <w:bCs/>
          <w:sz w:val="28"/>
          <w:szCs w:val="28"/>
        </w:rPr>
        <w:t>Supplementary 1</w:t>
      </w:r>
    </w:p>
    <w:p w14:paraId="48226E9B" w14:textId="77777777" w:rsidR="00C554B8" w:rsidRDefault="00000000">
      <w:pPr>
        <w:rPr>
          <w:rFonts w:ascii="Times New Roman" w:hAnsi="Times New Roman" w:cs="Times New Roman"/>
          <w:b/>
          <w:bCs/>
          <w:sz w:val="28"/>
          <w:szCs w:val="28"/>
        </w:rPr>
      </w:pPr>
      <w:r>
        <w:rPr>
          <w:rFonts w:ascii="Times New Roman" w:hAnsi="Times New Roman" w:cs="Times New Roman" w:hint="eastAsia"/>
          <w:b/>
          <w:bCs/>
          <w:sz w:val="28"/>
          <w:szCs w:val="28"/>
        </w:rPr>
        <w:t xml:space="preserve">TG18/TG13 diagnostic criteria for acute cholangitis. </w:t>
      </w:r>
      <w:r>
        <w:rPr>
          <w:rFonts w:ascii="Times New Roman" w:hAnsi="Times New Roman" w:cs="Times New Roman" w:hint="eastAsia"/>
          <w:b/>
          <w:bCs/>
          <w:sz w:val="28"/>
          <w:szCs w:val="28"/>
          <w:vertAlign w:val="superscript"/>
        </w:rPr>
        <w:t>[2,10]</w:t>
      </w:r>
    </w:p>
    <w:tbl>
      <w:tblPr>
        <w:tblStyle w:val="a3"/>
        <w:tblW w:w="9271" w:type="dxa"/>
        <w:tblLook w:val="04A0" w:firstRow="1" w:lastRow="0" w:firstColumn="1" w:lastColumn="0" w:noHBand="0" w:noVBand="1"/>
      </w:tblPr>
      <w:tblGrid>
        <w:gridCol w:w="9271"/>
      </w:tblGrid>
      <w:tr w:rsidR="00C554B8" w14:paraId="70F15628" w14:textId="77777777">
        <w:tc>
          <w:tcPr>
            <w:tcW w:w="9271" w:type="dxa"/>
            <w:tcBorders>
              <w:top w:val="single" w:sz="12" w:space="0" w:color="auto"/>
              <w:left w:val="nil"/>
              <w:bottom w:val="nil"/>
              <w:right w:val="nil"/>
            </w:tcBorders>
          </w:tcPr>
          <w:p w14:paraId="6BFA007B"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A. Systemic inflammation</w:t>
            </w:r>
          </w:p>
        </w:tc>
      </w:tr>
      <w:tr w:rsidR="00C554B8" w14:paraId="45DD9422" w14:textId="77777777">
        <w:tc>
          <w:tcPr>
            <w:tcW w:w="9271" w:type="dxa"/>
            <w:tcBorders>
              <w:top w:val="nil"/>
              <w:left w:val="nil"/>
              <w:bottom w:val="nil"/>
              <w:right w:val="nil"/>
            </w:tcBorders>
          </w:tcPr>
          <w:p w14:paraId="758336E3"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A-1. Fever and/or shaking chills</w:t>
            </w:r>
          </w:p>
        </w:tc>
      </w:tr>
      <w:tr w:rsidR="00C554B8" w14:paraId="5FF9A37E" w14:textId="77777777">
        <w:tc>
          <w:tcPr>
            <w:tcW w:w="9271" w:type="dxa"/>
            <w:tcBorders>
              <w:top w:val="nil"/>
              <w:left w:val="nil"/>
              <w:bottom w:val="nil"/>
              <w:right w:val="nil"/>
            </w:tcBorders>
          </w:tcPr>
          <w:p w14:paraId="6088A4F5"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A-2. Laboratory data: evidence of inflammatory response</w:t>
            </w:r>
          </w:p>
          <w:p w14:paraId="752D2537"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 xml:space="preserve">(Abnormal white blood cell counts, increase of serum </w:t>
            </w:r>
            <w:proofErr w:type="spellStart"/>
            <w:r>
              <w:rPr>
                <w:rFonts w:ascii="Times New Roman" w:hAnsi="Times New Roman" w:cs="Times New Roman" w:hint="eastAsia"/>
                <w:sz w:val="28"/>
                <w:szCs w:val="28"/>
              </w:rPr>
              <w:t>Creactive</w:t>
            </w:r>
            <w:proofErr w:type="spellEnd"/>
            <w:r>
              <w:rPr>
                <w:rFonts w:ascii="Times New Roman" w:hAnsi="Times New Roman" w:cs="Times New Roman" w:hint="eastAsia"/>
                <w:sz w:val="28"/>
                <w:szCs w:val="28"/>
              </w:rPr>
              <w:t xml:space="preserve"> protein levels, and other changes indicating inflammation)</w:t>
            </w:r>
          </w:p>
        </w:tc>
      </w:tr>
      <w:tr w:rsidR="00C554B8" w14:paraId="736024B3" w14:textId="77777777">
        <w:tc>
          <w:tcPr>
            <w:tcW w:w="9271" w:type="dxa"/>
            <w:tcBorders>
              <w:top w:val="nil"/>
              <w:left w:val="nil"/>
              <w:bottom w:val="nil"/>
              <w:right w:val="nil"/>
            </w:tcBorders>
          </w:tcPr>
          <w:p w14:paraId="07020400"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B. Cholestasis</w:t>
            </w:r>
          </w:p>
        </w:tc>
      </w:tr>
      <w:tr w:rsidR="00C554B8" w14:paraId="4F514FC8" w14:textId="77777777">
        <w:tc>
          <w:tcPr>
            <w:tcW w:w="9271" w:type="dxa"/>
            <w:tcBorders>
              <w:top w:val="nil"/>
              <w:left w:val="nil"/>
              <w:bottom w:val="nil"/>
              <w:right w:val="nil"/>
            </w:tcBorders>
          </w:tcPr>
          <w:p w14:paraId="4A6CE9C7"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B-1. Jaundice</w:t>
            </w:r>
          </w:p>
        </w:tc>
      </w:tr>
      <w:tr w:rsidR="00C554B8" w14:paraId="25CEBDB1" w14:textId="77777777">
        <w:tc>
          <w:tcPr>
            <w:tcW w:w="9271" w:type="dxa"/>
            <w:tcBorders>
              <w:top w:val="nil"/>
              <w:left w:val="nil"/>
              <w:bottom w:val="nil"/>
              <w:right w:val="nil"/>
            </w:tcBorders>
          </w:tcPr>
          <w:p w14:paraId="7D6E9959"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B-2. Laboratory data: abnormal liver function tests</w:t>
            </w:r>
          </w:p>
          <w:p w14:paraId="16FDE88A"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(Increased serum ALP, r-GTP (GGT), AST, and ALT levels)</w:t>
            </w:r>
          </w:p>
        </w:tc>
      </w:tr>
      <w:tr w:rsidR="00C554B8" w14:paraId="216ABF0F" w14:textId="77777777">
        <w:tc>
          <w:tcPr>
            <w:tcW w:w="9271" w:type="dxa"/>
            <w:tcBorders>
              <w:top w:val="nil"/>
              <w:left w:val="nil"/>
              <w:bottom w:val="nil"/>
              <w:right w:val="nil"/>
            </w:tcBorders>
          </w:tcPr>
          <w:p w14:paraId="074FF4B0"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C. Imaging</w:t>
            </w:r>
          </w:p>
        </w:tc>
      </w:tr>
      <w:tr w:rsidR="00C554B8" w14:paraId="362C01F3" w14:textId="77777777">
        <w:tc>
          <w:tcPr>
            <w:tcW w:w="9271" w:type="dxa"/>
            <w:tcBorders>
              <w:top w:val="nil"/>
              <w:left w:val="nil"/>
              <w:bottom w:val="nil"/>
              <w:right w:val="nil"/>
            </w:tcBorders>
          </w:tcPr>
          <w:p w14:paraId="173061FE"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C-1. Biliary dilatation</w:t>
            </w:r>
          </w:p>
        </w:tc>
      </w:tr>
      <w:tr w:rsidR="00C554B8" w14:paraId="0E9581E1" w14:textId="77777777">
        <w:tc>
          <w:tcPr>
            <w:tcW w:w="9271" w:type="dxa"/>
            <w:tcBorders>
              <w:top w:val="nil"/>
              <w:left w:val="nil"/>
              <w:bottom w:val="nil"/>
              <w:right w:val="nil"/>
            </w:tcBorders>
          </w:tcPr>
          <w:p w14:paraId="5153955A"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C-2. Evidence of the etiology on imaging (stricture, stone, stent etc.)</w:t>
            </w:r>
          </w:p>
        </w:tc>
      </w:tr>
      <w:tr w:rsidR="00C554B8" w14:paraId="709BA159" w14:textId="77777777">
        <w:tc>
          <w:tcPr>
            <w:tcW w:w="9271" w:type="dxa"/>
            <w:tcBorders>
              <w:top w:val="nil"/>
              <w:left w:val="nil"/>
              <w:bottom w:val="nil"/>
              <w:right w:val="nil"/>
            </w:tcBorders>
          </w:tcPr>
          <w:p w14:paraId="18A44299"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Suspected diagnosis: one item in A + one item in either B or C</w:t>
            </w:r>
          </w:p>
        </w:tc>
      </w:tr>
      <w:tr w:rsidR="00C554B8" w14:paraId="4BC71D9E" w14:textId="77777777">
        <w:tc>
          <w:tcPr>
            <w:tcW w:w="9271" w:type="dxa"/>
            <w:tcBorders>
              <w:top w:val="nil"/>
              <w:left w:val="nil"/>
              <w:bottom w:val="single" w:sz="12" w:space="0" w:color="auto"/>
              <w:right w:val="nil"/>
            </w:tcBorders>
          </w:tcPr>
          <w:p w14:paraId="1D89D543"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Definite diagnosis: one item in A, one item in B and one item in C</w:t>
            </w:r>
          </w:p>
        </w:tc>
      </w:tr>
    </w:tbl>
    <w:p w14:paraId="30C80BAB" w14:textId="77777777" w:rsidR="00C554B8" w:rsidRDefault="00000000">
      <w:pPr>
        <w:rPr>
          <w:rFonts w:ascii="Times New Roman" w:hAnsi="Times New Roman" w:cs="Times New Roman"/>
          <w:sz w:val="28"/>
          <w:szCs w:val="28"/>
        </w:rPr>
      </w:pP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hint="eastAsia"/>
          <w:sz w:val="28"/>
          <w:szCs w:val="28"/>
        </w:rPr>
        <w:t>Other factors which are helpful in diagnosis of acute cholangitis include abdominal pain (right upper quadrant or upper abdominal) and a history of biliary disease such as gallstones, previous biliary procedures, and placement of a biliary stent.</w:t>
      </w:r>
    </w:p>
    <w:p w14:paraId="05746DBA" w14:textId="77777777" w:rsidR="00C554B8" w:rsidRDefault="00C554B8">
      <w:pPr>
        <w:rPr>
          <w:rFonts w:ascii="Times New Roman" w:hAnsi="Times New Roman" w:cs="Times New Roman"/>
          <w:sz w:val="28"/>
          <w:szCs w:val="28"/>
        </w:rPr>
      </w:pPr>
    </w:p>
    <w:p w14:paraId="5EA21A70" w14:textId="77777777" w:rsidR="00C554B8" w:rsidRDefault="00C554B8">
      <w:pPr>
        <w:rPr>
          <w:rFonts w:ascii="Times New Roman" w:hAnsi="Times New Roman" w:cs="Times New Roman"/>
          <w:sz w:val="28"/>
          <w:szCs w:val="28"/>
        </w:rPr>
      </w:pPr>
    </w:p>
    <w:p w14:paraId="0BDD186D" w14:textId="77777777" w:rsidR="00C554B8" w:rsidRDefault="00000000">
      <w:pPr>
        <w:rPr>
          <w:rFonts w:ascii="Times New Roman" w:hAnsi="Times New Roman" w:cs="Times New Roman"/>
          <w:b/>
          <w:bCs/>
          <w:sz w:val="28"/>
          <w:szCs w:val="28"/>
        </w:rPr>
      </w:pPr>
      <w:r>
        <w:rPr>
          <w:rFonts w:ascii="Times New Roman" w:hAnsi="Times New Roman" w:cs="Times New Roman"/>
          <w:b/>
          <w:bCs/>
          <w:sz w:val="28"/>
          <w:szCs w:val="28"/>
        </w:rPr>
        <w:lastRenderedPageBreak/>
        <w:t>TG18/TG13 severity assessment criteria for acute cholangitis</w:t>
      </w:r>
      <w:r>
        <w:rPr>
          <w:rFonts w:ascii="Times New Roman" w:hAnsi="Times New Roman" w:cs="Times New Roman" w:hint="eastAsia"/>
          <w:b/>
          <w:bCs/>
          <w:sz w:val="28"/>
          <w:szCs w:val="28"/>
        </w:rPr>
        <w:t xml:space="preserve">. </w:t>
      </w:r>
      <w:r>
        <w:rPr>
          <w:rFonts w:ascii="Times New Roman" w:hAnsi="Times New Roman" w:cs="Times New Roman" w:hint="eastAsia"/>
          <w:b/>
          <w:bCs/>
          <w:sz w:val="28"/>
          <w:szCs w:val="28"/>
          <w:vertAlign w:val="superscript"/>
        </w:rPr>
        <w:t>[2,10]</w:t>
      </w:r>
    </w:p>
    <w:tbl>
      <w:tblPr>
        <w:tblStyle w:val="a3"/>
        <w:tblW w:w="9481" w:type="dxa"/>
        <w:tblLook w:val="04A0" w:firstRow="1" w:lastRow="0" w:firstColumn="1" w:lastColumn="0" w:noHBand="0" w:noVBand="1"/>
      </w:tblPr>
      <w:tblGrid>
        <w:gridCol w:w="9481"/>
      </w:tblGrid>
      <w:tr w:rsidR="00C554B8" w14:paraId="3897D82F" w14:textId="77777777">
        <w:tc>
          <w:tcPr>
            <w:tcW w:w="9481" w:type="dxa"/>
            <w:tcBorders>
              <w:top w:val="single" w:sz="12" w:space="0" w:color="auto"/>
              <w:left w:val="nil"/>
              <w:bottom w:val="nil"/>
              <w:right w:val="nil"/>
            </w:tcBorders>
          </w:tcPr>
          <w:p w14:paraId="3BFEC9FE" w14:textId="0075636C" w:rsidR="00C554B8" w:rsidRDefault="00000000">
            <w:pPr>
              <w:rPr>
                <w:rFonts w:ascii="Times New Roman" w:hAnsi="Times New Roman" w:cs="Times New Roman"/>
                <w:sz w:val="28"/>
                <w:szCs w:val="28"/>
              </w:rPr>
            </w:pPr>
            <w:r>
              <w:rPr>
                <w:rFonts w:ascii="Times New Roman" w:hAnsi="Times New Roman" w:cs="Times New Roman" w:hint="eastAsia"/>
                <w:sz w:val="28"/>
                <w:szCs w:val="28"/>
              </w:rPr>
              <w:t>S</w:t>
            </w:r>
            <w:r>
              <w:rPr>
                <w:rFonts w:ascii="Times New Roman" w:hAnsi="Times New Roman" w:cs="Times New Roman"/>
                <w:sz w:val="28"/>
                <w:szCs w:val="28"/>
              </w:rPr>
              <w:t>evere acute cholangitis</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Grade </w:t>
            </w:r>
            <w:r w:rsidR="007F3088">
              <w:rPr>
                <w:rFonts w:ascii="Times New Roman" w:hAnsi="Times New Roman" w:cs="Times New Roman"/>
                <w:sz w:val="28"/>
                <w:szCs w:val="28"/>
              </w:rPr>
              <w:t>III)</w:t>
            </w:r>
          </w:p>
        </w:tc>
      </w:tr>
      <w:tr w:rsidR="00C554B8" w14:paraId="1820211A" w14:textId="77777777">
        <w:tc>
          <w:tcPr>
            <w:tcW w:w="9481" w:type="dxa"/>
            <w:tcBorders>
              <w:top w:val="nil"/>
              <w:left w:val="nil"/>
              <w:bottom w:val="nil"/>
              <w:right w:val="nil"/>
            </w:tcBorders>
          </w:tcPr>
          <w:p w14:paraId="344D64C8"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S</w:t>
            </w:r>
            <w:r>
              <w:rPr>
                <w:rFonts w:ascii="Times New Roman" w:hAnsi="Times New Roman" w:cs="Times New Roman"/>
                <w:sz w:val="28"/>
                <w:szCs w:val="28"/>
              </w:rPr>
              <w:t>evere acute cholangitis is defined as acute cholangitis that is associated with the onset of dysfunction at least in any one of</w:t>
            </w:r>
            <w:r>
              <w:rPr>
                <w:rFonts w:ascii="Times New Roman" w:hAnsi="Times New Roman" w:cs="Times New Roman" w:hint="eastAsia"/>
                <w:sz w:val="28"/>
                <w:szCs w:val="28"/>
              </w:rPr>
              <w:t xml:space="preserve"> </w:t>
            </w:r>
            <w:r>
              <w:rPr>
                <w:rFonts w:ascii="Times New Roman" w:hAnsi="Times New Roman" w:cs="Times New Roman"/>
                <w:sz w:val="28"/>
                <w:szCs w:val="28"/>
              </w:rPr>
              <w:t>the following organs/systems:</w:t>
            </w:r>
          </w:p>
        </w:tc>
      </w:tr>
      <w:tr w:rsidR="00C554B8" w14:paraId="3371C176" w14:textId="77777777">
        <w:tc>
          <w:tcPr>
            <w:tcW w:w="9481" w:type="dxa"/>
            <w:tcBorders>
              <w:top w:val="nil"/>
              <w:left w:val="nil"/>
              <w:bottom w:val="nil"/>
              <w:right w:val="nil"/>
            </w:tcBorders>
          </w:tcPr>
          <w:p w14:paraId="23A2B11F"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1. Cardiovascular dysfunction: hypotension requiring dopamine ≥5 lg/kg per min, or any dose of norepinephrine</w:t>
            </w:r>
          </w:p>
        </w:tc>
      </w:tr>
      <w:tr w:rsidR="00C554B8" w14:paraId="5C3442D0" w14:textId="77777777">
        <w:tc>
          <w:tcPr>
            <w:tcW w:w="9481" w:type="dxa"/>
            <w:tcBorders>
              <w:top w:val="nil"/>
              <w:left w:val="nil"/>
              <w:bottom w:val="nil"/>
              <w:right w:val="nil"/>
            </w:tcBorders>
          </w:tcPr>
          <w:p w14:paraId="2E17A57C"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2. Neurological dysfunction: disturbance of consciousness</w:t>
            </w:r>
          </w:p>
        </w:tc>
      </w:tr>
      <w:tr w:rsidR="00C554B8" w14:paraId="3C62EF87" w14:textId="77777777">
        <w:tc>
          <w:tcPr>
            <w:tcW w:w="9481" w:type="dxa"/>
            <w:tcBorders>
              <w:top w:val="nil"/>
              <w:left w:val="nil"/>
              <w:bottom w:val="nil"/>
              <w:right w:val="nil"/>
            </w:tcBorders>
          </w:tcPr>
          <w:p w14:paraId="5BF40B50"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3. Respiratory dysfunction: PaO2/FiO2 ratio &lt;300</w:t>
            </w:r>
          </w:p>
        </w:tc>
      </w:tr>
      <w:tr w:rsidR="00C554B8" w14:paraId="23C480DB" w14:textId="77777777">
        <w:tc>
          <w:tcPr>
            <w:tcW w:w="9481" w:type="dxa"/>
            <w:tcBorders>
              <w:top w:val="nil"/>
              <w:left w:val="nil"/>
              <w:bottom w:val="nil"/>
              <w:right w:val="nil"/>
            </w:tcBorders>
          </w:tcPr>
          <w:p w14:paraId="3A8BE45C"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4. Renal dysfunction: oliguria, serum creatinine &gt;2.0 mg/dl</w:t>
            </w:r>
          </w:p>
        </w:tc>
      </w:tr>
      <w:tr w:rsidR="00C554B8" w14:paraId="6454997B" w14:textId="77777777">
        <w:tc>
          <w:tcPr>
            <w:tcW w:w="9481" w:type="dxa"/>
            <w:tcBorders>
              <w:top w:val="nil"/>
              <w:left w:val="nil"/>
              <w:bottom w:val="nil"/>
              <w:right w:val="nil"/>
            </w:tcBorders>
          </w:tcPr>
          <w:p w14:paraId="44900675"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5. Hepatic dysfunction: PT-INR &gt;1.5</w:t>
            </w:r>
          </w:p>
        </w:tc>
      </w:tr>
      <w:tr w:rsidR="00C554B8" w14:paraId="020150A2" w14:textId="77777777">
        <w:tc>
          <w:tcPr>
            <w:tcW w:w="9481" w:type="dxa"/>
            <w:tcBorders>
              <w:top w:val="nil"/>
              <w:left w:val="nil"/>
              <w:bottom w:val="nil"/>
              <w:right w:val="nil"/>
            </w:tcBorders>
          </w:tcPr>
          <w:p w14:paraId="1C9101DE"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6. Hematological dysfunction: platelet count &lt;100,000/mm</w:t>
            </w:r>
            <w:r>
              <w:rPr>
                <w:rFonts w:ascii="Times New Roman" w:hAnsi="Times New Roman" w:cs="Times New Roman"/>
                <w:sz w:val="28"/>
                <w:szCs w:val="28"/>
                <w:vertAlign w:val="superscript"/>
              </w:rPr>
              <w:t>3</w:t>
            </w:r>
          </w:p>
        </w:tc>
      </w:tr>
      <w:tr w:rsidR="00C554B8" w14:paraId="2F183190" w14:textId="77777777">
        <w:tc>
          <w:tcPr>
            <w:tcW w:w="9481" w:type="dxa"/>
            <w:tcBorders>
              <w:top w:val="nil"/>
              <w:left w:val="nil"/>
              <w:bottom w:val="nil"/>
              <w:right w:val="nil"/>
            </w:tcBorders>
          </w:tcPr>
          <w:p w14:paraId="077F060F" w14:textId="1ECAAB71" w:rsidR="00C554B8" w:rsidRDefault="00000000">
            <w:pPr>
              <w:rPr>
                <w:rFonts w:ascii="Times New Roman" w:hAnsi="Times New Roman" w:cs="Times New Roman"/>
                <w:sz w:val="28"/>
                <w:szCs w:val="28"/>
              </w:rPr>
            </w:pPr>
            <w:r>
              <w:rPr>
                <w:rFonts w:ascii="Times New Roman" w:hAnsi="Times New Roman" w:cs="Times New Roman" w:hint="eastAsia"/>
                <w:sz w:val="28"/>
                <w:szCs w:val="28"/>
              </w:rPr>
              <w:t>M</w:t>
            </w:r>
            <w:r>
              <w:rPr>
                <w:rFonts w:ascii="Times New Roman" w:hAnsi="Times New Roman" w:cs="Times New Roman"/>
                <w:sz w:val="28"/>
                <w:szCs w:val="28"/>
              </w:rPr>
              <w:t>oderate acute cholangitis</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Grade </w:t>
            </w:r>
            <w:r w:rsidR="007F3088">
              <w:rPr>
                <w:rFonts w:ascii="Times New Roman" w:hAnsi="Times New Roman" w:cs="Times New Roman"/>
                <w:sz w:val="28"/>
                <w:szCs w:val="28"/>
              </w:rPr>
              <w:t>II)</w:t>
            </w:r>
          </w:p>
        </w:tc>
      </w:tr>
      <w:tr w:rsidR="00C554B8" w14:paraId="766A5001" w14:textId="77777777">
        <w:tc>
          <w:tcPr>
            <w:tcW w:w="9481" w:type="dxa"/>
            <w:tcBorders>
              <w:top w:val="nil"/>
              <w:left w:val="nil"/>
              <w:bottom w:val="nil"/>
              <w:right w:val="nil"/>
            </w:tcBorders>
          </w:tcPr>
          <w:p w14:paraId="4E32300D"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M</w:t>
            </w:r>
            <w:r>
              <w:rPr>
                <w:rFonts w:ascii="Times New Roman" w:hAnsi="Times New Roman" w:cs="Times New Roman"/>
                <w:sz w:val="28"/>
                <w:szCs w:val="28"/>
              </w:rPr>
              <w:t>oderate acute cholangitis is associated with any two of the following conditions:</w:t>
            </w:r>
          </w:p>
        </w:tc>
      </w:tr>
      <w:tr w:rsidR="00C554B8" w14:paraId="05C63081" w14:textId="77777777">
        <w:tc>
          <w:tcPr>
            <w:tcW w:w="9481" w:type="dxa"/>
            <w:tcBorders>
              <w:top w:val="nil"/>
              <w:left w:val="nil"/>
              <w:bottom w:val="nil"/>
              <w:right w:val="nil"/>
            </w:tcBorders>
          </w:tcPr>
          <w:p w14:paraId="678C2076"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1. Abnormal WBC count (&gt;12,000/mm</w:t>
            </w:r>
            <w:r>
              <w:rPr>
                <w:rFonts w:ascii="Times New Roman" w:hAnsi="Times New Roman" w:cs="Times New Roman"/>
                <w:sz w:val="28"/>
                <w:szCs w:val="28"/>
                <w:vertAlign w:val="superscript"/>
              </w:rPr>
              <w:t>3</w:t>
            </w:r>
            <w:r>
              <w:rPr>
                <w:rFonts w:ascii="Times New Roman" w:hAnsi="Times New Roman" w:cs="Times New Roman"/>
                <w:sz w:val="28"/>
                <w:szCs w:val="28"/>
              </w:rPr>
              <w:t>, &lt;4,000/mm</w:t>
            </w:r>
            <w:r>
              <w:rPr>
                <w:rFonts w:ascii="Times New Roman" w:hAnsi="Times New Roman" w:cs="Times New Roman"/>
                <w:sz w:val="28"/>
                <w:szCs w:val="28"/>
                <w:vertAlign w:val="superscript"/>
              </w:rPr>
              <w:t>3</w:t>
            </w:r>
            <w:r>
              <w:rPr>
                <w:rFonts w:ascii="Times New Roman" w:hAnsi="Times New Roman" w:cs="Times New Roman"/>
                <w:sz w:val="28"/>
                <w:szCs w:val="28"/>
              </w:rPr>
              <w:t>)</w:t>
            </w:r>
          </w:p>
        </w:tc>
      </w:tr>
      <w:tr w:rsidR="00C554B8" w14:paraId="5F1E289D" w14:textId="77777777">
        <w:tc>
          <w:tcPr>
            <w:tcW w:w="9481" w:type="dxa"/>
            <w:tcBorders>
              <w:top w:val="nil"/>
              <w:left w:val="nil"/>
              <w:bottom w:val="nil"/>
              <w:right w:val="nil"/>
            </w:tcBorders>
          </w:tcPr>
          <w:p w14:paraId="1F3F6BFA"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2. High fever (≥39°C)</w:t>
            </w:r>
          </w:p>
        </w:tc>
      </w:tr>
      <w:tr w:rsidR="00C554B8" w14:paraId="2BF3DBD8" w14:textId="77777777">
        <w:tc>
          <w:tcPr>
            <w:tcW w:w="9481" w:type="dxa"/>
            <w:tcBorders>
              <w:top w:val="nil"/>
              <w:left w:val="nil"/>
              <w:bottom w:val="nil"/>
              <w:right w:val="nil"/>
            </w:tcBorders>
          </w:tcPr>
          <w:p w14:paraId="2309043A"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3. Age (≥75 years old)</w:t>
            </w:r>
          </w:p>
        </w:tc>
      </w:tr>
      <w:tr w:rsidR="00C554B8" w14:paraId="1FB721FD" w14:textId="77777777">
        <w:tc>
          <w:tcPr>
            <w:tcW w:w="9481" w:type="dxa"/>
            <w:tcBorders>
              <w:top w:val="nil"/>
              <w:left w:val="nil"/>
              <w:bottom w:val="nil"/>
              <w:right w:val="nil"/>
            </w:tcBorders>
          </w:tcPr>
          <w:p w14:paraId="4545BED7"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4. Hyperbilirubinemia (total bilirubin ≥5 mg/dl)</w:t>
            </w:r>
          </w:p>
        </w:tc>
      </w:tr>
      <w:tr w:rsidR="00C554B8" w14:paraId="39AD713B" w14:textId="77777777">
        <w:tc>
          <w:tcPr>
            <w:tcW w:w="9481" w:type="dxa"/>
            <w:tcBorders>
              <w:top w:val="nil"/>
              <w:left w:val="nil"/>
              <w:bottom w:val="nil"/>
              <w:right w:val="nil"/>
            </w:tcBorders>
          </w:tcPr>
          <w:p w14:paraId="4F9F9F41"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5. Hypoalbuminemia (&lt;</w:t>
            </w:r>
            <w:r>
              <w:rPr>
                <w:rFonts w:ascii="Times New Roman" w:hAnsi="Times New Roman" w:cs="Times New Roman" w:hint="eastAsia"/>
                <w:sz w:val="28"/>
                <w:szCs w:val="28"/>
              </w:rPr>
              <w:t xml:space="preserve"> </w:t>
            </w:r>
            <w:r>
              <w:rPr>
                <w:rFonts w:ascii="Times New Roman" w:hAnsi="Times New Roman" w:cs="Times New Roman"/>
                <w:sz w:val="28"/>
                <w:szCs w:val="28"/>
              </w:rPr>
              <w:t>lower limit of normal value</w:t>
            </w:r>
            <w:r>
              <w:rPr>
                <w:rFonts w:ascii="Times New Roman" w:hAnsi="Times New Roman" w:cs="Times New Roman" w:hint="eastAsia"/>
                <w:sz w:val="28"/>
                <w:szCs w:val="28"/>
              </w:rPr>
              <w:t>×</w:t>
            </w:r>
            <w:r>
              <w:rPr>
                <w:rFonts w:ascii="Times New Roman" w:hAnsi="Times New Roman" w:cs="Times New Roman" w:hint="eastAsia"/>
                <w:sz w:val="28"/>
                <w:szCs w:val="28"/>
              </w:rPr>
              <w:t>0.7</w:t>
            </w:r>
            <w:r>
              <w:rPr>
                <w:rFonts w:ascii="Times New Roman" w:hAnsi="Times New Roman" w:cs="Times New Roman"/>
                <w:sz w:val="28"/>
                <w:szCs w:val="28"/>
              </w:rPr>
              <w:t>)</w:t>
            </w:r>
          </w:p>
        </w:tc>
      </w:tr>
      <w:tr w:rsidR="00C554B8" w14:paraId="4EE1F4B7" w14:textId="77777777">
        <w:tc>
          <w:tcPr>
            <w:tcW w:w="9481" w:type="dxa"/>
            <w:tcBorders>
              <w:top w:val="nil"/>
              <w:left w:val="nil"/>
              <w:bottom w:val="nil"/>
              <w:right w:val="nil"/>
            </w:tcBorders>
          </w:tcPr>
          <w:p w14:paraId="4DDDBE7F"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M</w:t>
            </w:r>
            <w:r>
              <w:rPr>
                <w:rFonts w:ascii="Times New Roman" w:hAnsi="Times New Roman" w:cs="Times New Roman"/>
                <w:sz w:val="28"/>
                <w:szCs w:val="28"/>
              </w:rPr>
              <w:t>ild acute cholangitis</w:t>
            </w:r>
            <w:r>
              <w:rPr>
                <w:rFonts w:ascii="Times New Roman" w:hAnsi="Times New Roman" w:cs="Times New Roman" w:hint="eastAsia"/>
                <w:sz w:val="28"/>
                <w:szCs w:val="28"/>
              </w:rPr>
              <w:t xml:space="preserve"> (</w:t>
            </w:r>
            <w:r>
              <w:rPr>
                <w:rFonts w:ascii="Times New Roman" w:hAnsi="Times New Roman" w:cs="Times New Roman"/>
                <w:sz w:val="28"/>
                <w:szCs w:val="28"/>
              </w:rPr>
              <w:t>Grade I</w:t>
            </w:r>
            <w:r>
              <w:rPr>
                <w:rFonts w:ascii="Times New Roman" w:hAnsi="Times New Roman" w:cs="Times New Roman" w:hint="eastAsia"/>
                <w:sz w:val="28"/>
                <w:szCs w:val="28"/>
              </w:rPr>
              <w:t>)</w:t>
            </w:r>
          </w:p>
        </w:tc>
      </w:tr>
      <w:tr w:rsidR="00C554B8" w14:paraId="3DBF9393" w14:textId="77777777">
        <w:tc>
          <w:tcPr>
            <w:tcW w:w="9481" w:type="dxa"/>
            <w:tcBorders>
              <w:top w:val="nil"/>
              <w:left w:val="nil"/>
              <w:bottom w:val="single" w:sz="12" w:space="0" w:color="auto"/>
              <w:right w:val="nil"/>
            </w:tcBorders>
          </w:tcPr>
          <w:p w14:paraId="4D75DD82"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M</w:t>
            </w:r>
            <w:r>
              <w:rPr>
                <w:rFonts w:ascii="Times New Roman" w:hAnsi="Times New Roman" w:cs="Times New Roman"/>
                <w:sz w:val="28"/>
                <w:szCs w:val="28"/>
              </w:rPr>
              <w:t>ild</w:t>
            </w:r>
            <w:r>
              <w:rPr>
                <w:rFonts w:ascii="Times New Roman" w:hAnsi="Times New Roman" w:cs="Times New Roman" w:hint="eastAsia"/>
                <w:sz w:val="28"/>
                <w:szCs w:val="28"/>
              </w:rPr>
              <w:t xml:space="preserve"> acute cholangitis does not meet the criteria of </w:t>
            </w:r>
            <w:r>
              <w:rPr>
                <w:rFonts w:ascii="Times New Roman" w:hAnsi="Times New Roman" w:cs="Times New Roman" w:hint="eastAsia"/>
                <w:sz w:val="28"/>
                <w:szCs w:val="28"/>
              </w:rPr>
              <w:t>“</w:t>
            </w:r>
            <w:r>
              <w:rPr>
                <w:rFonts w:ascii="Times New Roman" w:hAnsi="Times New Roman" w:cs="Times New Roman" w:hint="eastAsia"/>
                <w:sz w:val="28"/>
                <w:szCs w:val="28"/>
              </w:rPr>
              <w:t>Severe</w:t>
            </w:r>
            <w:r>
              <w:rPr>
                <w:rFonts w:ascii="Times New Roman" w:hAnsi="Times New Roman" w:cs="Times New Roman" w:hint="eastAsia"/>
                <w:sz w:val="28"/>
                <w:szCs w:val="28"/>
              </w:rPr>
              <w:t>”</w:t>
            </w:r>
            <w:r>
              <w:rPr>
                <w:rFonts w:ascii="Times New Roman" w:hAnsi="Times New Roman" w:cs="Times New Roman" w:hint="eastAsia"/>
                <w:sz w:val="28"/>
                <w:szCs w:val="28"/>
              </w:rPr>
              <w:t xml:space="preserve"> or </w:t>
            </w:r>
            <w:r>
              <w:rPr>
                <w:rFonts w:ascii="Times New Roman" w:hAnsi="Times New Roman" w:cs="Times New Roman" w:hint="eastAsia"/>
                <w:sz w:val="28"/>
                <w:szCs w:val="28"/>
              </w:rPr>
              <w:t>“</w:t>
            </w:r>
            <w:r>
              <w:rPr>
                <w:rFonts w:ascii="Times New Roman" w:hAnsi="Times New Roman" w:cs="Times New Roman" w:hint="eastAsia"/>
                <w:sz w:val="28"/>
                <w:szCs w:val="28"/>
              </w:rPr>
              <w:t>Moderate</w:t>
            </w:r>
            <w:r>
              <w:rPr>
                <w:rFonts w:ascii="Times New Roman" w:hAnsi="Times New Roman" w:cs="Times New Roman" w:hint="eastAsia"/>
                <w:sz w:val="28"/>
                <w:szCs w:val="28"/>
              </w:rPr>
              <w:t>”</w:t>
            </w:r>
            <w:r>
              <w:rPr>
                <w:rFonts w:ascii="Times New Roman" w:hAnsi="Times New Roman" w:cs="Times New Roman" w:hint="eastAsia"/>
                <w:sz w:val="28"/>
                <w:szCs w:val="28"/>
              </w:rPr>
              <w:t xml:space="preserve"> acute cholangitis at initial diagnosis</w:t>
            </w:r>
          </w:p>
        </w:tc>
      </w:tr>
    </w:tbl>
    <w:p w14:paraId="798D55F3" w14:textId="77777777" w:rsidR="00C554B8" w:rsidRDefault="00C554B8">
      <w:pPr>
        <w:rPr>
          <w:rFonts w:ascii="Times New Roman" w:hAnsi="Times New Roman" w:cs="Times New Roman"/>
          <w:sz w:val="28"/>
          <w:szCs w:val="28"/>
        </w:rPr>
      </w:pPr>
    </w:p>
    <w:p w14:paraId="3E274C87" w14:textId="20B3B859" w:rsidR="00C554B8" w:rsidRDefault="00000000">
      <w:pPr>
        <w:rPr>
          <w:rFonts w:ascii="Times New Roman" w:hAnsi="Times New Roman" w:cs="Times New Roman"/>
          <w:b/>
          <w:bCs/>
          <w:sz w:val="28"/>
          <w:szCs w:val="28"/>
        </w:rPr>
      </w:pPr>
      <w:r>
        <w:rPr>
          <w:rFonts w:ascii="Times New Roman" w:hAnsi="Times New Roman" w:cs="Times New Roman" w:hint="eastAsia"/>
          <w:b/>
          <w:bCs/>
          <w:sz w:val="28"/>
          <w:szCs w:val="28"/>
        </w:rPr>
        <w:lastRenderedPageBreak/>
        <w:t>Supplementary 2</w:t>
      </w:r>
    </w:p>
    <w:p w14:paraId="29B3E39C" w14:textId="6E9F62DE" w:rsidR="00D51005" w:rsidRDefault="00D51005">
      <w:pPr>
        <w:rPr>
          <w:rFonts w:ascii="Times New Roman" w:hAnsi="Times New Roman" w:cs="Times New Roman"/>
          <w:b/>
          <w:bCs/>
          <w:sz w:val="28"/>
          <w:szCs w:val="28"/>
        </w:rPr>
      </w:pPr>
      <w:r>
        <w:rPr>
          <w:rFonts w:ascii="Times New Roman" w:hAnsi="Times New Roman" w:cs="Times New Roman"/>
          <w:b/>
          <w:bCs/>
          <w:sz w:val="28"/>
          <w:szCs w:val="28"/>
        </w:rPr>
        <w:t>O</w:t>
      </w:r>
      <w:r>
        <w:rPr>
          <w:rFonts w:ascii="Times New Roman" w:hAnsi="Times New Roman" w:cs="Times New Roman" w:hint="eastAsia"/>
          <w:b/>
          <w:bCs/>
          <w:sz w:val="28"/>
          <w:szCs w:val="28"/>
        </w:rPr>
        <w:t>rgan</w:t>
      </w:r>
      <w:r>
        <w:rPr>
          <w:rFonts w:ascii="Times New Roman" w:hAnsi="Times New Roman" w:cs="Times New Roman"/>
          <w:b/>
          <w:bCs/>
          <w:sz w:val="28"/>
          <w:szCs w:val="28"/>
        </w:rPr>
        <w:t xml:space="preserve"> </w:t>
      </w:r>
      <w:r>
        <w:rPr>
          <w:rFonts w:ascii="Times New Roman" w:hAnsi="Times New Roman" w:cs="Times New Roman" w:hint="eastAsia"/>
          <w:b/>
          <w:bCs/>
          <w:sz w:val="28"/>
          <w:szCs w:val="28"/>
        </w:rPr>
        <w:t>support</w:t>
      </w:r>
    </w:p>
    <w:p w14:paraId="159BEC04" w14:textId="65D96711" w:rsidR="00D51005" w:rsidRDefault="00D51005" w:rsidP="00D51005">
      <w:pPr>
        <w:widowControl/>
        <w:rPr>
          <w:rFonts w:ascii="Times New Roman" w:hAnsi="Times New Roman" w:cs="Times New Roman"/>
          <w:sz w:val="28"/>
          <w:szCs w:val="28"/>
        </w:rPr>
      </w:pPr>
      <w:r>
        <w:rPr>
          <w:rFonts w:ascii="Times New Roman" w:hAnsi="Times New Roman" w:cs="Times New Roman" w:hint="eastAsia"/>
          <w:sz w:val="28"/>
          <w:szCs w:val="28"/>
        </w:rPr>
        <w:t>Patients with hypoperfusion received aggressive hydration (at least 30 mL/kg of intravenous crystalloid fluid be given within the first 3 h of admission) immediately after the establishment of intravenous access to correct volume depletion and normalize blood pressure.</w:t>
      </w:r>
      <w:r>
        <w:rPr>
          <w:rFonts w:ascii="Times New Roman" w:hAnsi="Times New Roman" w:cs="Times New Roman" w:hint="eastAsia"/>
          <w:sz w:val="24"/>
          <w:vertAlign w:val="superscript"/>
        </w:rPr>
        <w:t xml:space="preserve"> </w:t>
      </w:r>
      <w:r>
        <w:rPr>
          <w:rFonts w:ascii="Times New Roman" w:hAnsi="Times New Roman" w:cs="Times New Roman" w:hint="eastAsia"/>
          <w:sz w:val="28"/>
          <w:szCs w:val="28"/>
        </w:rPr>
        <w:t xml:space="preserve">Patients with hypotension who had no response to initial fluid resuscitation received vasopressors (norepinephrine, epinephrine, or dobutamine) to maintain the mean arterial pressure (MAP) </w:t>
      </w:r>
      <w:r>
        <w:rPr>
          <w:rFonts w:ascii="Times New Roman" w:hAnsi="Times New Roman" w:cs="Times New Roman" w:hint="eastAsia"/>
          <w:sz w:val="28"/>
          <w:szCs w:val="28"/>
        </w:rPr>
        <w:t>＞</w:t>
      </w:r>
      <w:r>
        <w:rPr>
          <w:rFonts w:ascii="Times New Roman" w:hAnsi="Times New Roman" w:cs="Times New Roman" w:hint="eastAsia"/>
          <w:sz w:val="28"/>
          <w:szCs w:val="28"/>
        </w:rPr>
        <w:t>65 mmHg.</w:t>
      </w:r>
      <w:r>
        <w:rPr>
          <w:rFonts w:ascii="Times New Roman" w:hAnsi="Times New Roman" w:cs="Times New Roman" w:hint="eastAsia"/>
          <w:sz w:val="24"/>
          <w:vertAlign w:val="superscript"/>
        </w:rPr>
        <w:t>[</w:t>
      </w:r>
      <w:r>
        <w:rPr>
          <w:rFonts w:ascii="Times New Roman" w:hAnsi="Times New Roman" w:cs="Times New Roman"/>
          <w:sz w:val="24"/>
          <w:vertAlign w:val="superscript"/>
        </w:rPr>
        <w:t>4</w:t>
      </w:r>
      <w:r>
        <w:rPr>
          <w:rFonts w:ascii="Times New Roman" w:hAnsi="Times New Roman" w:cs="Times New Roman" w:hint="eastAsia"/>
          <w:sz w:val="24"/>
          <w:vertAlign w:val="superscript"/>
        </w:rPr>
        <w:t>,1</w:t>
      </w:r>
      <w:r>
        <w:rPr>
          <w:rFonts w:ascii="Times New Roman" w:hAnsi="Times New Roman" w:cs="Times New Roman"/>
          <w:sz w:val="24"/>
          <w:vertAlign w:val="superscript"/>
        </w:rPr>
        <w:t>4</w:t>
      </w:r>
      <w:r>
        <w:rPr>
          <w:rFonts w:ascii="Times New Roman" w:hAnsi="Times New Roman" w:cs="Times New Roman" w:hint="eastAsia"/>
          <w:sz w:val="24"/>
          <w:vertAlign w:val="superscript"/>
        </w:rPr>
        <w:t>]</w:t>
      </w:r>
      <w:r>
        <w:rPr>
          <w:rFonts w:ascii="Times New Roman" w:hAnsi="Times New Roman" w:cs="Times New Roman" w:hint="eastAsia"/>
          <w:sz w:val="28"/>
          <w:szCs w:val="28"/>
        </w:rPr>
        <w:t xml:space="preserve"> </w:t>
      </w:r>
    </w:p>
    <w:p w14:paraId="1342A9A0" w14:textId="7AC989AD" w:rsidR="00D51005" w:rsidRDefault="00D51005" w:rsidP="00D51005">
      <w:pPr>
        <w:widowControl/>
        <w:rPr>
          <w:rFonts w:ascii="Times New Roman" w:hAnsi="Times New Roman" w:cs="Times New Roman"/>
          <w:sz w:val="28"/>
          <w:szCs w:val="28"/>
        </w:rPr>
      </w:pPr>
      <w:r>
        <w:rPr>
          <w:rFonts w:ascii="Times New Roman" w:hAnsi="Times New Roman" w:cs="Times New Roman" w:hint="eastAsia"/>
          <w:sz w:val="28"/>
          <w:szCs w:val="28"/>
        </w:rPr>
        <w:t>P</w:t>
      </w:r>
      <w:r>
        <w:rPr>
          <w:rFonts w:ascii="Times New Roman" w:hAnsi="Times New Roman" w:cs="Times New Roman"/>
          <w:sz w:val="28"/>
          <w:szCs w:val="28"/>
        </w:rPr>
        <w:t>atients</w:t>
      </w:r>
      <w:r>
        <w:rPr>
          <w:rFonts w:ascii="Times New Roman" w:hAnsi="Times New Roman" w:cs="Times New Roman" w:hint="eastAsia"/>
          <w:sz w:val="28"/>
          <w:szCs w:val="28"/>
        </w:rPr>
        <w:t xml:space="preserve"> with Acute respiratory distress syndrome (</w:t>
      </w:r>
      <w:r>
        <w:rPr>
          <w:rFonts w:ascii="Times New Roman" w:hAnsi="Times New Roman" w:cs="Times New Roman"/>
          <w:sz w:val="28"/>
          <w:szCs w:val="28"/>
        </w:rPr>
        <w:t>ARDS</w:t>
      </w:r>
      <w:r>
        <w:rPr>
          <w:rFonts w:ascii="Times New Roman" w:hAnsi="Times New Roman" w:cs="Times New Roman" w:hint="eastAsia"/>
          <w:sz w:val="28"/>
          <w:szCs w:val="28"/>
        </w:rPr>
        <w:t>)</w:t>
      </w:r>
      <w:r>
        <w:rPr>
          <w:rFonts w:ascii="Times New Roman" w:hAnsi="Times New Roman" w:cs="Times New Roman"/>
          <w:sz w:val="28"/>
          <w:szCs w:val="28"/>
        </w:rPr>
        <w:t xml:space="preserve"> received mechanical ventilation using lung-protective strategies. Other treatments, including neuromuscular blocking agents, prone positioning and extra-corporeal membrane oxygenation were administered depending on the severity of ARDS.</w:t>
      </w:r>
      <w:r>
        <w:rPr>
          <w:rFonts w:ascii="Times New Roman" w:hAnsi="Times New Roman" w:cs="Times New Roman"/>
          <w:sz w:val="28"/>
          <w:szCs w:val="28"/>
        </w:rPr>
        <w:t xml:space="preserve"> </w:t>
      </w:r>
      <w:r>
        <w:rPr>
          <w:rFonts w:ascii="Times New Roman" w:hAnsi="Times New Roman" w:cs="Times New Roman"/>
          <w:sz w:val="28"/>
          <w:szCs w:val="28"/>
        </w:rPr>
        <w:t>The prevention of ventilator-associated pneumonia followed a multifaceted program</w:t>
      </w:r>
      <w:r>
        <w:rPr>
          <w:rFonts w:ascii="Times New Roman" w:hAnsi="Times New Roman" w:cs="Times New Roman" w:hint="eastAsia"/>
          <w:sz w:val="28"/>
          <w:szCs w:val="28"/>
        </w:rPr>
        <w:t>, and m</w:t>
      </w:r>
      <w:r>
        <w:rPr>
          <w:rFonts w:ascii="Times New Roman" w:hAnsi="Times New Roman" w:cs="Times New Roman"/>
          <w:sz w:val="28"/>
          <w:szCs w:val="28"/>
        </w:rPr>
        <w:t>echanical</w:t>
      </w:r>
      <w:r>
        <w:rPr>
          <w:rFonts w:ascii="Times New Roman" w:hAnsi="Times New Roman" w:cs="Times New Roman" w:hint="eastAsia"/>
          <w:sz w:val="28"/>
          <w:szCs w:val="28"/>
        </w:rPr>
        <w:t xml:space="preserve"> </w:t>
      </w:r>
      <w:r>
        <w:rPr>
          <w:rFonts w:ascii="Times New Roman" w:hAnsi="Times New Roman" w:cs="Times New Roman"/>
          <w:sz w:val="28"/>
          <w:szCs w:val="28"/>
        </w:rPr>
        <w:t>ventilation weaning followed standardized protocols.</w:t>
      </w:r>
      <w:r>
        <w:rPr>
          <w:rFonts w:ascii="Times New Roman" w:hAnsi="Times New Roman" w:cs="Times New Roman" w:hint="eastAsia"/>
          <w:sz w:val="28"/>
          <w:szCs w:val="28"/>
        </w:rPr>
        <w:t xml:space="preserve"> </w:t>
      </w:r>
      <w:r>
        <w:rPr>
          <w:rFonts w:ascii="Times New Roman" w:hAnsi="Times New Roman" w:cs="Times New Roman" w:hint="eastAsia"/>
          <w:sz w:val="28"/>
          <w:szCs w:val="28"/>
        </w:rPr>
        <w:t>P</w:t>
      </w:r>
      <w:r>
        <w:rPr>
          <w:rFonts w:ascii="Times New Roman" w:hAnsi="Times New Roman" w:cs="Times New Roman"/>
          <w:sz w:val="28"/>
          <w:szCs w:val="28"/>
        </w:rPr>
        <w:t>atients with acute kidney injury</w:t>
      </w:r>
      <w:r>
        <w:rPr>
          <w:rFonts w:ascii="Times New Roman" w:hAnsi="Times New Roman" w:cs="Times New Roman" w:hint="eastAsia"/>
          <w:sz w:val="28"/>
          <w:szCs w:val="28"/>
        </w:rPr>
        <w:t xml:space="preserve"> </w:t>
      </w:r>
      <w:r>
        <w:rPr>
          <w:rFonts w:ascii="Times New Roman" w:hAnsi="Times New Roman" w:cs="Times New Roman"/>
          <w:sz w:val="28"/>
          <w:szCs w:val="28"/>
        </w:rPr>
        <w:t>received</w:t>
      </w:r>
      <w:r>
        <w:rPr>
          <w:rFonts w:ascii="Times New Roman" w:hAnsi="Times New Roman" w:cs="Times New Roman" w:hint="eastAsia"/>
          <w:sz w:val="28"/>
          <w:szCs w:val="28"/>
        </w:rPr>
        <w:t xml:space="preserve"> </w:t>
      </w:r>
      <w:r>
        <w:rPr>
          <w:rFonts w:ascii="Times New Roman" w:hAnsi="Times New Roman" w:cs="Times New Roman"/>
          <w:sz w:val="28"/>
          <w:szCs w:val="28"/>
        </w:rPr>
        <w:t>continuous renal replacement therapy</w:t>
      </w:r>
      <w:r>
        <w:rPr>
          <w:rFonts w:ascii="Times New Roman" w:hAnsi="Times New Roman" w:cs="Times New Roman" w:hint="eastAsia"/>
          <w:sz w:val="28"/>
          <w:szCs w:val="28"/>
        </w:rPr>
        <w:t xml:space="preserve"> </w:t>
      </w:r>
      <w:r>
        <w:rPr>
          <w:rFonts w:ascii="Times New Roman" w:hAnsi="Times New Roman" w:cs="Times New Roman"/>
          <w:sz w:val="28"/>
          <w:szCs w:val="28"/>
        </w:rPr>
        <w:t>(CRRT) or intermittent renal replacement therapy</w:t>
      </w:r>
      <w:r>
        <w:rPr>
          <w:rFonts w:ascii="Times New Roman" w:hAnsi="Times New Roman" w:cs="Times New Roman" w:hint="eastAsia"/>
          <w:sz w:val="28"/>
          <w:szCs w:val="28"/>
        </w:rPr>
        <w:t xml:space="preserve"> (</w:t>
      </w:r>
      <w:r>
        <w:rPr>
          <w:rFonts w:ascii="Times New Roman" w:hAnsi="Times New Roman" w:cs="Times New Roman"/>
          <w:sz w:val="28"/>
          <w:szCs w:val="28"/>
        </w:rPr>
        <w:t>RRT</w:t>
      </w:r>
      <w:r>
        <w:rPr>
          <w:rFonts w:ascii="Times New Roman" w:hAnsi="Times New Roman" w:cs="Times New Roman" w:hint="eastAsia"/>
          <w:sz w:val="28"/>
          <w:szCs w:val="28"/>
        </w:rPr>
        <w:t>).</w:t>
      </w:r>
      <w:r>
        <w:rPr>
          <w:rFonts w:ascii="Times New Roman" w:hAnsi="Times New Roman" w:cs="Times New Roman"/>
          <w:sz w:val="28"/>
          <w:szCs w:val="28"/>
        </w:rPr>
        <w:t xml:space="preserve"> </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rPr>
        <w:t>13</w:t>
      </w:r>
      <w:r>
        <w:rPr>
          <w:rFonts w:ascii="Times New Roman" w:hAnsi="Times New Roman" w:cs="Times New Roman" w:hint="eastAsia"/>
          <w:sz w:val="28"/>
          <w:szCs w:val="28"/>
          <w:vertAlign w:val="superscript"/>
        </w:rPr>
        <w:t>，</w:t>
      </w:r>
      <w:r>
        <w:rPr>
          <w:rFonts w:ascii="Times New Roman" w:hAnsi="Times New Roman" w:cs="Times New Roman" w:hint="eastAsia"/>
          <w:sz w:val="28"/>
          <w:szCs w:val="28"/>
          <w:vertAlign w:val="superscript"/>
        </w:rPr>
        <w:t>1</w:t>
      </w:r>
      <w:r>
        <w:rPr>
          <w:rFonts w:ascii="Times New Roman" w:hAnsi="Times New Roman" w:cs="Times New Roman"/>
          <w:sz w:val="28"/>
          <w:szCs w:val="28"/>
          <w:vertAlign w:val="superscript"/>
        </w:rPr>
        <w:t>4</w:t>
      </w:r>
      <w:r>
        <w:rPr>
          <w:rFonts w:ascii="Times New Roman" w:hAnsi="Times New Roman" w:cs="Times New Roman"/>
          <w:sz w:val="28"/>
          <w:szCs w:val="28"/>
          <w:vertAlign w:val="superscript"/>
        </w:rPr>
        <w:t>]</w:t>
      </w:r>
    </w:p>
    <w:p w14:paraId="7F721153" w14:textId="77777777" w:rsidR="00D51005" w:rsidRDefault="00D51005" w:rsidP="00D51005">
      <w:pPr>
        <w:widowControl/>
        <w:rPr>
          <w:rFonts w:ascii="Times New Roman" w:hAnsi="Times New Roman" w:cs="Times New Roman"/>
          <w:b/>
          <w:bCs/>
          <w:sz w:val="28"/>
          <w:szCs w:val="28"/>
        </w:rPr>
      </w:pPr>
      <w:r>
        <w:rPr>
          <w:rFonts w:ascii="Times New Roman" w:hAnsi="Times New Roman" w:cs="Times New Roman" w:hint="eastAsia"/>
          <w:b/>
          <w:bCs/>
          <w:sz w:val="28"/>
          <w:szCs w:val="28"/>
        </w:rPr>
        <w:t>Antimicrobial therapy</w:t>
      </w:r>
    </w:p>
    <w:p w14:paraId="560F91D1" w14:textId="60971C7A" w:rsidR="00D51005" w:rsidRDefault="00D51005" w:rsidP="00D51005">
      <w:pPr>
        <w:rPr>
          <w:rFonts w:ascii="Times New Roman" w:hAnsi="Times New Roman" w:cs="Times New Roman"/>
          <w:b/>
          <w:bCs/>
          <w:sz w:val="28"/>
          <w:szCs w:val="28"/>
        </w:rPr>
      </w:pPr>
      <w:r>
        <w:rPr>
          <w:rFonts w:ascii="Times New Roman" w:hAnsi="Times New Roman" w:cs="Times New Roman" w:hint="eastAsia"/>
          <w:sz w:val="28"/>
          <w:szCs w:val="28"/>
        </w:rPr>
        <w:t>B</w:t>
      </w:r>
      <w:r>
        <w:rPr>
          <w:rFonts w:ascii="Times New Roman" w:hAnsi="Times New Roman" w:cs="Times New Roman"/>
          <w:sz w:val="28"/>
          <w:szCs w:val="28"/>
        </w:rPr>
        <w:t>road-spectrum</w:t>
      </w:r>
      <w:r>
        <w:rPr>
          <w:rFonts w:ascii="Times New Roman" w:hAnsi="Times New Roman" w:cs="Times New Roman" w:hint="eastAsia"/>
          <w:sz w:val="28"/>
          <w:szCs w:val="28"/>
        </w:rPr>
        <w:t xml:space="preserve"> </w:t>
      </w:r>
      <w:r>
        <w:rPr>
          <w:rFonts w:ascii="Times New Roman" w:hAnsi="Times New Roman" w:cs="Times New Roman"/>
          <w:sz w:val="28"/>
          <w:szCs w:val="28"/>
        </w:rPr>
        <w:t>antimicrobial agent</w:t>
      </w:r>
      <w:r>
        <w:rPr>
          <w:rFonts w:ascii="Times New Roman" w:hAnsi="Times New Roman" w:cs="Times New Roman" w:hint="eastAsia"/>
          <w:sz w:val="28"/>
          <w:szCs w:val="28"/>
        </w:rPr>
        <w:t>s (piperacillin/tazobactam</w:t>
      </w:r>
      <w:r>
        <w:rPr>
          <w:rFonts w:ascii="Times New Roman" w:hAnsi="Times New Roman" w:cs="Times New Roman"/>
          <w:sz w:val="28"/>
          <w:szCs w:val="28"/>
        </w:rPr>
        <w:t xml:space="preserve">, </w:t>
      </w:r>
      <w:r>
        <w:rPr>
          <w:rFonts w:ascii="Times New Roman" w:hAnsi="Times New Roman" w:cs="Times New Roman" w:hint="eastAsia"/>
          <w:sz w:val="28"/>
          <w:szCs w:val="28"/>
        </w:rPr>
        <w:t xml:space="preserve">carbapenem, or </w:t>
      </w:r>
      <w:r>
        <w:rPr>
          <w:rFonts w:ascii="Times New Roman" w:hAnsi="Times New Roman" w:cs="Times New Roman"/>
          <w:sz w:val="28"/>
          <w:szCs w:val="28"/>
        </w:rPr>
        <w:t>third-generation</w:t>
      </w:r>
      <w:r>
        <w:rPr>
          <w:rFonts w:ascii="Times New Roman" w:hAnsi="Times New Roman" w:cs="Times New Roman" w:hint="eastAsia"/>
          <w:sz w:val="28"/>
          <w:szCs w:val="28"/>
        </w:rPr>
        <w:t xml:space="preserve"> </w:t>
      </w:r>
      <w:r>
        <w:rPr>
          <w:rFonts w:ascii="Times New Roman" w:hAnsi="Times New Roman" w:cs="Times New Roman"/>
          <w:sz w:val="28"/>
          <w:szCs w:val="28"/>
        </w:rPr>
        <w:t>cephalosporin</w:t>
      </w:r>
      <w:r>
        <w:rPr>
          <w:rFonts w:ascii="Times New Roman" w:hAnsi="Times New Roman" w:cs="Times New Roman" w:hint="eastAsia"/>
          <w:sz w:val="28"/>
          <w:szCs w:val="28"/>
        </w:rPr>
        <w:t>) were</w:t>
      </w:r>
      <w:r>
        <w:rPr>
          <w:rFonts w:ascii="Times New Roman" w:hAnsi="Times New Roman" w:cs="Times New Roman"/>
          <w:sz w:val="28"/>
          <w:szCs w:val="28"/>
        </w:rPr>
        <w:t xml:space="preserve"> administered</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intravenously within 1 h </w:t>
      </w:r>
      <w:r>
        <w:rPr>
          <w:rFonts w:ascii="Times New Roman" w:hAnsi="Times New Roman" w:cs="Times New Roman" w:hint="eastAsia"/>
          <w:sz w:val="28"/>
          <w:szCs w:val="28"/>
        </w:rPr>
        <w:t xml:space="preserve">after admission and usually lasting 7 to 14 days. </w:t>
      </w:r>
      <w:r>
        <w:rPr>
          <w:rFonts w:ascii="Times New Roman" w:hAnsi="Times New Roman" w:cs="Times New Roman" w:hint="eastAsia"/>
          <w:sz w:val="28"/>
          <w:szCs w:val="28"/>
        </w:rPr>
        <w:lastRenderedPageBreak/>
        <w:t>Vancomycin is recommended when patients are colonized with resistant Gram-positive bacteria such as methicillin-resistant Staphylococcus aureus and/or Enterococcus spp. Individual antibiotic doses were adjusted according to altered renal and hepatic function. The final antibiotic regimen and</w:t>
      </w:r>
      <w:r>
        <w:rPr>
          <w:rFonts w:ascii="Times New Roman" w:hAnsi="Times New Roman" w:cs="Times New Roman"/>
          <w:sz w:val="28"/>
          <w:szCs w:val="28"/>
        </w:rPr>
        <w:t xml:space="preserve"> duration</w:t>
      </w:r>
      <w:r>
        <w:rPr>
          <w:rFonts w:ascii="Times New Roman" w:hAnsi="Times New Roman" w:cs="Times New Roman" w:hint="eastAsia"/>
          <w:sz w:val="28"/>
          <w:szCs w:val="28"/>
        </w:rPr>
        <w:t xml:space="preserve"> should be modified based on </w:t>
      </w:r>
      <w:r>
        <w:rPr>
          <w:rFonts w:ascii="Times New Roman" w:hAnsi="Times New Roman" w:cs="Times New Roman"/>
          <w:sz w:val="28"/>
          <w:szCs w:val="28"/>
        </w:rPr>
        <w:t xml:space="preserve">results of </w:t>
      </w:r>
      <w:r>
        <w:rPr>
          <w:rFonts w:ascii="Times New Roman" w:hAnsi="Times New Roman" w:cs="Times New Roman" w:hint="eastAsia"/>
          <w:sz w:val="28"/>
          <w:szCs w:val="28"/>
        </w:rPr>
        <w:t>cultured pathogens</w:t>
      </w:r>
      <w:r>
        <w:rPr>
          <w:rFonts w:ascii="Times New Roman" w:hAnsi="Times New Roman" w:cs="Times New Roman"/>
          <w:sz w:val="28"/>
          <w:szCs w:val="28"/>
        </w:rPr>
        <w:t xml:space="preserve"> and antibiogram</w:t>
      </w:r>
      <w:r>
        <w:rPr>
          <w:rFonts w:ascii="Times New Roman" w:hAnsi="Times New Roman" w:cs="Times New Roman" w:hint="eastAsia"/>
          <w:sz w:val="28"/>
          <w:szCs w:val="28"/>
        </w:rPr>
        <w:t>.</w:t>
      </w:r>
      <w:r>
        <w:rPr>
          <w:rFonts w:ascii="Times New Roman" w:hAnsi="Times New Roman" w:cs="Times New Roman"/>
          <w:sz w:val="28"/>
          <w:szCs w:val="28"/>
        </w:rPr>
        <w:t xml:space="preserve"> </w:t>
      </w:r>
      <w:r>
        <w:rPr>
          <w:rFonts w:ascii="Times New Roman" w:hAnsi="Times New Roman" w:cs="Times New Roman" w:hint="eastAsia"/>
          <w:sz w:val="24"/>
          <w:vertAlign w:val="superscript"/>
        </w:rPr>
        <w:t>[4, 2</w:t>
      </w:r>
      <w:r>
        <w:rPr>
          <w:rFonts w:ascii="Times New Roman" w:hAnsi="Times New Roman" w:cs="Times New Roman"/>
          <w:sz w:val="24"/>
          <w:vertAlign w:val="superscript"/>
        </w:rPr>
        <w:t>1</w:t>
      </w:r>
      <w:r>
        <w:rPr>
          <w:rFonts w:ascii="Times New Roman" w:hAnsi="Times New Roman" w:cs="Times New Roman" w:hint="eastAsia"/>
          <w:sz w:val="24"/>
          <w:vertAlign w:val="superscript"/>
        </w:rPr>
        <w:t xml:space="preserve">] </w:t>
      </w:r>
    </w:p>
    <w:p w14:paraId="536B39C8" w14:textId="53949249" w:rsidR="002C50C5" w:rsidRDefault="002C50C5">
      <w:pPr>
        <w:rPr>
          <w:rFonts w:ascii="Times New Roman" w:hAnsi="Times New Roman" w:cs="Times New Roman" w:hint="eastAsia"/>
          <w:b/>
          <w:bCs/>
          <w:sz w:val="28"/>
          <w:szCs w:val="28"/>
        </w:rPr>
      </w:pPr>
    </w:p>
    <w:p w14:paraId="05BCD231" w14:textId="62364C2E" w:rsidR="002C50C5" w:rsidRPr="002C50C5" w:rsidRDefault="002C50C5">
      <w:pPr>
        <w:rPr>
          <w:rFonts w:ascii="Times New Roman" w:hAnsi="Times New Roman" w:cs="Times New Roman"/>
          <w:b/>
          <w:bCs/>
          <w:sz w:val="28"/>
          <w:szCs w:val="28"/>
        </w:rPr>
      </w:pPr>
      <w:r>
        <w:rPr>
          <w:rFonts w:ascii="Times New Roman" w:hAnsi="Times New Roman" w:cs="Times New Roman" w:hint="eastAsia"/>
          <w:b/>
          <w:bCs/>
          <w:sz w:val="28"/>
          <w:szCs w:val="28"/>
        </w:rPr>
        <w:t xml:space="preserve">Supplementary </w:t>
      </w:r>
      <w:r>
        <w:rPr>
          <w:rFonts w:ascii="Times New Roman" w:hAnsi="Times New Roman" w:cs="Times New Roman"/>
          <w:b/>
          <w:bCs/>
          <w:sz w:val="28"/>
          <w:szCs w:val="28"/>
        </w:rPr>
        <w:t>3</w:t>
      </w:r>
    </w:p>
    <w:p w14:paraId="04AFBDA0" w14:textId="77777777" w:rsidR="00C554B8" w:rsidRDefault="00000000">
      <w:pPr>
        <w:rPr>
          <w:rFonts w:ascii="Times New Roman" w:hAnsi="Times New Roman" w:cs="Times New Roman"/>
          <w:sz w:val="28"/>
          <w:szCs w:val="28"/>
        </w:rPr>
      </w:pPr>
      <w:r>
        <w:rPr>
          <w:rFonts w:ascii="Times New Roman" w:hAnsi="Times New Roman" w:cs="Times New Roman"/>
          <w:sz w:val="28"/>
          <w:szCs w:val="28"/>
        </w:rPr>
        <w:t>Main technical aspects are listed as follows</w:t>
      </w:r>
      <w:r>
        <w:rPr>
          <w:rFonts w:ascii="Times New Roman" w:hAnsi="Times New Roman" w:cs="Times New Roman" w:hint="eastAsia"/>
          <w:sz w:val="28"/>
          <w:szCs w:val="28"/>
        </w:rPr>
        <w:t xml:space="preserve">: </w:t>
      </w:r>
    </w:p>
    <w:p w14:paraId="650A49C9"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(1) B</w:t>
      </w:r>
      <w:r>
        <w:rPr>
          <w:rFonts w:ascii="Times New Roman" w:hAnsi="Times New Roman" w:cs="Times New Roman"/>
          <w:sz w:val="28"/>
          <w:szCs w:val="28"/>
        </w:rPr>
        <w:t xml:space="preserve">iliary access was achieved by non-radiation cannulation. </w:t>
      </w:r>
      <w:r>
        <w:rPr>
          <w:rFonts w:ascii="Times New Roman" w:hAnsi="Times New Roman" w:cs="Times New Roman" w:hint="eastAsia"/>
          <w:sz w:val="28"/>
          <w:szCs w:val="28"/>
        </w:rPr>
        <w:t xml:space="preserve">Standard biliary cannulation was performed using </w:t>
      </w:r>
      <w:r>
        <w:rPr>
          <w:rFonts w:ascii="Times New Roman" w:hAnsi="Times New Roman" w:cs="Times New Roman"/>
          <w:sz w:val="28"/>
          <w:szCs w:val="28"/>
        </w:rPr>
        <w:t>a sphincterotome (</w:t>
      </w:r>
      <w:proofErr w:type="spellStart"/>
      <w:r>
        <w:rPr>
          <w:rFonts w:ascii="Times New Roman" w:hAnsi="Times New Roman" w:cs="Times New Roman"/>
          <w:sz w:val="28"/>
          <w:szCs w:val="28"/>
        </w:rPr>
        <w:t>Microtech</w:t>
      </w:r>
      <w:proofErr w:type="spellEnd"/>
      <w:r>
        <w:rPr>
          <w:rFonts w:ascii="Times New Roman" w:hAnsi="Times New Roman" w:cs="Times New Roman"/>
          <w:sz w:val="28"/>
          <w:szCs w:val="28"/>
        </w:rPr>
        <w:t>, Nanjing, China)</w:t>
      </w:r>
      <w:r>
        <w:rPr>
          <w:rFonts w:ascii="Times New Roman" w:hAnsi="Times New Roman" w:cs="Times New Roman" w:hint="eastAsia"/>
          <w:sz w:val="28"/>
          <w:szCs w:val="28"/>
        </w:rPr>
        <w:t xml:space="preserve"> and </w:t>
      </w:r>
      <w:r>
        <w:rPr>
          <w:rFonts w:ascii="Times New Roman" w:hAnsi="Times New Roman" w:cs="Times New Roman"/>
          <w:sz w:val="28"/>
          <w:szCs w:val="28"/>
        </w:rPr>
        <w:t>a 0.035-inch guidewire (</w:t>
      </w:r>
      <w:proofErr w:type="spellStart"/>
      <w:r>
        <w:rPr>
          <w:rFonts w:ascii="Times New Roman" w:hAnsi="Times New Roman" w:cs="Times New Roman"/>
          <w:sz w:val="28"/>
          <w:szCs w:val="28"/>
        </w:rPr>
        <w:t>Microtech</w:t>
      </w:r>
      <w:proofErr w:type="spellEnd"/>
      <w:r>
        <w:rPr>
          <w:rFonts w:ascii="Times New Roman" w:hAnsi="Times New Roman" w:cs="Times New Roman"/>
          <w:sz w:val="28"/>
          <w:szCs w:val="28"/>
        </w:rPr>
        <w:t>, Nanjing, China)</w:t>
      </w:r>
      <w:r>
        <w:rPr>
          <w:rFonts w:ascii="Times New Roman" w:hAnsi="Times New Roman" w:cs="Times New Roman" w:hint="eastAsia"/>
          <w:sz w:val="28"/>
          <w:szCs w:val="28"/>
        </w:rPr>
        <w:t xml:space="preserve"> which is confirmed by visible bile aspiration. </w:t>
      </w:r>
      <w:r>
        <w:rPr>
          <w:rFonts w:ascii="Times New Roman" w:hAnsi="Times New Roman" w:cs="Times New Roman"/>
          <w:sz w:val="28"/>
          <w:szCs w:val="28"/>
        </w:rPr>
        <w:t xml:space="preserve">In case of </w:t>
      </w:r>
      <w:proofErr w:type="spellStart"/>
      <w:r>
        <w:rPr>
          <w:rFonts w:ascii="Times New Roman" w:hAnsi="Times New Roman" w:cs="Times New Roman"/>
          <w:sz w:val="28"/>
          <w:szCs w:val="28"/>
        </w:rPr>
        <w:t>difcult</w:t>
      </w:r>
      <w:proofErr w:type="spellEnd"/>
      <w:r>
        <w:rPr>
          <w:rFonts w:ascii="Times New Roman" w:hAnsi="Times New Roman" w:cs="Times New Roman"/>
          <w:sz w:val="28"/>
          <w:szCs w:val="28"/>
        </w:rPr>
        <w:t xml:space="preserve"> biliary access, double-guidewire technique and </w:t>
      </w:r>
      <w:proofErr w:type="spellStart"/>
      <w:r>
        <w:rPr>
          <w:rFonts w:ascii="Times New Roman" w:hAnsi="Times New Roman" w:cs="Times New Roman"/>
          <w:sz w:val="28"/>
          <w:szCs w:val="28"/>
        </w:rPr>
        <w:t>transpancreatic</w:t>
      </w:r>
      <w:proofErr w:type="spellEnd"/>
      <w:r>
        <w:rPr>
          <w:rFonts w:ascii="Times New Roman" w:hAnsi="Times New Roman" w:cs="Times New Roman"/>
          <w:sz w:val="28"/>
          <w:szCs w:val="28"/>
        </w:rPr>
        <w:t xml:space="preserve"> precut were applied as necessary. If the pancreatic duct was cannulated more than three times, a pancreatic stent was inserted. </w:t>
      </w:r>
    </w:p>
    <w:p w14:paraId="56BD99BB"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(2) A</w:t>
      </w:r>
      <w:r>
        <w:rPr>
          <w:rFonts w:ascii="Times New Roman" w:hAnsi="Times New Roman" w:cs="Times New Roman"/>
          <w:sz w:val="28"/>
          <w:szCs w:val="28"/>
        </w:rPr>
        <w:t xml:space="preserve"> 3-mm endoscopic sphincterotomy (EST) combined with endoscopic papillary balloon dilation (EPBD) was performed for establishment of a proper biliary </w:t>
      </w:r>
      <w:proofErr w:type="spellStart"/>
      <w:r>
        <w:rPr>
          <w:rFonts w:ascii="Times New Roman" w:hAnsi="Times New Roman" w:cs="Times New Roman"/>
          <w:sz w:val="28"/>
          <w:szCs w:val="28"/>
        </w:rPr>
        <w:t>orifce</w:t>
      </w:r>
      <w:proofErr w:type="spellEnd"/>
      <w:r>
        <w:rPr>
          <w:rFonts w:ascii="Times New Roman" w:hAnsi="Times New Roman" w:cs="Times New Roman"/>
          <w:sz w:val="28"/>
          <w:szCs w:val="28"/>
        </w:rPr>
        <w:t>.</w:t>
      </w:r>
      <w:r>
        <w:rPr>
          <w:rFonts w:ascii="Times New Roman" w:hAnsi="Times New Roman" w:cs="Times New Roman" w:hint="eastAsia"/>
          <w:sz w:val="28"/>
          <w:szCs w:val="28"/>
        </w:rPr>
        <w:t xml:space="preserve"> The size of the balloon was determined by the size of the CBD stone and the diameter of the CBD. </w:t>
      </w:r>
    </w:p>
    <w:p w14:paraId="42BF827C" w14:textId="77777777" w:rsidR="00C554B8" w:rsidRDefault="00000000">
      <w:pPr>
        <w:numPr>
          <w:ilvl w:val="0"/>
          <w:numId w:val="1"/>
        </w:numPr>
        <w:rPr>
          <w:rFonts w:ascii="Times New Roman" w:hAnsi="Times New Roman" w:cs="Times New Roman"/>
          <w:sz w:val="28"/>
          <w:szCs w:val="28"/>
        </w:rPr>
      </w:pPr>
      <w:r>
        <w:rPr>
          <w:rFonts w:ascii="Times New Roman" w:hAnsi="Times New Roman" w:cs="Times New Roman" w:hint="eastAsia"/>
          <w:sz w:val="28"/>
          <w:szCs w:val="28"/>
        </w:rPr>
        <w:t>A</w:t>
      </w:r>
      <w:r>
        <w:rPr>
          <w:rFonts w:ascii="Times New Roman" w:hAnsi="Times New Roman" w:cs="Times New Roman"/>
          <w:sz w:val="28"/>
          <w:szCs w:val="28"/>
        </w:rPr>
        <w:t xml:space="preserve"> digital </w:t>
      </w:r>
      <w:proofErr w:type="spellStart"/>
      <w:r>
        <w:rPr>
          <w:rFonts w:ascii="Times New Roman" w:hAnsi="Times New Roman" w:cs="Times New Roman"/>
          <w:sz w:val="28"/>
          <w:szCs w:val="28"/>
        </w:rPr>
        <w:t>cholangioscopy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SpyGlass</w:t>
      </w:r>
      <w:proofErr w:type="spellEnd"/>
      <w:r>
        <w:rPr>
          <w:rFonts w:ascii="Times New Roman" w:hAnsi="Times New Roman" w:cs="Times New Roman"/>
          <w:sz w:val="28"/>
          <w:szCs w:val="28"/>
        </w:rPr>
        <w:t xml:space="preserve"> DS™, Boston </w:t>
      </w:r>
      <w:proofErr w:type="spellStart"/>
      <w:r>
        <w:rPr>
          <w:rFonts w:ascii="Times New Roman" w:hAnsi="Times New Roman" w:cs="Times New Roman"/>
          <w:sz w:val="28"/>
          <w:szCs w:val="28"/>
        </w:rPr>
        <w:t>Scientifc</w:t>
      </w:r>
      <w:proofErr w:type="spellEnd"/>
      <w:r>
        <w:rPr>
          <w:rFonts w:ascii="Times New Roman" w:hAnsi="Times New Roman" w:cs="Times New Roman"/>
          <w:sz w:val="28"/>
          <w:szCs w:val="28"/>
        </w:rPr>
        <w:t>, Marlborough, MA, USA) was introduced into the CBD</w:t>
      </w:r>
      <w:r>
        <w:rPr>
          <w:rFonts w:ascii="Times New Roman" w:hAnsi="Times New Roman" w:cs="Times New Roman" w:hint="eastAsia"/>
          <w:sz w:val="28"/>
          <w:szCs w:val="28"/>
        </w:rPr>
        <w:t xml:space="preserve"> for biliary </w:t>
      </w:r>
      <w:r>
        <w:rPr>
          <w:rFonts w:ascii="Times New Roman" w:hAnsi="Times New Roman" w:cs="Times New Roman" w:hint="eastAsia"/>
          <w:sz w:val="28"/>
          <w:szCs w:val="28"/>
        </w:rPr>
        <w:lastRenderedPageBreak/>
        <w:t xml:space="preserve">visualization. A routine basket or balloon stone extraction was attempted. Laser lithotripsy was applied for large stones and occasionally encountered impacted stones. </w:t>
      </w:r>
    </w:p>
    <w:p w14:paraId="47FDA9EF" w14:textId="77777777" w:rsidR="00C554B8" w:rsidRDefault="00000000">
      <w:pPr>
        <w:rPr>
          <w:rFonts w:ascii="Times New Roman" w:hAnsi="Times New Roman" w:cs="Times New Roman"/>
          <w:sz w:val="28"/>
          <w:szCs w:val="28"/>
        </w:rPr>
      </w:pPr>
      <w:r>
        <w:rPr>
          <w:rFonts w:ascii="Times New Roman" w:hAnsi="Times New Roman" w:cs="Times New Roman" w:hint="eastAsia"/>
          <w:sz w:val="28"/>
          <w:szCs w:val="28"/>
        </w:rPr>
        <w:t xml:space="preserve">(5) A second round of biliary visualization was performed for confirmation of stone clearance, visualization of the orifice of the cystic duct, and detection of biliary lesions. In the case of stone residual, an additional stone extraction was performed. </w:t>
      </w:r>
    </w:p>
    <w:p w14:paraId="280A4C31" w14:textId="64E7998A" w:rsidR="00C554B8" w:rsidRDefault="00000000">
      <w:pPr>
        <w:rPr>
          <w:rFonts w:ascii="Times New Roman" w:hAnsi="Times New Roman" w:cs="Times New Roman"/>
          <w:sz w:val="28"/>
          <w:szCs w:val="28"/>
        </w:rPr>
      </w:pPr>
      <w:r>
        <w:rPr>
          <w:rFonts w:ascii="Times New Roman" w:hAnsi="Times New Roman" w:cs="Times New Roman" w:hint="eastAsia"/>
          <w:sz w:val="28"/>
          <w:szCs w:val="28"/>
        </w:rPr>
        <w:t xml:space="preserve">(6) A 7-Fr double pigtail stent was placed for temporary biliary drainage which was removed at 1 month after hospital discharge. </w:t>
      </w:r>
    </w:p>
    <w:sectPr w:rsidR="00C554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E8185"/>
    <w:multiLevelType w:val="singleLevel"/>
    <w:tmpl w:val="6B4E8185"/>
    <w:lvl w:ilvl="0">
      <w:start w:val="3"/>
      <w:numFmt w:val="decimal"/>
      <w:suff w:val="space"/>
      <w:lvlText w:val="(%1)"/>
      <w:lvlJc w:val="left"/>
    </w:lvl>
  </w:abstractNum>
  <w:num w:numId="1" w16cid:durableId="801657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YzNjBkOTgyNWQ1YTMxYzM3MzMwNWFiODNmOWIzYWMifQ=="/>
  </w:docVars>
  <w:rsids>
    <w:rsidRoot w:val="00C554B8"/>
    <w:rsid w:val="002C50C5"/>
    <w:rsid w:val="00487D3A"/>
    <w:rsid w:val="007D21F3"/>
    <w:rsid w:val="007F3088"/>
    <w:rsid w:val="00C554B8"/>
    <w:rsid w:val="00D51005"/>
    <w:rsid w:val="0F0637E9"/>
    <w:rsid w:val="34D04C93"/>
    <w:rsid w:val="53466CBF"/>
    <w:rsid w:val="535634C9"/>
    <w:rsid w:val="76FE5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55873"/>
  <w15:docId w15:val="{5541B15D-111F-47E7-8B13-BC8D7AC3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782</Words>
  <Characters>4459</Characters>
  <Application>Microsoft Office Word</Application>
  <DocSecurity>0</DocSecurity>
  <Lines>37</Lines>
  <Paragraphs>10</Paragraphs>
  <ScaleCrop>false</ScaleCrop>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张胤秋</dc:creator>
  <cp:lastModifiedBy>安 求</cp:lastModifiedBy>
  <cp:revision>6</cp:revision>
  <dcterms:created xsi:type="dcterms:W3CDTF">2022-10-07T00:56:00Z</dcterms:created>
  <dcterms:modified xsi:type="dcterms:W3CDTF">2022-10-10T04:46:00Z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EF964147A1CF46E9BB42DB21A31AD46C</vt:lpwstr>
  </property>
</Properties>
</file>