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ED6C5" w14:textId="77777777" w:rsidR="00101369" w:rsidRPr="00902913" w:rsidRDefault="00101369" w:rsidP="00101369">
      <w:pPr>
        <w:adjustRightInd w:val="0"/>
        <w:snapToGrid w:val="0"/>
        <w:spacing w:before="240" w:after="60" w:line="228" w:lineRule="auto"/>
        <w:ind w:left="2608"/>
        <w:rPr>
          <w:rFonts w:asciiTheme="minorHAnsi" w:hAnsiTheme="minorHAnsi" w:cstheme="minorHAnsi"/>
        </w:rPr>
      </w:pPr>
      <w:r w:rsidRPr="00902913">
        <w:rPr>
          <w:rFonts w:asciiTheme="minorHAnsi" w:hAnsiTheme="minorHAnsi" w:cstheme="minorHAnsi"/>
          <w:b/>
          <w:bCs/>
          <w:szCs w:val="18"/>
          <w:lang w:bidi="en-US"/>
        </w:rPr>
        <w:t xml:space="preserve">Figure S1: Table of recent Eμ-TCL1 adoptive transfer papers </w:t>
      </w:r>
    </w:p>
    <w:tbl>
      <w:tblPr>
        <w:tblStyle w:val="TableGrid"/>
        <w:tblW w:w="5294" w:type="pct"/>
        <w:tblInd w:w="-275" w:type="dxa"/>
        <w:tblLook w:val="04A0" w:firstRow="1" w:lastRow="0" w:firstColumn="1" w:lastColumn="0" w:noHBand="0" w:noVBand="1"/>
      </w:tblPr>
      <w:tblGrid>
        <w:gridCol w:w="4961"/>
        <w:gridCol w:w="1093"/>
        <w:gridCol w:w="1093"/>
        <w:gridCol w:w="1630"/>
        <w:gridCol w:w="1123"/>
      </w:tblGrid>
      <w:tr w:rsidR="00101369" w:rsidRPr="00902913" w14:paraId="349E4389" w14:textId="77777777" w:rsidTr="00101369">
        <w:trPr>
          <w:trHeight w:val="1059"/>
        </w:trPr>
        <w:tc>
          <w:tcPr>
            <w:tcW w:w="2506" w:type="pct"/>
          </w:tcPr>
          <w:p w14:paraId="1C320462" w14:textId="77777777" w:rsidR="00101369" w:rsidRPr="00902913" w:rsidRDefault="00101369" w:rsidP="005D37E6">
            <w:pPr>
              <w:pStyle w:val="MDPI52figure"/>
              <w:rPr>
                <w:rFonts w:asciiTheme="minorHAnsi" w:hAnsiTheme="minorHAnsi" w:cstheme="minorHAnsi"/>
                <w:b/>
                <w:bCs/>
              </w:rPr>
            </w:pPr>
            <w:r w:rsidRPr="00902913">
              <w:rPr>
                <w:rFonts w:asciiTheme="minorHAnsi" w:hAnsiTheme="minorHAnsi" w:cstheme="minorHAnsi"/>
                <w:b/>
                <w:bCs/>
              </w:rPr>
              <w:t>Title</w:t>
            </w:r>
          </w:p>
        </w:tc>
        <w:tc>
          <w:tcPr>
            <w:tcW w:w="552" w:type="pct"/>
          </w:tcPr>
          <w:p w14:paraId="45DEDBA6" w14:textId="77777777" w:rsidR="00101369" w:rsidRPr="00902913" w:rsidRDefault="00101369" w:rsidP="005D37E6">
            <w:pPr>
              <w:pStyle w:val="MDPI52figure"/>
              <w:rPr>
                <w:rFonts w:asciiTheme="minorHAnsi" w:hAnsiTheme="minorHAnsi" w:cstheme="minorHAnsi"/>
                <w:b/>
                <w:bCs/>
              </w:rPr>
            </w:pPr>
            <w:r w:rsidRPr="00902913">
              <w:rPr>
                <w:rFonts w:asciiTheme="minorHAnsi" w:hAnsiTheme="minorHAnsi" w:cstheme="minorHAnsi"/>
                <w:b/>
                <w:bCs/>
              </w:rPr>
              <w:t xml:space="preserve">Recipient age at </w:t>
            </w:r>
            <w:proofErr w:type="spellStart"/>
            <w:r w:rsidRPr="00902913">
              <w:rPr>
                <w:rFonts w:asciiTheme="minorHAnsi" w:hAnsiTheme="minorHAnsi" w:cstheme="minorHAnsi"/>
                <w:b/>
                <w:bCs/>
              </w:rPr>
              <w:t>AT</w:t>
            </w:r>
            <w:proofErr w:type="spellEnd"/>
          </w:p>
        </w:tc>
        <w:tc>
          <w:tcPr>
            <w:tcW w:w="552" w:type="pct"/>
          </w:tcPr>
          <w:p w14:paraId="119D440D" w14:textId="77777777" w:rsidR="00101369" w:rsidRPr="00902913" w:rsidRDefault="00101369" w:rsidP="005D37E6">
            <w:pPr>
              <w:pStyle w:val="MDPI52figure"/>
              <w:rPr>
                <w:rFonts w:asciiTheme="minorHAnsi" w:hAnsiTheme="minorHAnsi" w:cstheme="minorHAnsi"/>
                <w:b/>
                <w:bCs/>
              </w:rPr>
            </w:pPr>
            <w:r w:rsidRPr="00902913">
              <w:rPr>
                <w:rFonts w:asciiTheme="minorHAnsi" w:hAnsiTheme="minorHAnsi" w:cstheme="minorHAnsi"/>
                <w:b/>
                <w:bCs/>
              </w:rPr>
              <w:t>Recipient sex</w:t>
            </w:r>
          </w:p>
        </w:tc>
        <w:tc>
          <w:tcPr>
            <w:tcW w:w="823" w:type="pct"/>
          </w:tcPr>
          <w:p w14:paraId="59486AE8" w14:textId="77777777" w:rsidR="00101369" w:rsidRPr="00902913" w:rsidRDefault="00101369" w:rsidP="005D37E6">
            <w:pPr>
              <w:pStyle w:val="MDPI52figure"/>
              <w:rPr>
                <w:rFonts w:asciiTheme="minorHAnsi" w:hAnsiTheme="minorHAnsi" w:cstheme="minorHAnsi"/>
                <w:b/>
                <w:bCs/>
              </w:rPr>
            </w:pPr>
            <w:r w:rsidRPr="00902913">
              <w:rPr>
                <w:rFonts w:asciiTheme="minorHAnsi" w:hAnsiTheme="minorHAnsi" w:cstheme="minorHAnsi"/>
                <w:b/>
                <w:bCs/>
              </w:rPr>
              <w:t>Recipient strain</w:t>
            </w:r>
          </w:p>
        </w:tc>
        <w:tc>
          <w:tcPr>
            <w:tcW w:w="569" w:type="pct"/>
          </w:tcPr>
          <w:p w14:paraId="4A3A2B5C" w14:textId="77777777" w:rsidR="00101369" w:rsidRPr="00902913" w:rsidRDefault="00101369" w:rsidP="005D37E6">
            <w:pPr>
              <w:pStyle w:val="MDPI52figure"/>
              <w:rPr>
                <w:rFonts w:asciiTheme="minorHAnsi" w:hAnsiTheme="minorHAnsi" w:cstheme="minorHAnsi"/>
                <w:b/>
                <w:bCs/>
              </w:rPr>
            </w:pPr>
            <w:r w:rsidRPr="00902913">
              <w:rPr>
                <w:rFonts w:asciiTheme="minorHAnsi" w:hAnsiTheme="minorHAnsi" w:cstheme="minorHAnsi"/>
                <w:b/>
                <w:bCs/>
              </w:rPr>
              <w:t>Reference</w:t>
            </w:r>
          </w:p>
        </w:tc>
      </w:tr>
      <w:tr w:rsidR="00101369" w:rsidRPr="00902913" w14:paraId="51F13B20" w14:textId="77777777" w:rsidTr="00101369">
        <w:trPr>
          <w:trHeight w:val="1059"/>
        </w:trPr>
        <w:tc>
          <w:tcPr>
            <w:tcW w:w="2506" w:type="pct"/>
          </w:tcPr>
          <w:p w14:paraId="3691B3D0"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Longitudinal analyses of CLL in mice identify leukemia-related clonal changes including a Myc gain predicting poor outcome in patients</w:t>
            </w:r>
          </w:p>
        </w:tc>
        <w:tc>
          <w:tcPr>
            <w:tcW w:w="552" w:type="pct"/>
          </w:tcPr>
          <w:p w14:paraId="0EAC12A0"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 xml:space="preserve">6-10 weeks </w:t>
            </w:r>
          </w:p>
          <w:p w14:paraId="7A53325A" w14:textId="77777777" w:rsidR="00101369" w:rsidRPr="00902913" w:rsidRDefault="00101369" w:rsidP="005D37E6">
            <w:pPr>
              <w:pStyle w:val="MDPI42tablebody"/>
              <w:rPr>
                <w:rFonts w:asciiTheme="minorHAnsi" w:hAnsiTheme="minorHAnsi" w:cstheme="minorHAnsi"/>
              </w:rPr>
            </w:pPr>
          </w:p>
          <w:p w14:paraId="64BFA9AB" w14:textId="77777777" w:rsidR="00101369" w:rsidRPr="00902913" w:rsidRDefault="00101369" w:rsidP="005D37E6">
            <w:pPr>
              <w:pStyle w:val="MDPI42tablebody"/>
              <w:rPr>
                <w:rFonts w:asciiTheme="minorHAnsi" w:hAnsiTheme="minorHAnsi" w:cstheme="minorHAnsi"/>
              </w:rPr>
            </w:pPr>
          </w:p>
        </w:tc>
        <w:tc>
          <w:tcPr>
            <w:tcW w:w="552" w:type="pct"/>
          </w:tcPr>
          <w:p w14:paraId="27DCF271"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female</w:t>
            </w:r>
          </w:p>
        </w:tc>
        <w:tc>
          <w:tcPr>
            <w:tcW w:w="823" w:type="pct"/>
          </w:tcPr>
          <w:p w14:paraId="624DB36A"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WT mice</w:t>
            </w:r>
          </w:p>
        </w:tc>
        <w:tc>
          <w:tcPr>
            <w:tcW w:w="569" w:type="pct"/>
          </w:tcPr>
          <w:p w14:paraId="59E8C598" w14:textId="34FC9368"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{"citationItems":[{"id":"ITEM-1","itemData":{"DOI":"10.1038/s41375-021-01381-4","ISSN":"1476-5551","abstract":"Chronic lymphocytic leukemia (CLL) is a B-cell malignancy mainly occurring at an advanced age with no single major genetic driver. Transgenic expression of TCL1 in B cells leads after a long latency to a CLL-like disease in aged Eµ-TCL1 mice suggesting that TCL1 overexpression is not sufficient for full leukemic transformation. In search for secondary genetic events and to elucidate the clonal evolution of CLL, we performed whole exome and B-cell receptor sequencing of longitudinal leukemia samples of Eµ-TCL1 mice. We observed a B-cell receptor stereotypy, as described in patients, confirming that CLL is an antigen-driven disease. Deep sequencing showed that leukemia in Eµ-TCL1 mice is mostly monoclonal. Rare oligoclonality was associated with inability of tumors to develop disease upon adoptive transfer in mice. In addition, we identified clonal changes and a sequential acquisition of mutations with known relevance in CLL, which highlights the genetic similarities and therefore, suitability of the Eµ-TCL1 mouse model for progressive CLL. Among them, a recurrent gain of chromosome 15, where Myc is located, was identified in almost all tumors in Eµ-TCL1 mice. Interestingly, amplification of 8q24, the chromosomal region containing MYC in humans, was associated with worse outcome of patients with CLL. Clonal evolution and genomic alterations in the Eµ-TCL1 mouse model mirror human CLL and identify Myc as oncogenic hit associated with disease progression in patients.","author":[{"dropping-particle":"","family":"Öztürk","given":"Selcen","non-dropping-particle":"","parse-names":false,"suffix":""},{"dropping-particle":"","family":"Paul","given":"Yashna","non-dropping-particle":"","parse-names":false,"suffix":""},{"dropping-particle":"","family":"Afzal","given":"Saira","non-dropping-particle":"","parse-names":false,"suffix":""},{"dropping-particle":"","family":"Gil-Farina","given":"Irene","non-dropping-particle":"","parse-names":false,"suffix":""},{"dropping-particle":"","family":"Jauch","given":"Anna","non-dropping-particle":"","parse-names":false,"suffix":""},{"dropping-particle":"","family":"Bruch","given":"Peter-Martin","non-dropping-particle":"","parse-names":false,"suffix":""},{"dropping-particle":"","family":"Kalter","given":"Verena","non-dropping-particle":"","parse-names":false,"suffix":""},{"dropping-particle":"","family":"Hanna","given":"Bola","non-dropping-particle":"","parse-names":false,"suffix":""},{"dropping-particle":"","family":"Arseni","given":"Lavinia","non-dropping-particle":"","parse-names":false,"suffix":""},{"dropping-particle":"","family":"Roessner","given":"Philipp M.","non-dropping-particle":"","parse-names":false,"suffix":""},{"dropping-particle":"","family":"Schmidt","given":"Manfred","non-dropping-particle":"","parse-names":false,"suffix":""},{"dropping-particle":"","family":"Stilgenbauer","given":"Stephan","non-dropping-particle":"","parse-names":false,"suffix":""},{"dropping-particle":"","family":"Dietrich","given":"Sascha","non-dropping-particle":"","parse-names":false,"suffix":""},{"dropping-particle":"","family":"Lichter","given":"Peter","non-dropping-particle":"","parse-names":false,"suffix":""},{"dropping-particle":"","family":"Zapatka","given":"Marc","non-dropping-particle":"","parse-names":false,"suffix":""},{"dropping-particle":"","family":"Seiffert","given":"Martina","non-dropping-particle":"","parse-names":false,"suffix":""}],"container-title":"Leukemia 2021","id":"ITEM-1","issued":{"date-parts":[["2021","8","20"]]},"page":"1-12","publisher":"Nature Publishing Group","title":"Longitudinal analyses of CLL in mice identify leukemia-related clonal changes including a Myc gain predicting poor outcome in patients","type":"article-journal"},"uris":["http://www.mendeley.com/documents/?uuid=122db687-4088-3166-9865-a0080fee891e"]}],"mendeley":{"formattedCitation":"[1]","plainTextFormattedCitation":"[1]","previouslyFormattedCitation":"[31]"},"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[1]</w:t>
            </w:r>
            <w:r w:rsidRPr="00902913">
              <w:rPr>
                <w:rFonts w:asciiTheme="minorHAnsi" w:hAnsiTheme="minorHAnsi" w:cstheme="minorHAnsi"/>
              </w:rPr>
              <w:fldChar w:fldCharType="end"/>
            </w:r>
          </w:p>
        </w:tc>
      </w:tr>
      <w:tr w:rsidR="00101369" w:rsidRPr="00902913" w14:paraId="5229EE9A" w14:textId="77777777" w:rsidTr="00101369">
        <w:trPr>
          <w:trHeight w:val="307"/>
        </w:trPr>
        <w:tc>
          <w:tcPr>
            <w:tcW w:w="2506" w:type="pct"/>
          </w:tcPr>
          <w:p w14:paraId="2E760B79"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CD4+ T cells sustain aggressive chronic lymphocytic leukemia in Eμ-TCL1 mice through a CD40L-independent mechanism</w:t>
            </w:r>
          </w:p>
        </w:tc>
        <w:tc>
          <w:tcPr>
            <w:tcW w:w="552" w:type="pct"/>
          </w:tcPr>
          <w:p w14:paraId="01A2FA6D"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 xml:space="preserve">7-8 weeks </w:t>
            </w:r>
          </w:p>
        </w:tc>
        <w:tc>
          <w:tcPr>
            <w:tcW w:w="552" w:type="pct"/>
          </w:tcPr>
          <w:p w14:paraId="646DD66D"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Sex not reported</w:t>
            </w:r>
          </w:p>
        </w:tc>
        <w:tc>
          <w:tcPr>
            <w:tcW w:w="823" w:type="pct"/>
          </w:tcPr>
          <w:p w14:paraId="64C80197" w14:textId="77777777" w:rsidR="00101369" w:rsidRPr="00902913" w:rsidRDefault="00101369" w:rsidP="005D37E6">
            <w:pPr>
              <w:pStyle w:val="MDPI42tablebody"/>
              <w:rPr>
                <w:rFonts w:asciiTheme="minorHAnsi" w:hAnsiTheme="minorHAnsi" w:cstheme="minorHAnsi"/>
                <w:lang w:val="en-AU"/>
              </w:rPr>
            </w:pPr>
            <w:r w:rsidRPr="00902913">
              <w:rPr>
                <w:rFonts w:asciiTheme="minorHAnsi" w:hAnsiTheme="minorHAnsi" w:cstheme="minorHAnsi"/>
                <w:shd w:val="clear" w:color="auto" w:fill="FFFFFF"/>
              </w:rPr>
              <w:t>Not reported</w:t>
            </w:r>
          </w:p>
          <w:p w14:paraId="67F1FC08" w14:textId="77777777" w:rsidR="00101369" w:rsidRPr="00902913" w:rsidRDefault="00101369" w:rsidP="005D37E6">
            <w:pPr>
              <w:pStyle w:val="MDPI42tablebody"/>
              <w:rPr>
                <w:rFonts w:asciiTheme="minorHAnsi" w:hAnsiTheme="minorHAnsi" w:cstheme="minorHAnsi"/>
              </w:rPr>
            </w:pPr>
          </w:p>
        </w:tc>
        <w:tc>
          <w:tcPr>
            <w:tcW w:w="569" w:type="pct"/>
          </w:tcPr>
          <w:p w14:paraId="495EBA9D" w14:textId="620E5745"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{"citationItems":[{"id":"ITEM-1","itemData":{"DOI":"10.1182/BLOODADVANCES.2020003795","PMID":"34269799","abstract":"Chronic lymphocytic leukemia (CLL) is caused by the progressive accumulation of mature CD5+B cells in secondary lymphoid organs. In vitro data suggest that CD4+T lymphocytes also sustain survival and proliferation of CLL clones through CD40L/CD40 interactions. In vivo data in animal models are conflicting. To clarify this clinically relevant biological issue, we generated genetically modified Eμ-TCL1 mice lacking CD41 T cells (TCL1+/+AB0), CD40 (TCL1+/+CD40-/-), or CD8+T cells (TCL1+/+TAP-/-), and we monitored the appearance and progression of a disease that mimics aggressive human CLL by flow cytometry and immunohistochemical analyses. Findings were confirmed by adoptive transfer of leukemic cells into mice lacking CD4+T cells or CD40L or mice treated with antibodies depleting CD4 T cells or blocking CD40L/CD40 interactions. CLL clones did not proliferate in mice lacking or depleted of CD41 T cells, thus confirming that CD4+T cells are essential for CLL development. By contrast, CD8+T cells exerted an antitumor activity, as indicated by the accelerated disease progression in TCL1+/+TAP-/-mice. Antigen specificity of CD4+T cells was marginal for CLL development, because CLL clones efficiently proliferated in transgenic mice whose CD4 T cells had a T-cell receptor with CLL-unrelated specificities. Leukemic clones also proliferated when transferred into wild-type mice treated with monoclonal antibodies blocking CD40 or into CD40L-/-mice, and TCL1+/+CD40-/-mice developed frank CLL. Our data demonstrate that CD81 T cells restrain CLL progression, whereas CD41 T cells support the growth of leukemic clones in TCL1 mice through CD40-independent and apparently noncognate mechanisms.","author":[{"dropping-particle":"","family":"Grioni","given":"Matteo","non-dropping-particle":"","parse-names":false,"suffix":""},{"dropping-particle":"","family":"Brevi","given":"Arianna","non-dropping-particle":"","parse-names":false,"suffix":""},{"dropping-particle":"","family":"Cattaneo","given":"Elena","non-dropping-particle":"","parse-names":false,"suffix":""},{"dropping-particle":"","family":"Rovida","given":"Alessandra","non-dropping-particle":"","parse-names":false,"suffix":""},{"dropping-particle":"","family":"Bordini","given":"Jessica","non-dropping-particle":"","parse-names":false,"suffix":""},{"dropping-particle":"","family":"Bertilaccio","given":"Maria Teresa Sabrina","non-dropping-particle":"","parse-names":false,"suffix":""},{"dropping-particle":"","family":"Ponzoni","given":"Maurilio","non-dropping-particle":"","parse-names":false,"suffix":""},{"dropping-particle":"","family":"Casorati","given":"Giulia","non-dropping-particle":"","parse-names":false,"suffix":""},{"dropping-particle":"","family":"Dellabona","given":"Paolo","non-dropping-particle":"","parse-names":false,"suffix":""},{"dropping-particle":"","family":"Ghia","given":"Paolo","non-dropping-particle":"","parse-names":false,"suffix":""},{"dropping-particle":"","family":"Bellone","given":"Matteo","non-dropping-particle":"","parse-names":false,"suffix":""},{"dropping-particle":"","family":"Calcinotto","given":"Arianna","non-dropping-particle":"","parse-names":false,"suffix":""}],"container-title":"Blood Advances","id":"ITEM-1","issue":"14","issued":{"date-parts":[["2021","7","27"]]},"page":"2817","publisher":"The American Society of Hematology","title":"CD4+ T cells sustain aggressive chronic lymphocytic leukemia in Eμ-TCL1 mice through a CD40L-independent mechanism","type":"article-journal","volume":"5"},"uris":["http://www.mendeley.com/documents/?uuid=eba593c4-5513-3002-9b75-731ae469e5d6"]}],"mendeley":{"formattedCitation":"[2]","plainTextFormattedCitation":"[2]","previouslyFormattedCitation":"[32]"},"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[2]</w:t>
            </w:r>
            <w:r w:rsidRPr="00902913">
              <w:rPr>
                <w:rFonts w:asciiTheme="minorHAnsi" w:hAnsiTheme="minorHAnsi" w:cstheme="minorHAnsi"/>
              </w:rPr>
              <w:fldChar w:fldCharType="end"/>
            </w:r>
          </w:p>
        </w:tc>
      </w:tr>
      <w:tr w:rsidR="00101369" w:rsidRPr="00902913" w14:paraId="0E02F752" w14:textId="77777777" w:rsidTr="00101369">
        <w:trPr>
          <w:trHeight w:val="307"/>
        </w:trPr>
        <w:tc>
          <w:tcPr>
            <w:tcW w:w="2506" w:type="pct"/>
          </w:tcPr>
          <w:p w14:paraId="2DB3746B"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Evidence for Non-Cancer-Specific T Cell Exhaustion in the Tcl1 Mouse Model for Chronic Lymphocytic Leukemia</w:t>
            </w:r>
          </w:p>
        </w:tc>
        <w:tc>
          <w:tcPr>
            <w:tcW w:w="552" w:type="pct"/>
          </w:tcPr>
          <w:p w14:paraId="58860AFB"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Age not reported</w:t>
            </w:r>
          </w:p>
        </w:tc>
        <w:tc>
          <w:tcPr>
            <w:tcW w:w="552" w:type="pct"/>
          </w:tcPr>
          <w:p w14:paraId="29601E6B"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Sex not reported</w:t>
            </w:r>
          </w:p>
        </w:tc>
        <w:tc>
          <w:tcPr>
            <w:tcW w:w="823" w:type="pct"/>
          </w:tcPr>
          <w:p w14:paraId="677BC38A"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WT, OT1, and OT2 mice</w:t>
            </w:r>
          </w:p>
        </w:tc>
        <w:tc>
          <w:tcPr>
            <w:tcW w:w="569" w:type="pct"/>
          </w:tcPr>
          <w:p w14:paraId="120968B7" w14:textId="528D5E4E"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{"citationItems":[{"id":"ITEM-1","itemData":{"DOI":"10.3390/IJMS22136648","PMID":"34206229","abstract":"The reinvigoration of anti-cancer immunity by immune checkpoint therapies has greatly improved cancer treatment. In chronic lymphocytic leukemia (CLL), patients as well as in the Tcl1 mouse model for CLL, PD1-expressing, exhausted T cells significantly expand alongside CLL development; nevertheless, PD1 inhibition has no clinical benefit. Hence, exhausted T cells are either not activatable by simple PD1 blocking in CLL and/or only an insufficient number of exhausted T cells are CLL-specific. In this study, we examined the latter hypothesis by exploiting the Tcl1 transgenic CLL mouse model in combination with TCR transgene expression specific for a non-cancer antigen. Following CLL tumor development, increased PD1 levels were detected on non-CLL specific T cells that seem dependent on the presence of (tumor-) antigen-specific T cells. Transcriptome analysis confirmed a similar exhaustion phenotype of non-CLL specific and endogenous PD1pos T cells. Our results indicate that in the CLL mouse model, a substantial fraction of non-CLL specific T cells becomes exhausted during disease progression in a bystander effect. These findings have important implications for the general efficacy assessment of immune checkpoint therapies in CLL.","author":[{"dropping-particle":"","family":"Parigger","given":"Thomas","non-dropping-particle":"","parse-names":false,"suffix":""},{"dropping-particle":"","family":"Gassner","given":"Franz Josef","non-dropping-particle":"","parse-names":false,"suffix":""},{"dropping-particle":"","family":"Scherhäufl","given":"Christian","non-dropping-particle":"","parse-names":false,"suffix":""},{"dropping-particle":"","family":"Bakar","given":"Aryunni Abu","non-dropping-particle":"","parse-names":false,"suffix":""},{"dropping-particle":"","family":"Höpner","given":"Jan Philip","non-dropping-particle":"","parse-names":false,"suffix":""},{"dropping-particle":"","family":"Hödlmoser","given":"Alexandra","non-dropping-particle":"","parse-names":false,"suffix":""},{"dropping-particle":"","family":"Steiner","given":"Markus","non-dropping-particle":"","parse-names":false,"suffix":""},{"dropping-particle":"","family":"Catakovic","given":"Kemal","non-dropping-particle":"","parse-names":false,"suffix":""},{"dropping-particle":"","family":"Geisberger","given":"Roland","non-dropping-particle":"","parse-names":false,"suffix":""},{"dropping-particle":"","family":"Greil","given":"Richard","non-dropping-particle":"","parse-names":false,"suffix":""},{"dropping-particle":"","family":"Zaborsky","given":"Nadja","non-dropping-particle":"","parse-names":false,"suffix":""}],"container-title":"International Journal of Molecular Sciences","id":"ITEM-1","issue":"13","issued":{"date-parts":[["2021","7","1"]]},"page":"6648","publisher":"Multidisciplinary Digital Publishing Institute  (MDPI)","title":"Evidence for Non-Cancer-Specific T Cell Exhaustion in the Tcl1 Mouse Model for Chronic Lymphocytic Leukemia","type":"article-journal","volume":"22"},"uris":["http://www.mendeley.com/documents/?uuid=319d3a1f-8fef-3f70-bb4f-9a0b68540621"]}],"mendeley":{"formattedCitation":"[3]","plainTextFormattedCitation":"[3]","previouslyFormattedCitation":"[33]"},"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[3]</w:t>
            </w:r>
            <w:r w:rsidRPr="00902913">
              <w:rPr>
                <w:rFonts w:asciiTheme="minorHAnsi" w:hAnsiTheme="minorHAnsi" w:cstheme="minorHAnsi"/>
              </w:rPr>
              <w:fldChar w:fldCharType="end"/>
            </w:r>
          </w:p>
        </w:tc>
      </w:tr>
      <w:tr w:rsidR="00101369" w:rsidRPr="00902913" w14:paraId="38D2289C" w14:textId="77777777" w:rsidTr="00101369">
        <w:trPr>
          <w:trHeight w:val="307"/>
        </w:trPr>
        <w:tc>
          <w:tcPr>
            <w:tcW w:w="2506" w:type="pct"/>
          </w:tcPr>
          <w:p w14:paraId="22D6B92B"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IDO1-Targeted Therapy Does Not Control Disease Development in the Eµ-TCL1 Mouse Model of Chronic Lymphocytic Leukemia</w:t>
            </w:r>
          </w:p>
        </w:tc>
        <w:tc>
          <w:tcPr>
            <w:tcW w:w="552" w:type="pct"/>
          </w:tcPr>
          <w:p w14:paraId="228A58D3"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Age not reported</w:t>
            </w:r>
          </w:p>
        </w:tc>
        <w:tc>
          <w:tcPr>
            <w:tcW w:w="552" w:type="pct"/>
          </w:tcPr>
          <w:p w14:paraId="307E64F4"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Sex not reported</w:t>
            </w:r>
          </w:p>
        </w:tc>
        <w:tc>
          <w:tcPr>
            <w:tcW w:w="823" w:type="pct"/>
          </w:tcPr>
          <w:p w14:paraId="7BF3B75C" w14:textId="77777777" w:rsidR="00101369" w:rsidRPr="00902913" w:rsidRDefault="00101369" w:rsidP="005D37E6">
            <w:pPr>
              <w:pStyle w:val="MDPI42tablebody"/>
              <w:rPr>
                <w:rFonts w:asciiTheme="minorHAnsi" w:hAnsiTheme="minorHAnsi" w:cstheme="minorHAnsi"/>
                <w:lang w:val="en-AU"/>
              </w:rPr>
            </w:pPr>
            <w:r w:rsidRPr="00902913">
              <w:rPr>
                <w:rFonts w:asciiTheme="minorHAnsi" w:hAnsiTheme="minorHAnsi" w:cstheme="minorHAnsi"/>
                <w:shd w:val="clear" w:color="auto" w:fill="FFFFFF"/>
              </w:rPr>
              <w:t>syngeneic animals</w:t>
            </w:r>
          </w:p>
          <w:p w14:paraId="4FCE32A4" w14:textId="77777777" w:rsidR="00101369" w:rsidRPr="00902913" w:rsidRDefault="00101369" w:rsidP="005D37E6">
            <w:pPr>
              <w:pStyle w:val="MDPI42tablebody"/>
              <w:rPr>
                <w:rFonts w:asciiTheme="minorHAnsi" w:hAnsiTheme="minorHAnsi" w:cstheme="minorHAnsi"/>
                <w:shd w:val="clear" w:color="auto" w:fill="FFFFFF"/>
              </w:rPr>
            </w:pPr>
          </w:p>
        </w:tc>
        <w:tc>
          <w:tcPr>
            <w:tcW w:w="569" w:type="pct"/>
          </w:tcPr>
          <w:p w14:paraId="34799EE9" w14:textId="3B99978C"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{"citationItems":[{"id":"ITEM-1","itemData":{"DOI":"10.3390/CANCERS13081899","PMID":"33920868","abstract":"Indoleamine-2,3-dioxygenase 1 (IDO1), a tryptophan (Trp)-catabolizing enzyme producing metabolites such as kynurenine (Kyn), is expressed by myeloid-derived suppressor cells (MDSCs) and associated with cancer immune escape. IDO1-expressing monocytic MDSCs were shown to accumulate in patients with chronic lymphocytic leukemia (CLL) and to suppress T cell activity and induce suppressive regulatory T cells (Tregs) in vitro. In the Eµ-TCL1 mouse model of CLL, we observed a strong upregulation of IDO1 in monocytic and granulocytic MDSCs, and a significantly increased Kyn to Trp serum ratio. To explore the potential of IDO1 as a therapeutic target for CLL, we treated mice after adoptive transfer of Eµ-TCL1 leukemia cells with the IDO1 modulator 1-methyl-D-tryptophan (1-MT) which resulted in a minor reduction in leukemia development which disappeared over time. 1-MT treatment further led to a partial rescue of the immune cell changes that are induced with CLL development. Similarly, treatment of leukemic mice with the clinically investigated IDO1 inhibitor epacadostat reduced the frequency of Tregs and initially delayed CLL development slightly, an effect that was, however, lost at later time points. In sum, despite the observed upregulation of IDO1 in CLL, its inhibition is not sufficient to control leukemia development in the Eµ-TCL1 adoptive transfer model.","author":[{"dropping-particle":"","family":"Öztürk","given":"Selcen","non-dropping-particle":"","parse-names":false,"suffix":""},{"dropping-particle":"","family":"Kalter","given":"Verena","non-dropping-particle":"","parse-names":false,"suffix":""},{"dropping-particle":"","family":"Roessner","given":"Philipp M.","non-dropping-particle":"","parse-names":false,"suffix":""},{"dropping-particle":"","family":"Sunbul","given":"Murat","non-dropping-particle":"","parse-names":false,"suffix":""},{"dropping-particle":"","family":"Seiffert","given":"Martina","non-dropping-particle":"","parse-names":false,"suffix":""}],"container-title":"Cancers","id":"ITEM-1","issue":"8","issued":{"date-parts":[["2021","4","2"]]},"publisher":"Multidisciplinary Digital Publishing Institute  (MDPI)","title":"IDO1-Targeted Therapy Does Not Control Disease Development in the Eµ-TCL1 Mouse Model of Chronic Lymphocytic Leukemia","type":"article-journal","volume":"13"},"uris":["http://www.mendeley.com/documents/?uuid=0f4f9d7f-457b-3560-b532-f4f8811af39a"]}],"mendeley":{"formattedCitation":"[4]","plainTextFormattedCitation":"[4]","previouslyFormattedCitation":"[34]"},"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[4]</w:t>
            </w:r>
            <w:r w:rsidRPr="00902913">
              <w:rPr>
                <w:rFonts w:asciiTheme="minorHAnsi" w:hAnsiTheme="minorHAnsi" w:cstheme="minorHAnsi"/>
              </w:rPr>
              <w:fldChar w:fldCharType="end"/>
            </w:r>
          </w:p>
        </w:tc>
      </w:tr>
      <w:tr w:rsidR="00101369" w:rsidRPr="00902913" w14:paraId="46899462" w14:textId="77777777" w:rsidTr="00101369">
        <w:trPr>
          <w:trHeight w:val="307"/>
        </w:trPr>
        <w:tc>
          <w:tcPr>
            <w:tcW w:w="2506" w:type="pct"/>
          </w:tcPr>
          <w:p w14:paraId="716CCBF3"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Interleukin-10 suppression enhances T-cell antitumor immunity and responses to checkpoint blockade in chronic lymphocytic leukemia</w:t>
            </w:r>
          </w:p>
        </w:tc>
        <w:tc>
          <w:tcPr>
            <w:tcW w:w="552" w:type="pct"/>
          </w:tcPr>
          <w:p w14:paraId="75D91CF7"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8-12 weeks</w:t>
            </w:r>
          </w:p>
        </w:tc>
        <w:tc>
          <w:tcPr>
            <w:tcW w:w="552" w:type="pct"/>
          </w:tcPr>
          <w:p w14:paraId="25391AF4"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 xml:space="preserve">Male and female </w:t>
            </w:r>
          </w:p>
        </w:tc>
        <w:tc>
          <w:tcPr>
            <w:tcW w:w="823" w:type="pct"/>
          </w:tcPr>
          <w:p w14:paraId="1ACBD9C9"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Not reported</w:t>
            </w:r>
          </w:p>
        </w:tc>
        <w:tc>
          <w:tcPr>
            <w:tcW w:w="569" w:type="pct"/>
          </w:tcPr>
          <w:p w14:paraId="196EB104" w14:textId="31122EA5"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{"citationItems":[{"id":"ITEM-1","itemData":{"DOI":"10.1038/s41375-021-01217-1","ISSN":"1476-5551","abstract":"T-cell dysfunction is a hallmark of B-cell Chronic Lymphocytic Leukemia (CLL), where CLL cells downregulate T-cell responses through regulatory molecules including programmed death ligand-1 (PD-L1) and Interleukin-10 (IL-10). Immune checkpoint blockade (ICB) aims to restore T-cell function by preventing the ligation of inhibitory receptors like PD-1. However, most CLL patients do not respond well to this therapy. Thus, we investigated whether IL-10 suppression could enhance antitumor T-cell activity and responses to ICB. Since CLL IL-10 expression depends on Sp1, we utilized a novel, better tolerated analogue of the Sp1 inhibitor mithramycin (MTMox32E) to suppress CLL IL-10. MTMox32E treatment inhibited mouse and human CLL IL-10 production and maintained T-cell effector function in vitro. In the Eμ-Tcl1 mouse model, treatment reduced plasma IL-10 and CLL burden and increased CD8+ T-cell proliferation, effector and memory cell prevalence, and interferon-γ production. When combined with ICB, suppression of IL-10 improved responses to anti-PD-L1 as shown by a 4.5-fold decrease in CLL cell burden compared to anti-PD-L1 alone. Combination therapy also produced more interferon-γ+, cytotoxic effector KLRG1+, and memory CD8+ T-cells, and fewer exhausted T-cells. Since current therapies for CLL do not target IL-10, this provides a novel strategy to improve immunotherapies.","author":[{"dropping-particle":"","family":"Rivas","given":"J. R.","non-dropping-particle":"","parse-names":false,"suffix":""},{"dropping-particle":"","family":"Liu","given":"Y.","non-dropping-particle":"","parse-names":false,"suffix":""},{"dropping-particle":"","family":"Alhakeem","given":"S. S.","non-dropping-particle":"","parse-names":false,"suffix":""},{"dropping-particle":"","family":"Eckenrode","given":"J. M.","non-dropping-particle":"","parse-names":false,"suffix":""},{"dropping-particle":"","family":"Marti","given":"F.","non-dropping-particle":"","parse-names":false,"suffix":""},{"dropping-particle":"","family":"Collard","given":"J. P.","non-dropping-particle":"","parse-names":false,"suffix":""},{"dropping-particle":"","family":"Zhang","given":"Y.","non-dropping-particle":"","parse-names":false,"suffix":""},{"dropping-particle":"","family":"Shaaban","given":"K. A.","non-dropping-particle":"","parse-names":false,"suffix":""},{"dropping-particle":"","family":"Muthusamy","given":"N.","non-dropping-particle":"","parse-names":false,"suffix":""},{"dropping-particle":"","family":"Hildebrandt","given":"G. C.","non-dropping-particle":"","parse-names":false,"suffix":""},{"dropping-particle":"","family":"Fleischman","given":"R. A.","non-dropping-particle":"","parse-names":false,"suffix":""},{"dropping-particle":"","family":"Chen","given":"L.","non-dropping-particle":"","parse-names":false,"suffix":""},{"dropping-particle":"","family":"Thorson","given":"J. S.","non-dropping-particle":"","parse-names":false,"suffix":""},{"dropping-particle":"","family":"Leggas","given":"M.","non-dropping-particle":"","parse-names":false,"suffix":""},{"dropping-particle":"","family":"Bondada","given":"S.","non-dropping-particle":"","parse-names":false,"suffix":""}],"container-title":"Leukemia 2021","id":"ITEM-1","issued":{"date-parts":[["2021","3","17"]]},"page":"1-13","publisher":"Nature Publishing Group","title":"Interleukin-10 suppression enhances T-cell antitumor immunity and responses to checkpoint blockade in chronic lymphocytic leukemia","type":"article-journal"},"uris":["http://www.mendeley.com/documents/?uuid=9245184e-4aeb-3e9e-8aca-707b33efecf7"]}],"mendeley":{"formattedCitation":"[5]","plainTextFormattedCitation":"[5]","previouslyFormattedCitation":"[35]"},"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[5]</w:t>
            </w:r>
            <w:r w:rsidRPr="00902913">
              <w:rPr>
                <w:rFonts w:asciiTheme="minorHAnsi" w:hAnsiTheme="minorHAnsi" w:cstheme="minorHAnsi"/>
              </w:rPr>
              <w:fldChar w:fldCharType="end"/>
            </w:r>
          </w:p>
        </w:tc>
      </w:tr>
      <w:tr w:rsidR="00101369" w:rsidRPr="00902913" w14:paraId="4587B8D7" w14:textId="77777777" w:rsidTr="00101369">
        <w:trPr>
          <w:trHeight w:val="307"/>
        </w:trPr>
        <w:tc>
          <w:tcPr>
            <w:tcW w:w="2506" w:type="pct"/>
          </w:tcPr>
          <w:p w14:paraId="270E5AB4"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EOMES is essential for antitumor activity of CD8+ T cells in chronic lymphocytic leukemia</w:t>
            </w:r>
          </w:p>
        </w:tc>
        <w:tc>
          <w:tcPr>
            <w:tcW w:w="552" w:type="pct"/>
          </w:tcPr>
          <w:p w14:paraId="6CBA82D4"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2-3 months</w:t>
            </w:r>
          </w:p>
        </w:tc>
        <w:tc>
          <w:tcPr>
            <w:tcW w:w="552" w:type="pct"/>
          </w:tcPr>
          <w:p w14:paraId="4A39FE3E"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Female</w:t>
            </w:r>
          </w:p>
        </w:tc>
        <w:tc>
          <w:tcPr>
            <w:tcW w:w="823" w:type="pct"/>
          </w:tcPr>
          <w:p w14:paraId="2DDB7AD9"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C57BL/6 mice</w:t>
            </w:r>
          </w:p>
        </w:tc>
        <w:tc>
          <w:tcPr>
            <w:tcW w:w="569" w:type="pct"/>
          </w:tcPr>
          <w:p w14:paraId="5804A701" w14:textId="3437C4C4"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{"citationItems":[{"id":"ITEM-1","itemData":{"DOI":"10.1038/s41375-021-01198-1","ISSN":"1476-5551","abstract":"Genome-wide association studies identified a single-nucleotide polymorphism (SNP) affecting the transcription factor Eomesodermin (EOMES) associated with a significantly increased risk to develop chronic lymphocytic leukemia (CLL). Epigenetic analyses, RNA sequencing, and flow cytometry revealed that EOMES is not expressed in CLL cells, but in CD8+ T cells for which EOMES is a known master regulator. We thus hypothesized that the increased CLL risk associated with the EOMES SNP might be explained by its negative impact on CD8+ T-cell-mediated immune control of CLL. Flow cytometry analyses revealed a higher EOMES expression in CD8+ T cells of CLL patients compared to healthy individuals, and an accumulation of PD-1+ EOMES+ CD8+ T cells in lymph nodes rather than blood or bone marrow in CLL. This was in line with an observed expansion of EOMES+ CD8+ T cells in the spleen of leukemic Eµ-TCL1 mice. As EOMES expression was highest in CD8+ T cells that express inhibitory receptors, an involvement of EOMES in T-cell exhaustion and dysfunction seems likely. Interestingly, Eomes-deficiency in CD8+ T cells resulted in their impaired expansion associated with decreased CLL control in mice. Overall, these observations suggest that EOMES is essential for CD8+ T-cell expansion and/or maintenance, and therefore involved in adaptive immune control of CLL.","author":[{"dropping-particle":"","family":"Llaó-Cid","given":"Laura","non-dropping-particle":"","parse-names":false,"suffix":""},{"dropping-particle":"","family":"Roessner","given":"Philipp M.","non-dropping-particle":"","parse-names":false,"suffix":""},{"dropping-particle":"","family":"Chapaprieta","given":"Vicente","non-dropping-particle":"","parse-names":false,"suffix":""},{"dropping-particle":"","family":"Öztürk","given":"Selcen","non-dropping-particle":"","parse-names":false,"suffix":""},{"dropping-particle":"","family":"Roider","given":"Tobias","non-dropping-particle":"","parse-names":false,"suffix":""},{"dropping-particle":"","family":"Bordas","given":"Marie","non-dropping-particle":"","parse-names":false,"suffix":""},{"dropping-particle":"","family":"Izcue","given":"Ana","non-dropping-particle":"","parse-names":false,"suffix":""},{"dropping-particle":"","family":"Colomer","given":"Dolors","non-dropping-particle":"","parse-names":false,"suffix":""},{"dropping-particle":"","family":"Dietrich","given":"Sascha","non-dropping-particle":"","parse-names":false,"suffix":""},{"dropping-particle":"","family":"Stilgenbauer","given":"Stephan","non-dropping-particle":"","parse-names":false,"suffix":""},{"dropping-particle":"","family":"Hanna","given":"Bola","non-dropping-particle":"","parse-names":false,"suffix":""},{"dropping-particle":"","family":"Martín-Subero","given":"José Ignacio","non-dropping-particle":"","parse-names":false,"suffix":""},{"dropping-particle":"","family":"Seiffert","given":"Martina","non-dropping-particle":"","parse-names":false,"suffix":""}],"container-title":"Leukemia 2021","id":"ITEM-1","issued":{"date-parts":[["2021","3","17"]]},"page":"1-11","publisher":"Nature Publishing Group","title":"EOMES is essential for antitumor activity of CD8+ T cells in chronic lymphocytic leukemia","type":"article-journal"},"uris":["http://www.mendeley.com/documents/?uuid=cbc77d55-45b0-3ab8-a71e-ce6da0b59857"]}],"mendeley":{"formattedCitation":"[6]","plainTextFormattedCitation":"[6]","previouslyFormattedCitation":"[36]"},"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[6]</w:t>
            </w:r>
            <w:r w:rsidRPr="00902913">
              <w:rPr>
                <w:rFonts w:asciiTheme="minorHAnsi" w:hAnsiTheme="minorHAnsi" w:cstheme="minorHAnsi"/>
              </w:rPr>
              <w:fldChar w:fldCharType="end"/>
            </w:r>
          </w:p>
        </w:tc>
      </w:tr>
      <w:tr w:rsidR="00101369" w:rsidRPr="00902913" w14:paraId="526298DE" w14:textId="77777777" w:rsidTr="00101369">
        <w:trPr>
          <w:trHeight w:val="307"/>
        </w:trPr>
        <w:tc>
          <w:tcPr>
            <w:tcW w:w="2506" w:type="pct"/>
          </w:tcPr>
          <w:p w14:paraId="02CAE407"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EOMES and IL-10 regulate antitumor activity of T regulatory type 1 CD4</w:t>
            </w:r>
            <w:r w:rsidRPr="00902913">
              <w:rPr>
                <w:rFonts w:asciiTheme="minorHAnsi" w:hAnsiTheme="minorHAnsi" w:cstheme="minorHAnsi"/>
                <w:vertAlign w:val="superscript"/>
              </w:rPr>
              <w:t>+</w:t>
            </w:r>
            <w:r w:rsidRPr="00902913">
              <w:rPr>
                <w:rFonts w:asciiTheme="minorHAnsi" w:hAnsiTheme="minorHAnsi" w:cstheme="minorHAnsi"/>
              </w:rPr>
              <w:t> T cells in chronic lymphocytic leukemia</w:t>
            </w:r>
          </w:p>
        </w:tc>
        <w:tc>
          <w:tcPr>
            <w:tcW w:w="552" w:type="pct"/>
          </w:tcPr>
          <w:p w14:paraId="3C9AA4CE"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 xml:space="preserve">6-8 weeks </w:t>
            </w:r>
          </w:p>
        </w:tc>
        <w:tc>
          <w:tcPr>
            <w:tcW w:w="552" w:type="pct"/>
          </w:tcPr>
          <w:p w14:paraId="13B13886"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Female</w:t>
            </w:r>
          </w:p>
        </w:tc>
        <w:tc>
          <w:tcPr>
            <w:tcW w:w="823" w:type="pct"/>
          </w:tcPr>
          <w:p w14:paraId="10D23450"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Not reported</w:t>
            </w:r>
          </w:p>
        </w:tc>
        <w:tc>
          <w:tcPr>
            <w:tcW w:w="569" w:type="pct"/>
          </w:tcPr>
          <w:p w14:paraId="6B2DAD6A" w14:textId="7F16C475"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{"citationItems":[{"id":"ITEM-1","itemData":{"DOI":"10.1038/S41375-021-01136-1","PMID":"33526861","abstract":"The transcription factor eomesodermin (EOMES) promotes interleukin (IL)-10 expression in CD4+ T cells, which has been linked to immunosuppressive and cytotoxic activities. We detected cytotoxic, programmed cell death protein-1 (PD-1) and EOMES co-expressing CD4+ T cells in lymph nodes (LNs) of patients with chronic lymphocytic leukemia (CLL) or diffuse large B-cell lymphoma. Transcriptome and flow cytometry analyses revealed that EOMES does not only drive IL-10 expression, but rather controls a unique transcriptional signature in CD4+ T cells, that is enriched in genes typical for T regulatory type 1 (TR1) cells. The TR1 cell identity of these CD4+ T cells was supported by their expression of interferon gamma and IL-10, as well as inhibitory receptors including PD-1. TR1 cells with cytotoxic capacity accumulate also in Eµ-TCL1 mice that develop CLL-like disease. Whereas wild-type CD4+ T cells control TCL1 leukemia development after adoptive transfer in leukopenic Rag2−/− mice, EOMES-deficient CD4+ T cells failed to do so. We further show that TR1 cell-mediated control of TCL1 leukemia requires IL-10 receptor (IL-10R) signaling, as Il10rb-deficient CD4+ T cells showed impaired antileukemia activity. Altogether, our data demonstrate that EOMES is indispensable for the development of IL-10-expressing, cytotoxic TR1 cells, which accumulate in LNs of CLL patients and control TCL1 leukemia in mice in an IL-10R-dependent manner.","author":[{"dropping-particle":"","family":"Roessner","given":"Philipp M.","non-dropping-particle":"","parse-names":false,"suffix":""},{"dropping-particle":"","family":"Cid","given":"Laura Llaó","non-dropping-particle":"","parse-names":false,"suffix":""},{"dropping-particle":"","family":"Lupar","given":"Ekaterina","non-dropping-particle":"","parse-names":false,"suffix":""},{"dropping-particle":"","family":"Roider","given":"Tobias","non-dropping-particle":"","parse-names":false,"suffix":""},{"dropping-particle":"","family":"Bordas","given":"Marie","non-dropping-particle":"","parse-names":false,"suffix":""},{"dropping-particle":"","family":"Schifflers","given":"Christoph","non-dropping-particle":"","parse-names":false,"suffix":""},{"dropping-particle":"","family":"Arseni","given":"Lavinia","non-dropping-particle":"","parse-names":false,"suffix":""},{"dropping-particle":"","family":"Gaupel","given":"Ann-Christin","non-dropping-particle":"","parse-names":false,"suffix":""},{"dropping-particle":"","family":"Kilpert","given":"Fabian","non-dropping-particle":"","parse-names":false,"suffix":""},{"dropping-particle":"","family":"Krötschel","given":"Marit","non-dropping-particle":"","parse-names":false,"suffix":""},{"dropping-particle":"","family":"Arnold","given":"Sebastian J.","non-dropping-particle":"","parse-names":false,"suffix":""},{"dropping-particle":"","family":"Sellner","given":"Leopold","non-dropping-particle":"","parse-names":false,"suffix":""},{"dropping-particle":"","family":"Colomer","given":"Dolors","non-dropping-particle":"","parse-names":false,"suffix":""},{"dropping-particle":"","family":"Stilgenbauer","given":"Stephan","non-dropping-particle":"","parse-names":false,"suffix":""},{"dropping-particle":"","family":"Dietrich","given":"Sascha","non-dropping-particle":"","parse-names":false,"suffix":""},{"dropping-particle":"","family":"Lichter","given":"Peter","non-dropping-particle":"","parse-names":false,"suffix":""},{"dropping-particle":"","family":"Izcue","given":"Ana","non-dropping-particle":"","parse-names":false,"suffix":""},{"dropping-particle":"","family":"Seiffert","given":"Martina","non-dropping-particle":"","parse-names":false,"suffix":""}],"container-title":"Leukemia","id":"ITEM-1","issue":"8","issued":{"date-parts":[["2021","8","1"]]},"page":"2311","publisher":"Nature Publishing Group","title":"EOMES and IL-10 regulate antitumor activity of T regulatory type 1 CD4+ T cells in chronic lymphocytic leukemia","type":"article-journal","volume":"35"},"uris":["http://www.mendeley.com/documents/?uuid=9802df4b-3f99-34dd-8ca0-b0b24d934fbf"]}],"mendeley":{"formattedCitation":"[7]","plainTextFormattedCitation":"[7]","previouslyFormattedCitation":"[37]"},"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[7]</w:t>
            </w:r>
            <w:r w:rsidRPr="00902913">
              <w:rPr>
                <w:rFonts w:asciiTheme="minorHAnsi" w:hAnsiTheme="minorHAnsi" w:cstheme="minorHAnsi"/>
              </w:rPr>
              <w:fldChar w:fldCharType="end"/>
            </w:r>
          </w:p>
        </w:tc>
      </w:tr>
      <w:tr w:rsidR="00101369" w:rsidRPr="00902913" w14:paraId="33AA0459" w14:textId="77777777" w:rsidTr="00101369">
        <w:trPr>
          <w:trHeight w:val="307"/>
        </w:trPr>
        <w:tc>
          <w:tcPr>
            <w:tcW w:w="2506" w:type="pct"/>
          </w:tcPr>
          <w:p w14:paraId="2B8F6314"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HDAC6 Inhibition Alleviates CLL-Induced T-Cell Dysfunction and Enhances Immune Checkpoint Blockade Efficacy in the Eμ-TCL1 Model</w:t>
            </w:r>
          </w:p>
        </w:tc>
        <w:tc>
          <w:tcPr>
            <w:tcW w:w="552" w:type="pct"/>
          </w:tcPr>
          <w:p w14:paraId="36D8B55B"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6-8 weeks</w:t>
            </w:r>
          </w:p>
        </w:tc>
        <w:tc>
          <w:tcPr>
            <w:tcW w:w="552" w:type="pct"/>
          </w:tcPr>
          <w:p w14:paraId="32B23BA7"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Sex not reported</w:t>
            </w:r>
          </w:p>
        </w:tc>
        <w:tc>
          <w:tcPr>
            <w:tcW w:w="823" w:type="pct"/>
          </w:tcPr>
          <w:p w14:paraId="7AA7361A" w14:textId="77777777" w:rsidR="00101369" w:rsidRPr="00902913" w:rsidRDefault="00101369" w:rsidP="005D37E6">
            <w:pPr>
              <w:pStyle w:val="MDPI42tablebody"/>
              <w:rPr>
                <w:rFonts w:asciiTheme="minorHAnsi" w:hAnsiTheme="minorHAnsi" w:cstheme="minorHAnsi"/>
                <w:lang w:val="en-AU"/>
              </w:rPr>
            </w:pPr>
            <w:r w:rsidRPr="00902913">
              <w:rPr>
                <w:rFonts w:asciiTheme="minorHAnsi" w:hAnsiTheme="minorHAnsi" w:cstheme="minorHAnsi"/>
                <w:shd w:val="clear" w:color="auto" w:fill="FFFFFF"/>
              </w:rPr>
              <w:t>C57BL/6 wildtype</w:t>
            </w:r>
          </w:p>
          <w:p w14:paraId="7BD38BBD" w14:textId="77777777" w:rsidR="00101369" w:rsidRPr="00902913" w:rsidRDefault="00101369" w:rsidP="005D37E6">
            <w:pPr>
              <w:pStyle w:val="MDPI42tablebody"/>
              <w:rPr>
                <w:rFonts w:asciiTheme="minorHAnsi" w:hAnsiTheme="minorHAnsi" w:cstheme="minorHAnsi"/>
                <w:shd w:val="clear" w:color="auto" w:fill="FFFFFF"/>
              </w:rPr>
            </w:pPr>
          </w:p>
        </w:tc>
        <w:tc>
          <w:tcPr>
            <w:tcW w:w="569" w:type="pct"/>
          </w:tcPr>
          <w:p w14:paraId="7DA4BB15" w14:textId="3EBD59FE"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{"citationItems":[{"id":"ITEM-1","itemData":{"DOI":"10.3389/FIMMU.2020.590072","PMID":"33329575","abstract":"Development of chronic lymphocytic leukemia (CLL) is associated with severe immune dysfunction. T-cell exhaustion, immune checkpoint upregulation, and increase of regulatory T cells contribute to an immunosuppressive tumor microenvironment. As a result, CLL patients are severely susceptible to infectious complications that increase morbidity and mortality. CLL B-cell survival is highly dependent upon interaction with the supportive tumor microenvironment. It has been postulated that the reversal of T-cell dysfunction in CLL may be beneficial to reduce tumor burden. Previous studies have also highlighted roles for histone deacetylase 6 (HDAC6) in regulation of immune cell phenotype and function. Here, we report for the first time that HDAC6 inhibition exerts beneficial immunomodulatory effects on CLL B cells and alleviates CLL-induced immunosuppression of CLL T cells. In the Eμ-TCL1 adoptive transfer murine model, genetic silencing or inhibition of HDAC6 reduced surface expression of programmed death-ligand 1 (PD-L1) on CLL B cells and lowered interleukin-10 (IL-10) levels. This occurred concurrently with a bolstered T-cell phenotype, demonstrated by alteration of coinhibitory molecules and activation status. Analysis of mice with similar tumor burden indicated that the majority of T-cell changes elicited by silencing or inhibition of HDAC6 in vivo are likely secondary to decrease of tumor burden and immunomodulation of CLL B cells. The data reported here suggest that CLL B cell phenotype may be altered by HDAC6-mediated hyperacetylation of the chaperone heat shock protein 90 (HSP90) and subsequent inhibition of the Janus kinase (JAK)/signal transducer and activator of transcription (STAT) pathway. Based on the beneficial immunomodulatory activity of HDAC6 inhibition, we rationalized that HDAC6 inhibitors could enhance immune checkpoint blockade in CLL. Conclusively, combination treatment with ACY738 augmented the antitumor efficacy of anti-PD-1 and anti-PD-L1 monoclonal antibodies in the Eμ-TCL1 adoptive transfer murine model. These combinatorial antitumor effects coincided with an increased cytotoxic CD8+ T-cell phenotype. Taken together, these data highlight a role for HDAC inhibitors in combination with immunotherapy and provides the rationale to investigate HDAC6 inhibition together with immune checkpoint blockade for treatment of CLL patients.","author":[{"dropping-particle":"","family":"Maharaj","given":"Kamira","non-dropping-particle":"","parse-names":false,"suffix":""},{"dropping-particle":"","family":"Powers","given":"John J.","non-dropping-particle":"","parse-names":false,"suffix":""},{"dropping-particle":"","family":"Mediavilla-Varela","given":"Melanie","non-dropping-particle":"","parse-names":false,"suffix":""},{"dropping-particle":"","family":"Achille","given":"Alex","non-dropping-particle":"","parse-names":false,"suffix":""},{"dropping-particle":"","family":"Gamal","given":"Wael","non-dropping-particle":"","parse-names":false,"suffix":""},{"dropping-particle":"","family":"Quayle","given":"Steven","non-dropping-particle":"","parse-names":false,"suffix":""},{"dropping-particle":"","family":"Jones","given":"Simon S.","non-dropping-particle":"","parse-names":false,"suffix":""},{"dropping-particle":"","family":"Sahakian","given":"Eva","non-dropping-particle":"","parse-names":false,"suffix":""},{"dropping-particle":"","family":"Pinilla-Ibarz","given":"Javier","non-dropping-particle":"","parse-names":false,"suffix":""}],"container-title":"Frontiers in Immunology","id":"ITEM-1","issued":{"date-parts":[["2020","11","23"]]},"publisher":"Frontiers Media SA","title":"HDAC6 Inhibition Alleviates CLL-Induced T-Cell Dysfunction and Enhances Immune Checkpoint Blockade Efficacy in the Eμ-TCL1 Model","type":"article-journal","volume":"11"},"uris":["http://www.mendeley.com/documents/?uuid=5a56b3db-6924-314d-94b6-6e83a9cb0f63"]}],"mendeley":{"formattedCitation":"[8]","plainTextFormattedCitation":"[8]","previouslyFormattedCitation":"[38]"},"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[8]</w:t>
            </w:r>
            <w:r w:rsidRPr="00902913">
              <w:rPr>
                <w:rFonts w:asciiTheme="minorHAnsi" w:hAnsiTheme="minorHAnsi" w:cstheme="minorHAnsi"/>
              </w:rPr>
              <w:fldChar w:fldCharType="end"/>
            </w:r>
          </w:p>
        </w:tc>
      </w:tr>
      <w:tr w:rsidR="00101369" w:rsidRPr="00902913" w14:paraId="146DC2F4" w14:textId="77777777" w:rsidTr="00101369">
        <w:trPr>
          <w:trHeight w:val="307"/>
        </w:trPr>
        <w:tc>
          <w:tcPr>
            <w:tcW w:w="2506" w:type="pct"/>
          </w:tcPr>
          <w:p w14:paraId="1C759D94"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Enhanced IL-9 secretion by p66Shc-deficient CLL cells modulates the chemokine landscape of the stromal microenvironment</w:t>
            </w:r>
          </w:p>
        </w:tc>
        <w:tc>
          <w:tcPr>
            <w:tcW w:w="552" w:type="pct"/>
          </w:tcPr>
          <w:p w14:paraId="672B0909"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 xml:space="preserve">Age not reported </w:t>
            </w:r>
          </w:p>
        </w:tc>
        <w:tc>
          <w:tcPr>
            <w:tcW w:w="552" w:type="pct"/>
          </w:tcPr>
          <w:p w14:paraId="7906890A"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shd w:val="clear" w:color="auto" w:fill="FFFFFF"/>
              </w:rPr>
              <w:t>Sex not reported</w:t>
            </w:r>
          </w:p>
        </w:tc>
        <w:tc>
          <w:tcPr>
            <w:tcW w:w="823" w:type="pct"/>
          </w:tcPr>
          <w:p w14:paraId="25A30226" w14:textId="3A229FBC" w:rsidR="00101369" w:rsidRPr="00902913" w:rsidRDefault="00101369" w:rsidP="00101369">
            <w:pPr>
              <w:pStyle w:val="MDPI42tablebody"/>
              <w:rPr>
                <w:rFonts w:asciiTheme="minorHAnsi" w:hAnsiTheme="minorHAnsi" w:cstheme="minorHAnsi"/>
                <w:lang w:val="en-AU"/>
              </w:rPr>
            </w:pPr>
            <w:r w:rsidRPr="00902913">
              <w:rPr>
                <w:rFonts w:asciiTheme="minorHAnsi" w:hAnsiTheme="minorHAnsi" w:cstheme="minorHAnsi"/>
              </w:rPr>
              <w:t>Eµ-TCL1/p66Shc-/- mice with overt leukemia</w:t>
            </w:r>
          </w:p>
        </w:tc>
        <w:tc>
          <w:tcPr>
            <w:tcW w:w="569" w:type="pct"/>
          </w:tcPr>
          <w:p w14:paraId="799641F8" w14:textId="1BAD6535"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{"citationItems":[{"id":"ITEM-1","itemData":{"DOI":"10.1182/BLOOD.2020005785","ISSN":"0006-4971","abstract":"The stromal microenvironment is central to chronic lymphocytic leukemia (CLL) pathogenesis. How leukemic cells condition the stroma to enhance its chemoattractant properties remains elusive. Here, we show that mouse and human CLL cells promote the contact-independent stromal expression of homing chemokines. This function was strongly enhanced in leukemic cells from Eμ-TCL1 mice lacking the pro-oxidant p66Shc adaptor, which develop an aggressive disease with organ infiltration. We identified interleukin-9 (IL-9) as the soluble factor, negatively modulated by p66Shc, that is responsible for the chemokine-elevating activity of leukemic cells on stromal cells. IL-9 blockade in Eμ-TCL1/p66Shc−/− mice resulted in a decrease in the nodal expression of homing chemokines, which correlated with decreased leukemic cell invasiveness. IL-9 levels were found to correlate inversely with residual p66Shc in p66Shc-deficient human CLL cells (n = 52 patients). p66Shc reconstitution in CLL cells normalized IL-9 expression and neutralized their chemokine-elevating activity. Notably, high IL-9 expression in CLL cells directly correlates with lymphadenopathy, liver infiltration, disease severity, and overall survival, emerging as an independent predictor of disease outcome. Our results demonstrate that IL-9 modulates the chemokine landscape in the stroma and that p66Shc, by regulating IL-9 expression, fine tunes the ability of leukemic cells to shape the microenvironment, thereby contributing to CLL pathogenesis.","author":[{"dropping-particle":"","family":"Patrussi","given":"Laura","non-dropping-particle":"","parse-names":false,"suffix":""},{"dropping-particle":"","family":"Manganaro","given":"Noemi","non-dropping-particle":"","parse-names":false,"suffix":""},{"dropping-particle":"","family":"Capitani","given":"Nagaja","non-dropping-particle":"","parse-names":false,"suffix":""},{"dropping-particle":"","family":"Ulivieri","given":"Cristina","non-dropping-particle":"","parse-names":false,"suffix":""},{"dropping-particle":"","family":"Tatangelo","given":"Vanessa","non-dropping-particle":"","parse-names":false,"suffix":""},{"dropping-particle":"","family":"Libonati","given":"Francesca","non-dropping-particle":"","parse-names":false,"suffix":""},{"dropping-particle":"","family":"Finetti","given":"Francesca","non-dropping-particle":"","parse-names":false,"suffix":""},{"dropping-particle":"","family":"Frezzato","given":"Federica","non-dropping-particle":"","parse-names":false,"suffix":""},{"dropping-particle":"","family":"Visentin","given":"Andrea","non-dropping-particle":"","parse-names":false,"suffix":""},{"dropping-particle":"","family":"D'Elios","given":"Mario Milco","non-dropping-particle":"","parse-names":false,"suffix":""},{"dropping-particle":"","family":"Trentin","given":"Livio","non-dropping-particle":"","parse-names":false,"suffix":""},{"dropping-particle":"","family":"Semenzato","given":"Gianpietro","non-dropping-particle":"","parse-names":false,"suffix":""},{"dropping-particle":"","family":"Baldari","given":"Cosima T.","non-dropping-particle":"","parse-names":false,"suffix":""}],"container-title":"Blood","id":"ITEM-1","issue":"16","issued":{"date-parts":[["2021","4","22"]]},"page":"2182-2195","publisher":"Content Repository Only!","title":"Enhanced IL-9 secretion by p66Shc-deficient CLL cells modulates the chemokine landscape of the stromal microenvironment","type":"article-journal","volume":"137"},"uris":["http://www.mendeley.com/documents/?uuid=1604e87d-9cb0-3515-adbc-0ead1139a04a"]}],"mendeley":{"formattedCitation":"[9]","plainTextFormattedCitation":"[9]","previouslyFormattedCitation":"[39]"},"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[9]</w:t>
            </w:r>
            <w:r w:rsidRPr="00902913">
              <w:rPr>
                <w:rFonts w:asciiTheme="minorHAnsi" w:hAnsiTheme="minorHAnsi" w:cstheme="minorHAnsi"/>
              </w:rPr>
              <w:fldChar w:fldCharType="end"/>
            </w:r>
          </w:p>
        </w:tc>
      </w:tr>
      <w:tr w:rsidR="00101369" w:rsidRPr="00902913" w14:paraId="366C058D" w14:textId="77777777" w:rsidTr="00101369">
        <w:trPr>
          <w:trHeight w:val="307"/>
        </w:trPr>
        <w:tc>
          <w:tcPr>
            <w:tcW w:w="2506" w:type="pct"/>
          </w:tcPr>
          <w:p w14:paraId="51DCC7DB"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Exploiting B-cell Receptor Stereotypy to Design Tailored Immunotherapy in Chronic Lymphocytic Leukemia</w:t>
            </w:r>
          </w:p>
        </w:tc>
        <w:tc>
          <w:tcPr>
            <w:tcW w:w="552" w:type="pct"/>
          </w:tcPr>
          <w:p w14:paraId="1DEC05C3"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7-8 weeks</w:t>
            </w:r>
          </w:p>
        </w:tc>
        <w:tc>
          <w:tcPr>
            <w:tcW w:w="552" w:type="pct"/>
          </w:tcPr>
          <w:p w14:paraId="02A5BE38"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shd w:val="clear" w:color="auto" w:fill="FFFFFF"/>
              </w:rPr>
              <w:t>Sex not reported</w:t>
            </w:r>
          </w:p>
        </w:tc>
        <w:tc>
          <w:tcPr>
            <w:tcW w:w="823" w:type="pct"/>
          </w:tcPr>
          <w:p w14:paraId="2B7F1C8C" w14:textId="77777777" w:rsidR="00101369" w:rsidRPr="00902913" w:rsidRDefault="00101369" w:rsidP="005D37E6">
            <w:pPr>
              <w:pStyle w:val="MDPI42tablebody"/>
              <w:rPr>
                <w:rFonts w:asciiTheme="minorHAnsi" w:hAnsiTheme="minorHAnsi" w:cstheme="minorHAnsi"/>
                <w:lang w:val="en-AU"/>
              </w:rPr>
            </w:pPr>
            <w:r w:rsidRPr="00902913">
              <w:rPr>
                <w:rFonts w:asciiTheme="minorHAnsi" w:hAnsiTheme="minorHAnsi" w:cstheme="minorHAnsi"/>
              </w:rPr>
              <w:t>Not reported</w:t>
            </w:r>
          </w:p>
          <w:p w14:paraId="4676F529" w14:textId="77777777" w:rsidR="00101369" w:rsidRPr="00902913" w:rsidRDefault="00101369" w:rsidP="005D37E6">
            <w:pPr>
              <w:pStyle w:val="MDPI42tablebody"/>
              <w:rPr>
                <w:rFonts w:asciiTheme="minorHAnsi" w:hAnsiTheme="minorHAnsi" w:cstheme="minorHAnsi"/>
              </w:rPr>
            </w:pPr>
          </w:p>
        </w:tc>
        <w:tc>
          <w:tcPr>
            <w:tcW w:w="569" w:type="pct"/>
          </w:tcPr>
          <w:p w14:paraId="5CA80F9E" w14:textId="0B88E3A8"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{"citationItems":[{"id":"ITEM-1","itemData":{"DOI":"10.1158/1078-0432.CCR-20-1632","abstract":"</w:instrText>
            </w:r>
            <w:r w:rsidR="00D85873" w:rsidRPr="00902913">
              <w:rPr>
                <w:rFonts w:ascii="Cambria Math" w:hAnsi="Cambria Math" w:cs="Cambria Math"/>
              </w:rPr>
              <w:instrText>◥</w:instrText>
            </w:r>
            <w:r w:rsidR="00D85873" w:rsidRPr="00902913">
              <w:rPr>
                <w:rFonts w:asciiTheme="minorHAnsi" w:hAnsiTheme="minorHAnsi" w:cstheme="minorHAnsi"/>
              </w:rPr>
              <w:instrText xml:space="preserve"> Purpose: Approximately 30% of patients with chronic lymphocytic leukemia (CLL) can be grouped into subsets with stereotyped B-cell receptor immunoglobulin (BcR IG) displaying remarkable similarity in the heavy complementarity-determining region 3 (VH CDR3). Here, we investigated whether the consensus VH CDR3 sequences from CLL stereotyped subsets can be exploited for immunotherapy approaches. Experimental Design: Immunogenic epitopes from the consensus VH CDR3 sequence of the clinically aggressive subsets #1 and #2 and from Em-TCL1 mice, which spontaneously develop CLL with BcR IG stereotypy, were identified and used to generate specific HLA class I-and II-restricted T cells in vitro. T-cell reactivity was assayed in vitro as IFNg production. Bone marrow-derived dendritic cells loaded with the peptides were used as vaccination strategy to restrain leukemia development in the Em-TCL1 mouse model. Results: These stereotyped epitopes were naturally processed and presented by CLL cells to the VH CDR3-specific T cells. Furthermore , we validated the efficacy of VH CDR3 peptide-based immu-notherapy in the Em-TCL1 transplantable mouse model. Immunization of mice against defined VH CDR3 peptide epitopes, prior to the challenge with the corresponding leukemia cells, resulted in the control of CLL development in a significant fraction of mice, and increased overall survival. Conclusions: Our data highlight the immunogenicity of stereotyped VH CDR3 sequences and support the feasibility and efficacy of their use for novel cancer vaccine in CLL. Such approach has the advantage to generate \"off-the-shelf\" therapeutic vaccines for relevant groups of patients belonging to stereotyped subsets.","author":[{"dropping-particle":"","family":"Rovida","given":"Alessandra","non-dropping-particle":"","parse-names":false,"suffix":""},{"dropping-particle":"","family":"Maccalli","given":"Cristina","non-dropping-particle":"","parse-names":false,"suffix":""},{"dropping-particle":"","family":"Scarf","given":"Lydia","non-dropping-particle":"","parse-names":false,"suffix":""},{"dropping-particle":"","family":"Dellabona","given":"Paolo","non-dropping-particle":"","parse-names":false,"suffix":""},{"dropping-particle":"","family":"Stamatopoulos","given":"Kostas","non-dropping-particle":"","parse-names":false,"suffix":""},{"dropping-particle":"","family":"Ghia","given":"Paolo","non-dropping-particle":"","parse-names":false,"suffix":""}],"id":"ITEM-1","issued":{"date-parts":[["2021"]]},"title":"Exploiting B-cell Receptor Stereotypy to Design Tailored Immunotherapy in Chronic Lymphocytic Leukemia","type":"article-journal"},"uris":["http://www.mendeley.com/documents/?uuid=eb23bf1a-dfac-3568-b492-8401d1a149cc"]}],"mendeley":{"formattedCitation":"[10]","plainTextFormattedCitation":"[10]","previouslyFormattedCitation":"[40]"},"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[10]</w:t>
            </w:r>
            <w:r w:rsidRPr="00902913">
              <w:rPr>
                <w:rFonts w:asciiTheme="minorHAnsi" w:hAnsiTheme="minorHAnsi" w:cstheme="minorHAnsi"/>
              </w:rPr>
              <w:fldChar w:fldCharType="end"/>
            </w:r>
          </w:p>
        </w:tc>
      </w:tr>
      <w:tr w:rsidR="00101369" w:rsidRPr="00902913" w14:paraId="04172857" w14:textId="77777777" w:rsidTr="00101369">
        <w:trPr>
          <w:trHeight w:val="307"/>
        </w:trPr>
        <w:tc>
          <w:tcPr>
            <w:tcW w:w="2506" w:type="pct"/>
          </w:tcPr>
          <w:p w14:paraId="691DD44D"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CD74 is dispensable for development of chronic lymphocytic leukemia in Eµ-TCL1 transgenic mice</w:t>
            </w:r>
          </w:p>
        </w:tc>
        <w:tc>
          <w:tcPr>
            <w:tcW w:w="552" w:type="pct"/>
          </w:tcPr>
          <w:p w14:paraId="38668542"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3 months</w:t>
            </w:r>
          </w:p>
          <w:p w14:paraId="50131569" w14:textId="77777777" w:rsidR="00101369" w:rsidRPr="00902913" w:rsidRDefault="00101369" w:rsidP="005D37E6">
            <w:pPr>
              <w:pStyle w:val="MDPI42tablebody"/>
              <w:rPr>
                <w:rFonts w:asciiTheme="minorHAnsi" w:hAnsiTheme="minorHAnsi" w:cstheme="minorHAnsi"/>
              </w:rPr>
            </w:pPr>
          </w:p>
        </w:tc>
        <w:tc>
          <w:tcPr>
            <w:tcW w:w="552" w:type="pct"/>
          </w:tcPr>
          <w:p w14:paraId="07292E39"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shd w:val="clear" w:color="auto" w:fill="FFFFFF"/>
              </w:rPr>
              <w:t>Sex not reported</w:t>
            </w:r>
          </w:p>
        </w:tc>
        <w:tc>
          <w:tcPr>
            <w:tcW w:w="823" w:type="pct"/>
          </w:tcPr>
          <w:p w14:paraId="51DEE259"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C57BL/6J wild type (WT) recipient mice</w:t>
            </w:r>
          </w:p>
          <w:p w14:paraId="6E9E5F86"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 xml:space="preserve">** the leukemic cells were </w:t>
            </w:r>
            <w:proofErr w:type="spellStart"/>
            <w:r w:rsidRPr="00902913">
              <w:rPr>
                <w:rFonts w:asciiTheme="minorHAnsi" w:hAnsiTheme="minorHAnsi" w:cstheme="minorHAnsi"/>
              </w:rPr>
              <w:t>passaged</w:t>
            </w:r>
            <w:proofErr w:type="spellEnd"/>
            <w:r w:rsidRPr="00902913">
              <w:rPr>
                <w:rFonts w:asciiTheme="minorHAnsi" w:hAnsiTheme="minorHAnsi" w:cstheme="minorHAnsi"/>
              </w:rPr>
              <w:t xml:space="preserve"> through one recipient before transfer</w:t>
            </w:r>
          </w:p>
        </w:tc>
        <w:tc>
          <w:tcPr>
            <w:tcW w:w="569" w:type="pct"/>
          </w:tcPr>
          <w:p w14:paraId="4CC386CC" w14:textId="5C7555FE"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{"citationItems":[{"id":"ITEM-1","itemData":{"DOI":"10.1080/10428194.2020.1791851","abstract":"CD74 is a surface protein expressed on immune cells, which acts as receptor for the chemokine macrophage migration inhibitory factor (MIF). Signaling via the MIF/CD74-axis has been reported to be i...","author":[{"dropping-particle":"","family":"Barthel","given":"Romy","non-dropping-particle":"","parse-names":false,"suffix":""},{"dropping-particle":"","family":"Fedorchenko","given":"Oleg","non-dropping-particle":"","parse-names":false,"suffix":""},{"dropping-particle":"","family":"Velmans","given":"Tanja","non-dropping-particle":"","parse-names":false,"suffix":""},{"dropping-particle":"","family":"Rosen","given":"Natascha","non-dropping-particle":"","parse-names":false,"suffix":""},{"dropping-particle":"","family":"Nguyen","given":"Phuong-Hien","non-dropping-particle":"","parse-names":false,"suffix":""},{"dropping-particle":"","family":"Reinart","given":"Nina","non-dropping-particle":"","parse-names":false,"suffix":""},{"dropping-particle":"","family":"Florin","given":"Alexandra","non-dropping-particle":"","parse-names":false,"suffix":""},{"dropping-particle":"","family":"Herling","given":"Marco","non-dropping-particle":"","parse-names":false,"suffix":""},{"dropping-particle":"","family":"Hallek","given":"Michael","non-dropping-particle":"","parse-names":false,"suffix":""},{"dropping-particle":"","family":"Fingerle-Rowson","given":"Günter","non-dropping-particle":"","parse-names":false,"suffix":""}],"container-title":"https://doi.org/10.1080/10428194.2020.1791851","id":"ITEM-1","issued":{"date-parts":[["2020"]]},"page":"2799-2810","publisher":"Taylor &amp; Francis","title":"CD74 is dispensable for development of chronic lymphocytic leukemia in Eµ-TCL1 transgenic mice","type":"article-journal"},"uris":["http://www.mendeley.com/documents/?uuid=2fa465eb-839a-3393-a812-0551452fb2ab"]}],"mendeley":{"formattedCitation":"[11]","plainTextFormattedCitation":"[11]","previouslyFormattedCitation":"[41]"},"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[11]</w:t>
            </w:r>
            <w:r w:rsidRPr="00902913">
              <w:rPr>
                <w:rFonts w:asciiTheme="minorHAnsi" w:hAnsiTheme="minorHAnsi" w:cstheme="minorHAnsi"/>
              </w:rPr>
              <w:fldChar w:fldCharType="end"/>
            </w:r>
          </w:p>
        </w:tc>
      </w:tr>
      <w:tr w:rsidR="00101369" w:rsidRPr="00902913" w14:paraId="0118FC94" w14:textId="77777777" w:rsidTr="00101369">
        <w:trPr>
          <w:trHeight w:val="307"/>
        </w:trPr>
        <w:tc>
          <w:tcPr>
            <w:tcW w:w="2506" w:type="pct"/>
          </w:tcPr>
          <w:p w14:paraId="0773381F"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 xml:space="preserve">The dual PI3Kδ/CK1ε inhibitor </w:t>
            </w:r>
            <w:proofErr w:type="spellStart"/>
            <w:r w:rsidRPr="00902913">
              <w:rPr>
                <w:rFonts w:asciiTheme="minorHAnsi" w:hAnsiTheme="minorHAnsi" w:cstheme="minorHAnsi"/>
              </w:rPr>
              <w:t>umbralisib</w:t>
            </w:r>
            <w:proofErr w:type="spellEnd"/>
            <w:r w:rsidRPr="00902913">
              <w:rPr>
                <w:rFonts w:asciiTheme="minorHAnsi" w:hAnsiTheme="minorHAnsi" w:cstheme="minorHAnsi"/>
              </w:rPr>
              <w:t xml:space="preserve"> exhibits unique immunomodulatory effects on CLL T cells</w:t>
            </w:r>
          </w:p>
        </w:tc>
        <w:tc>
          <w:tcPr>
            <w:tcW w:w="552" w:type="pct"/>
          </w:tcPr>
          <w:p w14:paraId="6A3CBEAC"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6-8 weeks</w:t>
            </w:r>
          </w:p>
        </w:tc>
        <w:tc>
          <w:tcPr>
            <w:tcW w:w="552" w:type="pct"/>
          </w:tcPr>
          <w:p w14:paraId="376BBC47"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Female</w:t>
            </w:r>
          </w:p>
        </w:tc>
        <w:tc>
          <w:tcPr>
            <w:tcW w:w="823" w:type="pct"/>
          </w:tcPr>
          <w:p w14:paraId="40A99D02" w14:textId="5D56C730" w:rsidR="00101369" w:rsidRPr="00902913" w:rsidRDefault="00101369" w:rsidP="00101369">
            <w:pPr>
              <w:pStyle w:val="MDPI42tablebody"/>
              <w:rPr>
                <w:rFonts w:asciiTheme="minorHAnsi" w:hAnsiTheme="minorHAnsi" w:cstheme="minorHAnsi"/>
                <w:lang w:val="en-AU"/>
              </w:rPr>
            </w:pPr>
            <w:r w:rsidRPr="00902913">
              <w:rPr>
                <w:rFonts w:asciiTheme="minorHAnsi" w:hAnsiTheme="minorHAnsi" w:cstheme="minorHAnsi"/>
                <w:shd w:val="clear" w:color="auto" w:fill="FFFFFF"/>
              </w:rPr>
              <w:t>wild-type syngeneic C57BL/6 mice </w:t>
            </w:r>
          </w:p>
        </w:tc>
        <w:tc>
          <w:tcPr>
            <w:tcW w:w="569" w:type="pct"/>
          </w:tcPr>
          <w:p w14:paraId="45F91EA2" w14:textId="51661ACD"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{"citationItems":[{"id":"ITEM-1","itemData":{"DOI":"10.1182/BLOODADVANCES.2020001800","PMID":"32634240","abstract":"The in-clinic phosphatidylinositol 3-kinase (PI3K) inhibitors idelalisib (CAL-101) and duvelisib (IPI-145) have demonstrated high rates of response and progression-free survival in clinical trials of B-cell malignancies, such as chronic lymphocytic leukemia (CLL). However, a high incidence of adverse events has led to frequent discontinuations, limiting the clinical development of these inhibitors. By contrast, the dual PI3Kd/casein kinase-1-e (CK1e) inhibitor umbralisib (TGR-1202) also shows high rates of response in clinical trials but has an improved safety profile with fewer severe adverse events. Toxicities typical of this class of PI3K inhibitors are largely thought to be immune mediated, but they are poorly characterized. Here, we report the effects of idelalisib, duvelisib, and umbralisib on regulatory T cells (Tregs) on normal human T cells, T cells from CLL patients, and T cells in an Em-TCL1 adoptive transfer mouse CLL model. Ex vivo studies revealed differential effects of these PI3K inhibitors; only umbralisib treatment sustained normal and CLL-associated FoxP31 human Tregs. Further, although all 3 inhibitors exhibit antitumor efficacy in the Em-TCL1 CLL model, idelalisib-or duvelisib-treated mice displayed increased immunemediated toxicities, impaired function, and reduced numbers of Tregs, whereas Treg number and function were preserved in umbralisib-treated CLL-bearing mice. Finally, our studies demonstrate that inhibition of CK1e can improve CLL Treg number and function. Interestingly, CK1e inhibition mitigated impairment of CLL Tregs by PI3K inhibitors in combination treatment. These results suggest that the improved safety profile of umbralisib is due to its role as a dual PI3Kd/CK1e inhibitor that preserves Treg number and function.","author":[{"dropping-particle":"","family":"Maharaj","given":"Kamira","non-dropping-particle":"","parse-names":false,"suffix":""},{"dropping-particle":"","family":"Powers","given":"John J.","non-dropping-particle":"","parse-names":false,"suffix":""},{"dropping-particle":"","family":"Achille","given":"Alex","non-dropping-particle":"","parse-names":false,"suffix":""},{"dropping-particle":"","family":"Mediavilla-Varela","given":"Melanie","non-dropping-particle":"","parse-names":false,"suffix":""},{"dropping-particle":"","family":"Gamal","given":"Wael","non-dropping-particle":"","parse-names":false,"suffix":""},{"dropping-particle":"","family":"Burger","given":"Karen L.","non-dropping-particle":"","parse-names":false,"suffix":""},{"dropping-particle":"","family":"Fonseca","given":"Renee","non-dropping-particle":"","parse-names":false,"suffix":""},{"dropping-particle":"","family":"Jiang","given":"Kun","non-dropping-particle":"","parse-names":false,"suffix":""},{"dropping-particle":"","family":"Miskin","given":"Hari P.","non-dropping-particle":"","parse-names":false,"suffix":""},{"dropping-particle":"","family":"Maryanski","given":"Dave","non-dropping-particle":"","parse-names":false,"suffix":""},{"dropping-particle":"","family":"Monastyrskyi","given":"Andrii","non-dropping-particle":"","parse-names":false,"suffix":""},{"dropping-particle":"","family":"Duckett","given":"Derek R.","non-dropping-particle":"","parse-names":false,"suffix":""},{"dropping-particle":"","family":"Roush","given":"William R.","non-dropping-particle":"","parse-names":false,"suffix":""},{"dropping-particle":"","family":"Cleveland","given":"John L.","non-dropping-particle":"","parse-names":false,"suffix":""},{"dropping-particle":"","family":"Sahakian","given":"Eva","non-dropping-particle":"","parse-names":false,"suffix":""},{"dropping-particle":"","family":"Pinilla-Ibarz","given":"Javier","non-dropping-particle":"","parse-names":false,"suffix":""}],"container-title":"Blood Advances","id":"ITEM-1","issue":"13","issued":{"date-parts":[["2020","7","14"]]},"page":"3072","publisher":"The American Society of Hematology","title":"The dual PI3Kδ/CK1ε inhibitor umbralisib exhibits unique immunomodulatory effects on CLL T cells","type":"article-journal","volume":"4"},"uris":["http://www.mendeley.com/documents/?uuid=94fc0902-60c0-3bdf-9742-ad72115381e6"]}],"mendeley":{"formattedCitation":"[12]","plainTextFormattedCitation":"[12]","previouslyFormattedCitation":"[42]"},"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[12]</w:t>
            </w:r>
            <w:r w:rsidRPr="00902913">
              <w:rPr>
                <w:rFonts w:asciiTheme="minorHAnsi" w:hAnsiTheme="minorHAnsi" w:cstheme="minorHAnsi"/>
              </w:rPr>
              <w:fldChar w:fldCharType="end"/>
            </w:r>
          </w:p>
        </w:tc>
      </w:tr>
      <w:tr w:rsidR="00101369" w:rsidRPr="00902913" w14:paraId="0FE3CD5C" w14:textId="77777777" w:rsidTr="00101369">
        <w:trPr>
          <w:trHeight w:val="307"/>
        </w:trPr>
        <w:tc>
          <w:tcPr>
            <w:tcW w:w="2506" w:type="pct"/>
          </w:tcPr>
          <w:p w14:paraId="369E776F"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FcγRII (CD32) modulates antibody clearance in NOD SCID mice leading to impaired antibody-mediated tumor cell deletion</w:t>
            </w:r>
          </w:p>
        </w:tc>
        <w:tc>
          <w:tcPr>
            <w:tcW w:w="552" w:type="pct"/>
          </w:tcPr>
          <w:p w14:paraId="7858A39B"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Age not reported</w:t>
            </w:r>
          </w:p>
        </w:tc>
        <w:tc>
          <w:tcPr>
            <w:tcW w:w="552" w:type="pct"/>
          </w:tcPr>
          <w:p w14:paraId="7B896525"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Sex not reported</w:t>
            </w:r>
          </w:p>
        </w:tc>
        <w:tc>
          <w:tcPr>
            <w:tcW w:w="823" w:type="pct"/>
          </w:tcPr>
          <w:p w14:paraId="60FA35C0"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SCID or NOD SCID mice</w:t>
            </w:r>
          </w:p>
        </w:tc>
        <w:tc>
          <w:tcPr>
            <w:tcW w:w="569" w:type="pct"/>
          </w:tcPr>
          <w:p w14:paraId="79ECE395" w14:textId="220E75E0"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{"citationItems":[{"id":"ITEM-1","itemData":{"DOI":"10.1136/JITC-2020-000619","PMID":"32554613","abstract":"Background Immune compromised mice are increasingly used for the preclinical development of monoclonal antibodies (mAb). Most common are non-obese diabetic (NOD) severe combined immunodeficient (SCID) and their derivatives such as NOD SCID interleukin-2 γ-/-(NSG), which are attractive hosts for patient-derived xenografts. Despite their widespread use, the relative biological performance of mAb in these strains has not been extensively studied. Methods Clinically relevant mAb of various isotypes were administered to tumor and non-tumor-bearing SCID and NOD SCID mice and the mAb clearance monitored by ELISA. Expression analysis of surface proteins in both strains was carried out by flow cytometry and immunofluorescence microscopy. Further analysis was performed in vitro by surface plasmon resonance to assess mAb affinity for Fcγreceptors (FcγR) at pH 6 and pH 7.4. NOD SCID mice genetically deficient in different FcγR were used to delineate their involvement. Results Here, we show that strains on the NOD SCID background have significantly faster antibody clearance than other strains leading to reduced antitumor efficacy of clinically relevant mAb. This rapid clearance is dependent on antibody isotype, the presence of Fc glycosylation (at N297) and expression of FcγRII. Comparable effects were not seen in the parental NOD or SCID strains, demonstrating the presence of a compound defect requiring both genotypes. The absence of endogenous IgG was the key parameter transferred from the SCID as reconstituting NOD SCID or NSG mice with exogenous IgG overcame the rapid clearance and recovered antitumor efficacy. In contrast, the NOD strain was associated with reduced expression of the neonatal Fc Receptor (FcRn). We propose a novel mechanism for the rapid clearance of certain mAb isotypes in NOD SCID mouse strains, based on their interaction with FcγRII in the context of reduced FcRn. Conclusions This study highlights the importance of understanding the limitation of the mouse strain being used for preclinical evaluation, and demonstrates that NOD SCID strains of mice should be reconstituted with IgG prior to studies of mAb efficacy.","author":[{"dropping-particle":"","family":"Oldham","given":"Robert J","non-dropping-particle":"","parse-names":false,"suffix":""},{"dropping-particle":"","family":"Mockridge","given":"C Ian","non-dropping-particle":"","parse-names":false,"suffix":""},{"dropping-particle":"","family":"James","given":"Sonya","non-dropping-particle":"","parse-names":false,"suffix":""},{"dropping-particle":"","family":"Duriez","given":"Patrick J","non-dropping-particle":"","parse-names":false,"suffix":""},{"dropping-particle":"","family":"Chan","given":"H T Claude","non-dropping-particle":"","parse-names":false,"suffix":""},{"dropping-particle":"","family":"Cox","given":"Kerry L","non-dropping-particle":"","parse-names":false,"suffix":""},{"dropping-particle":"","family":"Pitic","given":"Vicentiu A","non-dropping-particle":"","parse-names":false,"suffix":""},{"dropping-particle":"","family":"Glennie","given":"Martin J","non-dropping-particle":"","parse-names":false,"suffix":""},{"dropping-particle":"","family":"Cragg","given":"Mark S","non-dropping-particle":"","parse-names":false,"suffix":""}],"container-title":"Journal for Immunotherapy of Cancer","id":"ITEM-1","issue":"1","issued":{"date-parts":[["2020","6","17"]]},"publisher":"BMJ Publishing Group","title":"Original research: FcγRII (CD32) modulates antibody clearance in NOD SCID mice leading to impaired antibody-mediated tumor cell deletion","type":"article-journal","volume":"8"},"uris":["http://www.mendeley.com/documents/?uuid=a9ba06cb-3542-3556-b4e2-7d9a85d13c44"]}],"mendeley":{"formattedCitation":"[13]","plainTextFormattedCitation":"[13]","previouslyFormattedCitation":"[43]"},"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[13]</w:t>
            </w:r>
            <w:r w:rsidRPr="00902913">
              <w:rPr>
                <w:rFonts w:asciiTheme="minorHAnsi" w:hAnsiTheme="minorHAnsi" w:cstheme="minorHAnsi"/>
              </w:rPr>
              <w:fldChar w:fldCharType="end"/>
            </w:r>
          </w:p>
        </w:tc>
      </w:tr>
      <w:tr w:rsidR="00101369" w:rsidRPr="00902913" w14:paraId="1EFC23D1" w14:textId="77777777" w:rsidTr="00101369">
        <w:trPr>
          <w:trHeight w:val="307"/>
        </w:trPr>
        <w:tc>
          <w:tcPr>
            <w:tcW w:w="2506" w:type="pct"/>
          </w:tcPr>
          <w:p w14:paraId="3149EA36"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lastRenderedPageBreak/>
              <w:t>Combining ibrutinib and checkpoint blockade improves CD8+ T-cell function and control of chronic lymphocytic leukemia in E-TCL1 mice</w:t>
            </w:r>
          </w:p>
        </w:tc>
        <w:tc>
          <w:tcPr>
            <w:tcW w:w="552" w:type="pct"/>
          </w:tcPr>
          <w:p w14:paraId="7BAADE66"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2-3 months</w:t>
            </w:r>
          </w:p>
        </w:tc>
        <w:tc>
          <w:tcPr>
            <w:tcW w:w="552" w:type="pct"/>
          </w:tcPr>
          <w:p w14:paraId="6522E584"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Female</w:t>
            </w:r>
          </w:p>
        </w:tc>
        <w:tc>
          <w:tcPr>
            <w:tcW w:w="823" w:type="pct"/>
          </w:tcPr>
          <w:p w14:paraId="06CBD98A" w14:textId="77777777" w:rsidR="00101369" w:rsidRPr="00902913" w:rsidRDefault="00101369" w:rsidP="005D37E6">
            <w:pPr>
              <w:pStyle w:val="MDPI42tablebody"/>
              <w:rPr>
                <w:rFonts w:asciiTheme="minorHAnsi" w:hAnsiTheme="minorHAnsi" w:cstheme="minorHAnsi"/>
                <w:lang w:val="en-AU"/>
              </w:rPr>
            </w:pPr>
            <w:r w:rsidRPr="00902913">
              <w:rPr>
                <w:rFonts w:asciiTheme="minorHAnsi" w:hAnsiTheme="minorHAnsi" w:cstheme="minorHAnsi"/>
                <w:shd w:val="clear" w:color="auto" w:fill="FFFFFF"/>
              </w:rPr>
              <w:t>C57BL/6N WT females</w:t>
            </w:r>
          </w:p>
          <w:p w14:paraId="55653BC7" w14:textId="77777777" w:rsidR="00101369" w:rsidRPr="00902913" w:rsidRDefault="00101369" w:rsidP="005D37E6">
            <w:pPr>
              <w:pStyle w:val="MDPI42tablebody"/>
              <w:rPr>
                <w:rFonts w:asciiTheme="minorHAnsi" w:hAnsiTheme="minorHAnsi" w:cstheme="minorHAnsi"/>
                <w:shd w:val="clear" w:color="auto" w:fill="FFFFFF"/>
              </w:rPr>
            </w:pPr>
          </w:p>
        </w:tc>
        <w:tc>
          <w:tcPr>
            <w:tcW w:w="569" w:type="pct"/>
          </w:tcPr>
          <w:p w14:paraId="27B3276C" w14:textId="017F3D59"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{"citationItems":[{"id":"ITEM-1","itemData":{"DOI":"10.3324/HAEMATOL.2019.238154","PMID":"32139435","abstract":"Ibrutinib is a Bruton's tyrosine kinase (BTK) inhibitor approved for the treatment of multiple B-cell malignancies, including chronic lymphocytic leukemia (CLL). In addition to blocking B-cell receptor signaling and chemokine receptor-mediated pathways in CLL cells, that are known drivers of disease, ibrutinib also affects the microenvironment in CLL via targeting BTK in myeloid cells and IL-2-inducible T-cell kinase (ITK) in T cells. These non-BTK effects were suggested to contribute to the success of ibrutinib in CLL. By using the Eµ-TCL1 adoptive transfer mouse model of CLL, we observed that ibrutinib effectively controls leukemia development, but also results in significantly lower numbers of CD8+ effector T cells, with lower expression of activation markers, as well as impaired proliferation and effector function. Using CD8+ T cells from a T-cell receptor (TCR) reporter mouse, we verified that this is due to a direct effect of ibrutinib on TCR activity, and demonstrate that co-stimulation via CD28 overcomes these effects. Most interestingly, combination of ibrutinib with blocking antibodies targeting PD-1/PD-L1 axis in vivo improved CD8+ T-cell effector function and control of CLL. In summary, these data emphasize the strong immunomodulatory effects of ibrutinib and the therapeutic potential of its combination with immune checkpoint blockade in CLL.","author":[{"dropping-particle":"","family":"Hanna","given":"Bola S.","non-dropping-particle":"","parse-names":false,"suffix":""},{"dropping-particle":"","family":"Yazdanparast","given":"Haniyeh","non-dropping-particle":"","parse-names":false,"suffix":""},{"dropping-particle":"","family":"Demerdash","given":"Yasmin","non-dropping-particle":"","parse-names":false,"suffix":""},{"dropping-particle":"","family":"Roessner","given":"Philipp M.","non-dropping-particle":"","parse-names":false,"suffix":""},{"dropping-particle":"","family":"Schulz","given":"Ralph","non-dropping-particle":"","parse-names":false,"suffix":""},{"dropping-particle":"","family":"Lichter","given":"Peter","non-dropping-particle":"","parse-names":false,"suffix":""},{"dropping-particle":"","family":"Stilgenbauer","given":"Stephan","non-dropping-particle":"","parse-names":false,"suffix":""},{"dropping-particle":"","family":"Seiffert","given":"Martina","non-dropping-particle":"","parse-names":false,"suffix":""}],"container-title":"Haematologica","id":"ITEM-1","issue":"4","issued":{"date-parts":[["2021","4","1"]]},"page":"968","publisher":"Ferrata Storti Foundation","title":"Combining ibrutinib and checkpoint blockade improves CD8+ T-cell function and control of chronic lymphocytic leukemia in E-TCL1 mice","type":"article-journal","volume":"106"},"uris":["http://www.mendeley.com/documents/?uuid=686dc2ba-ac21-3547-b8ba-617396ce7d47"]}],"mendeley":{"formattedCitation":"[14]","plainTextFormattedCitation":"[14]","previouslyFormattedCitation":"[44]"},"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[14]</w:t>
            </w:r>
            <w:r w:rsidRPr="00902913">
              <w:rPr>
                <w:rFonts w:asciiTheme="minorHAnsi" w:hAnsiTheme="minorHAnsi" w:cstheme="minorHAnsi"/>
              </w:rPr>
              <w:fldChar w:fldCharType="end"/>
            </w:r>
          </w:p>
        </w:tc>
      </w:tr>
      <w:tr w:rsidR="00101369" w:rsidRPr="00902913" w14:paraId="7A116C52" w14:textId="77777777" w:rsidTr="00101369">
        <w:trPr>
          <w:trHeight w:val="307"/>
        </w:trPr>
        <w:tc>
          <w:tcPr>
            <w:tcW w:w="2506" w:type="pct"/>
          </w:tcPr>
          <w:p w14:paraId="49F6CAA3"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TCL1 transgenic mice as a model for CD49d-high chronic lymphocytic leukemia</w:t>
            </w:r>
          </w:p>
        </w:tc>
        <w:tc>
          <w:tcPr>
            <w:tcW w:w="552" w:type="pct"/>
          </w:tcPr>
          <w:p w14:paraId="1BC8B485"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Age not reported</w:t>
            </w:r>
          </w:p>
        </w:tc>
        <w:tc>
          <w:tcPr>
            <w:tcW w:w="552" w:type="pct"/>
          </w:tcPr>
          <w:p w14:paraId="7DC21BF8"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Sex not reported</w:t>
            </w:r>
          </w:p>
        </w:tc>
        <w:tc>
          <w:tcPr>
            <w:tcW w:w="823" w:type="pct"/>
          </w:tcPr>
          <w:p w14:paraId="1AB7E824"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Wild-type C57BL/6J mice</w:t>
            </w:r>
          </w:p>
        </w:tc>
        <w:tc>
          <w:tcPr>
            <w:tcW w:w="569" w:type="pct"/>
          </w:tcPr>
          <w:p w14:paraId="1C51680D" w14:textId="1F36166C"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10.1038/S41375-020-0759-3","PMID":"32086446","author":[{"dropping-particle":"","family":"Szenes","given":"Eva","non-dropping-particle":"","parse-names":false,"suffix":""},{"dropping-particle":"","family":"Härzschel","given":"Andrea","non-dropping-particle":"","parse-names":false,"suffix":""},{"dropping-particle":"","family":"Decker","given":"Sarah","non-dropping-particle":"","parse-names":false,"suffix":""},{"dropping-particle":"","family":"Tissino","given":"Erika","non-dropping-particle":"","parse-names":false,"suffix":""},{"dropping-particle":"","family":"Pischeli","given":"Justine","non-dropping-particle":"","parse-names":false,"suffix":""},{"dropping-particle":"","family":"Gutjahr","given":"Julia Christine","non-dropping-particle":"","parse-names":false,"suffix":""},{"dropping-particle":"","family":"Kissel","given":"Sandra","non-dropping-particle":"","parse-names":false,"suffix":""},{"dropping-particle":"","family":"Pennisi","given":"Sandra","non-dropping-particle":"","parse-names":false,"suffix":""},{"dropping-particle":"","family":"Höpner","given":"Jan Philip","non-dropping-particle":"","parse-names":false,"suffix":""},{"dropping-particle":"","family":"Egle","given":"Alexander","non-dropping-particle":"","parse-names":false,"suffix":""},{"dropping-particle":"","family":"Zaborsky","given":"Nadja","non-dropping-particle":"","parse-names":false,"suffix":""},{"dropping-particle":"","family":"Dierks","given":"Christine","non-dropping-particle":"","parse-names":false,"suffix":""},{"dropping-particle":"","family":"Follo","given":"Marie","non-dropping-particle":"","parse-names":false,"suffix":""},{"dropping-particle":"","family":"Chigaev","given":"Alexandre","non-dropping-particle":"","parse-names":false,"suffix":""},{"dropping-particle":"","family":"Zucchetto","given":"Antonella","non-dropping-particle":"","parse-names":false,"suffix":""},{"dropping-particle":"","family":"Greil","given":"Richard","non-dropping-particle":"","parse-names":false,"suffix":""},{"dropping-particle":"","family":"Gattei","given":"Valter","non-dropping-particle":"","parse-names":false,"suffix":""},{"dropping-particle":"","family":"Hartmann","given":"Tanja Nicole","non-dropping-particle":"","parse-names":false,"suffix":""}],"container-title":"Leukemia","id":"ITEM-1","issue":"9","issued":{"date-parts":[["2020","9","1"]]},"page":"2498","publisher":"Nature Publishing Group","title":"TCL1 transgenic mice as a model for CD49d-high chronic lymphocytic leukemia","type":"article-journal","volume":"34"},"uris":["http://www.mendeley.com/documents/?uuid=29d29253-5b7d-3fa0-9573-79063a4143ec"]}],"mendeley":{"formattedCitation":"[15]","plainTextFormattedCitation":"[15]","previouslyFormattedCitation":"[45]"},"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[15]</w:t>
            </w:r>
            <w:r w:rsidRPr="00902913">
              <w:rPr>
                <w:rFonts w:asciiTheme="minorHAnsi" w:hAnsiTheme="minorHAnsi" w:cstheme="minorHAnsi"/>
              </w:rPr>
              <w:fldChar w:fldCharType="end"/>
            </w:r>
          </w:p>
        </w:tc>
      </w:tr>
      <w:tr w:rsidR="00101369" w:rsidRPr="00902913" w14:paraId="76BE547D" w14:textId="77777777" w:rsidTr="00101369">
        <w:trPr>
          <w:trHeight w:val="307"/>
        </w:trPr>
        <w:tc>
          <w:tcPr>
            <w:tcW w:w="2506" w:type="pct"/>
          </w:tcPr>
          <w:p w14:paraId="09758F70"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 xml:space="preserve">TBET-expressing Th1 CD4+ T cells accumulate in chronic lymphocytic </w:t>
            </w:r>
            <w:proofErr w:type="spellStart"/>
            <w:r w:rsidRPr="00902913">
              <w:rPr>
                <w:rFonts w:asciiTheme="minorHAnsi" w:hAnsiTheme="minorHAnsi" w:cstheme="minorHAnsi"/>
              </w:rPr>
              <w:t>leukaemia</w:t>
            </w:r>
            <w:proofErr w:type="spellEnd"/>
            <w:r w:rsidRPr="00902913">
              <w:rPr>
                <w:rFonts w:asciiTheme="minorHAnsi" w:hAnsiTheme="minorHAnsi" w:cstheme="minorHAnsi"/>
              </w:rPr>
              <w:t xml:space="preserve"> without affecting disease progression in Eµ-TCL1 mice</w:t>
            </w:r>
          </w:p>
        </w:tc>
        <w:tc>
          <w:tcPr>
            <w:tcW w:w="552" w:type="pct"/>
          </w:tcPr>
          <w:p w14:paraId="7E0C62B9"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And not reported</w:t>
            </w:r>
          </w:p>
        </w:tc>
        <w:tc>
          <w:tcPr>
            <w:tcW w:w="552" w:type="pct"/>
          </w:tcPr>
          <w:p w14:paraId="3C344566"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shd w:val="clear" w:color="auto" w:fill="FFFFFF"/>
              </w:rPr>
              <w:t>Sex not reported</w:t>
            </w:r>
          </w:p>
        </w:tc>
        <w:tc>
          <w:tcPr>
            <w:tcW w:w="823" w:type="pct"/>
          </w:tcPr>
          <w:p w14:paraId="776635C2" w14:textId="652458BF" w:rsidR="00101369" w:rsidRPr="00902913" w:rsidRDefault="00101369" w:rsidP="00101369">
            <w:pPr>
              <w:pStyle w:val="MDPI42tablebody"/>
              <w:rPr>
                <w:rFonts w:asciiTheme="minorHAnsi" w:hAnsiTheme="minorHAnsi" w:cstheme="minorHAnsi"/>
                <w:lang w:val="en-AU"/>
              </w:rPr>
            </w:pPr>
            <w:r w:rsidRPr="00902913">
              <w:rPr>
                <w:rFonts w:asciiTheme="minorHAnsi" w:hAnsiTheme="minorHAnsi" w:cstheme="minorHAnsi"/>
              </w:rPr>
              <w:t>C57BL/ 6 N or J wild-type (WT) animals.</w:t>
            </w:r>
          </w:p>
        </w:tc>
        <w:tc>
          <w:tcPr>
            <w:tcW w:w="569" w:type="pct"/>
          </w:tcPr>
          <w:p w14:paraId="27294EBC" w14:textId="5EFCE652"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{"citationItems":[{"id":"ITEM-1","itemData":{"DOI":"10.1111/bjh.16316","ISSN":"0007-1048","abstract":"Chronic lymphocytic leukaemia (CLL) is associated with alterations in T cell number, subset distribution and function. Among these changes, an increase in CD4+ T cells was reported. CD4+ T cells are a heterogeneous population and distinct subsets have been described to exert pro- and anti-tumour functions. In CLL, controversial reports describing the dominance of IFNγ-expressing Th1 T cells or of IL-4-producing Th2 T cells exist. Our study shows that blood of CLL patients is enriched in Th1 T cells producing high amounts of IFNγ. Moreover, we observed that their frequency remains relatively stable in CLL patients over a time course of five years. Furthermore, we provide evidence for an accumulation of Th1 T cells in the Eµ-TCL1 mouse model of CLL. As TBET (encoded by Tbx21) is a crucial transcription factor for Th1 polarization, we generated Tbx21−/− bone marrow chimaeric mice which showed a lower number of IFNγ-producing Th1 T cells, and used them for adoptive transfer of Eµ-TCL1 leukaemia. Disease development in these mice was, however, comparable to that in wild-type controls, excluding a major role for TBET-expressing Th1 cells in Eµ-TCL1 leukaemia. Collectively, our data highlight that Th1 T cells accumulate in CLL but reducing their number has no impact on disease development.","author":[{"dropping-particle":"","family":"Roessner","given":"Philipp M.","non-dropping-particle":"","parse-names":false,"suffix":""},{"dropping-particle":"","family":"Hanna","given":"Bola S.","non-dropping-particle":"","parse-names":false,"suffix":""},{"dropping-particle":"","family":"Öztürk","given":"Selcen","non-dropping-particle":"","parse-names":false,"suffix":""},{"dropping-particle":"","family":"Schulz","given":"Ralph","non-dropping-particle":"","parse-names":false,"suffix":""},{"dropping-particle":"","family":"Llaó Cid","given":"Laura","non-dropping-particle":"","parse-names":false,"suffix":""},{"dropping-particle":"","family":"Yazdanparast","given":"Haniyeh","non-dropping-particle":"","parse-names":false,"suffix":""},{"dropping-particle":"","family":"Scheffold","given":"Annika","non-dropping-particle":"","parse-names":false,"suffix":""},{"dropping-particle":"","family":"Colomer","given":"Dolors","non-dropping-particle":"","parse-names":false,"suffix":""},{"dropping-particle":"","family":"Stilgenbauer","given":"Stephan","non-dropping-particle":"","parse-names":false,"suffix":""},{"dropping-particle":"","family":"Lichter","given":"Peter","non-dropping-particle":"","parse-names":false,"suffix":""},{"dropping-particle":"","family":"Seiffert","given":"Martina","non-dropping-particle":"","parse-names":false,"suffix":""}],"container-title":"British Journal of Haematology","id":"ITEM-1","issue":"1","issued":{"date-parts":[["2020","4","14"]]},"page":"133-145","publisher":"Blackwell Publishing Ltd","title":"TBET‐expressing Th1 CD4 + T cells accumulate in chronic lymphocytic leukaemia without affecting disease progression in Eµ‐TCL1 mice","type":"article-journal","volume":"189"},"uris":["http://www.mendeley.com/documents/?uuid=92653ed5-5142-324d-8761-e74fc30db007"]}],"mendeley":{"formattedCitation":"[16]","plainTextFormattedCitation":"[16]","previouslyFormattedCitation":"[46]"},"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[16]</w:t>
            </w:r>
            <w:r w:rsidRPr="00902913">
              <w:rPr>
                <w:rFonts w:asciiTheme="minorHAnsi" w:hAnsiTheme="minorHAnsi" w:cstheme="minorHAnsi"/>
              </w:rPr>
              <w:fldChar w:fldCharType="end"/>
            </w:r>
          </w:p>
        </w:tc>
      </w:tr>
      <w:tr w:rsidR="00101369" w:rsidRPr="00902913" w14:paraId="20DE7A7E" w14:textId="77777777" w:rsidTr="00101369">
        <w:trPr>
          <w:trHeight w:val="307"/>
        </w:trPr>
        <w:tc>
          <w:tcPr>
            <w:tcW w:w="2506" w:type="pct"/>
          </w:tcPr>
          <w:p w14:paraId="7EBC4993"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B-cell–specific IRF4 deletion accelerates chronic lymphocytic leukemia development by enhanced tumor immune evasion</w:t>
            </w:r>
          </w:p>
        </w:tc>
        <w:tc>
          <w:tcPr>
            <w:tcW w:w="552" w:type="pct"/>
          </w:tcPr>
          <w:p w14:paraId="185F8A82"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Age not reported</w:t>
            </w:r>
          </w:p>
        </w:tc>
        <w:tc>
          <w:tcPr>
            <w:tcW w:w="552" w:type="pct"/>
          </w:tcPr>
          <w:p w14:paraId="24516BAE"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Sex not reported</w:t>
            </w:r>
          </w:p>
        </w:tc>
        <w:tc>
          <w:tcPr>
            <w:tcW w:w="823" w:type="pct"/>
          </w:tcPr>
          <w:p w14:paraId="2F92B6D8" w14:textId="3E6D8F33" w:rsidR="00101369" w:rsidRPr="00902913" w:rsidRDefault="00101369" w:rsidP="00101369">
            <w:pPr>
              <w:pStyle w:val="MDPI42tablebody"/>
              <w:rPr>
                <w:rFonts w:asciiTheme="minorHAnsi" w:hAnsiTheme="minorHAnsi" w:cstheme="minorHAnsi"/>
                <w:lang w:val="en-AU"/>
              </w:rPr>
            </w:pPr>
            <w:r w:rsidRPr="00902913">
              <w:rPr>
                <w:rFonts w:asciiTheme="minorHAnsi" w:hAnsiTheme="minorHAnsi" w:cstheme="minorHAnsi"/>
                <w:shd w:val="clear" w:color="auto" w:fill="FFFFFF"/>
              </w:rPr>
              <w:t>C57/BL6 or NOD-SCID recipients</w:t>
            </w:r>
          </w:p>
        </w:tc>
        <w:tc>
          <w:tcPr>
            <w:tcW w:w="569" w:type="pct"/>
          </w:tcPr>
          <w:p w14:paraId="2A7D381D" w14:textId="31B86DCD"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{"citationItems":[{"id":"ITEM-1","itemData":{"DOI":"10.1182/BLOOD.2019000973","PMID":"31537531","abstract":"Chronic lymphocytic leukemia (CLL) is a heterogenous disease that is highly dependent on a cross talk of CLL cells with the microenvironment, in particular with T cells. T cells derived from CLL patients or murine CLL models are skewed to an antigen-experienced T-cell subset, indicating a certain degree of antitumor recognition, but they are also exhausted, preventing an effective antitumor immune response. Here we describe a novel mechanism of CLL tumor immune evasion that is independent of T-cell exhaustion, using B-cell-specific deletion of the transcription factor IRF4 (interferon regulatory factor 4) in Tcl-1 transgenic mice developing a murine CLL highly similar to the human disease. We show enhanced CLL disease progression in IRF4-deficient Tcl-1 tg mice, associated with a severe downregulation of genes involved in T-cell activation, including genes involved in antigen processing/presentation and T-cell costimulation, which massively reduced T-cell subset skewing and exhaustion. We found a strong analogy in the human disease, with inferior prognosis of CLL patients with low IRF4 expression in independent CLL patient cohorts, failed T-cell skewing to antigen-experienced subsets, decreased costimulation capacity, and downregulation of genes involved in T-cell activation. These results have therapeutic relevance because our findings on molecular mechanisms of immune privilege may be responsible for the failure of immune-therapeutic strategies in CLL and may lead to improved targeting in the future.","author":[{"dropping-particle":"","family":"Asslaber","given":"Daniela","non-dropping-particle":"","parse-names":false,"suffix":""},{"dropping-particle":"","family":"Qi","given":"Yuan","non-dropping-particle":"","parse-names":false,"suffix":""},{"dropping-particle":"","family":"Maeding","given":"Nicole","non-dropping-particle":"","parse-names":false,"suffix":""},{"dropping-particle":"","family":"Steiner","given":"Markus","non-dropping-particle":"","parse-names":false,"suffix":""},{"dropping-particle":"","family":"Denk","given":"Ursula","non-dropping-particle":"","parse-names":false,"suffix":""},{"dropping-particle":"","family":"Höpner","given":"Jan Philip","non-dropping-particle":"","parse-names":false,"suffix":""},{"dropping-particle":"","family":"Hartmann","given":"Tanja Nicole","non-dropping-particle":"","parse-names":false,"suffix":""},{"dropping-particle":"","family":"Zaborsky","given":"Nadja","non-dropping-particle":"","parse-names":false,"suffix":""},{"dropping-particle":"","family":"Greil","given":"Richard","non-dropping-particle":"","parse-names":false,"suffix":""},{"dropping-particle":"","family":"Egle","given":"Alexander","non-dropping-particle":"","parse-names":false,"suffix":""}],"container-title":"Blood","id":"ITEM-1","issue":"20","issued":{"date-parts":[["2019","11","14"]]},"page":"1717","publisher":"The American Society of Hematology","title":"B-cell–specific IRF4 deletion accelerates chronic lymphocytic leukemia development by enhanced tumor immune evasion","type":"article-journal","volume":"134"},"uris":["http://www.mendeley.com/documents/?uuid=838d81e5-902b-365c-a6fc-dee3f03b3f2c"]}],"mendeley":{"formattedCitation":"[17]","plainTextFormattedCitation":"[17]","previouslyFormattedCitation":"[47]"},"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[17]</w:t>
            </w:r>
            <w:r w:rsidRPr="00902913">
              <w:rPr>
                <w:rFonts w:asciiTheme="minorHAnsi" w:hAnsiTheme="minorHAnsi" w:cstheme="minorHAnsi"/>
              </w:rPr>
              <w:fldChar w:fldCharType="end"/>
            </w:r>
          </w:p>
        </w:tc>
      </w:tr>
      <w:tr w:rsidR="00101369" w:rsidRPr="00902913" w14:paraId="28AD6B07" w14:textId="77777777" w:rsidTr="00101369">
        <w:trPr>
          <w:trHeight w:val="307"/>
        </w:trPr>
        <w:tc>
          <w:tcPr>
            <w:tcW w:w="2506" w:type="pct"/>
          </w:tcPr>
          <w:p w14:paraId="120DF1F8"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CD8+ T-cells of CLL-bearing mice acquire a transcriptional program of T-cell activation and exhaustion</w:t>
            </w:r>
          </w:p>
        </w:tc>
        <w:tc>
          <w:tcPr>
            <w:tcW w:w="552" w:type="pct"/>
          </w:tcPr>
          <w:p w14:paraId="3C08616E"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2-3 months</w:t>
            </w:r>
          </w:p>
        </w:tc>
        <w:tc>
          <w:tcPr>
            <w:tcW w:w="552" w:type="pct"/>
          </w:tcPr>
          <w:p w14:paraId="288E847E"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shd w:val="clear" w:color="auto" w:fill="FFFFFF"/>
              </w:rPr>
              <w:t>Sex not reported</w:t>
            </w:r>
          </w:p>
        </w:tc>
        <w:tc>
          <w:tcPr>
            <w:tcW w:w="823" w:type="pct"/>
          </w:tcPr>
          <w:p w14:paraId="7E7D8CD8" w14:textId="77777777" w:rsidR="00101369" w:rsidRPr="00902913" w:rsidRDefault="00101369" w:rsidP="005D37E6">
            <w:pPr>
              <w:pStyle w:val="MDPI42tablebody"/>
              <w:rPr>
                <w:rFonts w:asciiTheme="minorHAnsi" w:hAnsiTheme="minorHAnsi" w:cstheme="minorHAnsi"/>
                <w:lang w:val="en-AU"/>
              </w:rPr>
            </w:pPr>
            <w:r w:rsidRPr="00902913">
              <w:rPr>
                <w:rFonts w:asciiTheme="minorHAnsi" w:hAnsiTheme="minorHAnsi" w:cstheme="minorHAnsi"/>
              </w:rPr>
              <w:t>WT mice of the same C57BL/6 N/J background</w:t>
            </w:r>
          </w:p>
        </w:tc>
        <w:tc>
          <w:tcPr>
            <w:tcW w:w="569" w:type="pct"/>
          </w:tcPr>
          <w:p w14:paraId="319127B7" w14:textId="51DC14F8"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{"citationItems":[{"id":"ITEM-1","itemData":{"DOI":"10.1080/10428194.2019.1660972","ISSN":"10292403","abstract":"Chronic lymphocytic leukemia (CLL) is associated with an accumulation of oligoclonal CD8+ effector T-cells, which control leukemia progression in mice, but gradually acquire a dysfunctional phenotype along with disease progression. Exhaustion of CD8+ T-cells is characterized by increased expression of inhibitory receptors like PD-1, decreased proliferation, and reduced effector function such as cytokine production, which reduces anti-tumor control. Despite the accumulation of exhausted PD-1+ CD8+ T-cells in secondary lymphoid organs of CLL patients, immune checkpoint blockade as a means to reinvigorate anti-tumor T-cell activity has not shown the expected efficacy. This highlights the need for a better understanding of T-cell exhaustion in CLL. Here, we uncover the transcriptional program of T-cell exhaustion in CLL by comparing naïve with dysfunctional effector CD8+ T-cells with high PD-1 expression from mice after adoptive transfer of Eµ-TCL1 leukemic cells. Our data provide clear evidence for activation-induced dysfunction of CD8+ T-cells in the CLL microenvironment and assess the heterogeneity in the expression of functionally relevant proteins in specific clusters of CD8+ T-cells at a single-cell level.","author":[{"dropping-particle":"","family":"Llaó Cid","given":"Laura","non-dropping-particle":"","parse-names":false,"suffix":""},{"dropping-particle":"","family":"Hanna","given":"Bola S.","non-dropping-particle":"","parse-names":false,"suffix":""},{"dropping-particle":"","family":"Iskar","given":"Murat","non-dropping-particle":"","parse-names":false,"suffix":""},{"dropping-particle":"","family":"Roessner","given":"Philipp M.","non-dropping-particle":"","parse-names":false,"suffix":""},{"dropping-particle":"","family":"Öztürk","given":"Selcen","non-dropping-particle":"","parse-names":false,"suffix":""},{"dropping-particle":"","family":"Lichter","given":"Peter","non-dropping-particle":"","parse-names":false,"suffix":""},{"dropping-particle":"","family":"Zapatka","given":"Marc","non-dropping-particle":"","parse-names":false,"suffix":""},{"dropping-particle":"","family":"Seiffert","given":"Martina","non-dropping-particle":"","parse-names":false,"suffix":""}],"container-title":"Leukemia and Lymphoma","id":"ITEM-1","issue":"2","issued":{"date-parts":[["2020","1","28"]]},"page":"351-356","publisher":"Taylor and Francis Ltd","title":"CD8+ T-cells of CLL-bearing mice acquire a transcriptional program of T-cell activation and exhaustion","type":"article-journal","volume":"61"},"uris":["http://www.mendeley.com/documents/?uuid=639da3c1-f9c1-3985-bd7c-5ac39e7d8097"]}],"mendeley":{"formattedCitation":"[18]","plainTextFormattedCitation":"[18]","previouslyFormattedCitation":"[48]"},"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[18]</w:t>
            </w:r>
            <w:r w:rsidRPr="00902913">
              <w:rPr>
                <w:rFonts w:asciiTheme="minorHAnsi" w:hAnsiTheme="minorHAnsi" w:cstheme="minorHAnsi"/>
              </w:rPr>
              <w:fldChar w:fldCharType="end"/>
            </w:r>
          </w:p>
        </w:tc>
      </w:tr>
      <w:tr w:rsidR="00101369" w:rsidRPr="00902913" w14:paraId="65A0AC6D" w14:textId="77777777" w:rsidTr="00101369">
        <w:trPr>
          <w:trHeight w:val="307"/>
        </w:trPr>
        <w:tc>
          <w:tcPr>
            <w:tcW w:w="2506" w:type="pct"/>
          </w:tcPr>
          <w:p w14:paraId="1FEFB354"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SLAMF6 as a Regulator of Exhausted CD8+ T Cells in Cancer</w:t>
            </w:r>
          </w:p>
        </w:tc>
        <w:tc>
          <w:tcPr>
            <w:tcW w:w="552" w:type="pct"/>
          </w:tcPr>
          <w:p w14:paraId="49BF5171"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8-12 weeks</w:t>
            </w:r>
          </w:p>
        </w:tc>
        <w:tc>
          <w:tcPr>
            <w:tcW w:w="552" w:type="pct"/>
          </w:tcPr>
          <w:p w14:paraId="4BA4312B"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Sex not reported</w:t>
            </w:r>
          </w:p>
        </w:tc>
        <w:tc>
          <w:tcPr>
            <w:tcW w:w="823" w:type="pct"/>
          </w:tcPr>
          <w:p w14:paraId="74FF25A5" w14:textId="77777777" w:rsidR="00101369" w:rsidRPr="00902913" w:rsidRDefault="00101369" w:rsidP="005D37E6">
            <w:pPr>
              <w:pStyle w:val="MDPI42tablebody"/>
              <w:rPr>
                <w:rFonts w:asciiTheme="minorHAnsi" w:hAnsiTheme="minorHAnsi" w:cstheme="minorHAnsi"/>
                <w:lang w:val="en-AU"/>
              </w:rPr>
            </w:pPr>
            <w:r w:rsidRPr="00902913">
              <w:rPr>
                <w:rFonts w:asciiTheme="minorHAnsi" w:hAnsiTheme="minorHAnsi" w:cstheme="minorHAnsi"/>
                <w:shd w:val="clear" w:color="auto" w:fill="FFFFFF"/>
              </w:rPr>
              <w:t>B6 WT or SLAMF6</w:t>
            </w:r>
            <w:r w:rsidRPr="00902913">
              <w:rPr>
                <w:rFonts w:asciiTheme="minorHAnsi" w:hAnsiTheme="minorHAnsi" w:cstheme="minorHAnsi"/>
                <w:bdr w:val="none" w:sz="0" w:space="0" w:color="auto" w:frame="1"/>
                <w:shd w:val="clear" w:color="auto" w:fill="FFFFFF"/>
                <w:vertAlign w:val="superscript"/>
              </w:rPr>
              <w:t>−/−</w:t>
            </w:r>
          </w:p>
        </w:tc>
        <w:tc>
          <w:tcPr>
            <w:tcW w:w="569" w:type="pct"/>
          </w:tcPr>
          <w:p w14:paraId="7B5421C6" w14:textId="34C924F3"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{"citationItems":[{"id":"ITEM-1","itemData":{"DOI":"10.1158/2326-6066.CIR-18-0664","ISSN":"2326-6066","PMID":"31315913","abstract":"The tumor microenvironment in leukemia and solid tumors induces a shift of activated CD8+ cytotoxic T cells to an exhausted state, characterized by loss of proliferative capacity and impaired immunologic synapse formation. Efficient strategies and targets need to be identified to overcome T-cell exhaustion and further improve overall responses in the clinic. Here, we took advantage of the Eμ-TCL1 chronic lymphocytic leukemia (CLL) and B16 melanoma mouse models to assess the role of the homophilic cell-surface receptor SLAMF6 as an immune-checkpoint regulator. The transfer of SLAMF6+ Eμ-TCL1 cells into SLAMF6−/− recipients, in contrast to wild-type (WT) recipients, significantly induced expansion of a PD-1+ subpopulation among CD3+CD44+CD8+ T cells, which had impaired cytotoxic functions. Conversely, administering anti-SLAMF6 significantly reduced the leukemic burden in Eμ-TCL1 recipient WT mice concomitantly with a loss of PD-1+CD3+CD44+CD8+ T cells with significantly increased effector functions. Anti-SLAMF6 significantly reduced leukemic burden in the peritoneal cavity, a niche where antibody-dependent cellular cytotoxicity (ADCC) is impaired, possibly through activation of CD8+ T cells. Targeting of SLAMF6 affected tumor growth not only in B cell–related leukemia and lymphomas but also in nonhematopoietic tumors such as B16 melanoma, where SLAMF6 is not expressed. In vitro exhausted CD8+ T cells showed increased degranulation when anti-human SLAMF6 was added in culture. Taken together, anti-SLAMF6 both effectively corrected CD8+ T-cell dysfunction and had a direct effect on tumor progression. The outcomes of our studies suggest that targeting SLAMF6 is a potential therapeutic strategy.","author":[{"dropping-particle":"","family":"Yigit","given":"Burcu","non-dropping-particle":"","parse-names":false,"suffix":""},{"dropping-particle":"","family":"Wang","given":"Ninghai","non-dropping-particle":"","parse-names":false,"suffix":""},{"dropping-particle":"ten","family":"Hacken","given":"Elisa","non-dropping-particle":"","parse-names":false,"suffix":""},{"dropping-particle":"","family":"Chen","given":"Shih-Shih","non-dropping-particle":"","parse-names":false,"suffix":""},{"dropping-particle":"","family":"Bhan","given":"Atul K.","non-dropping-particle":"","parse-names":false,"suffix":""},{"dropping-particle":"","family":"Suarez-Fueyo","given":"Abel","non-dropping-particle":"","parse-names":false,"suffix":""},{"dropping-particle":"","family":"Katsuyama","given":"Eri","non-dropping-particle":"","parse-names":false,"suffix":""},{"dropping-particle":"","family":"Tsokos","given":"George C.","non-dropping-particle":"","parse-names":false,"suffix":""},{"dropping-particle":"","family":"Chiorazzi","given":"Nicholas","non-dropping-particle":"","parse-names":false,"suffix":""},{"dropping-particle":"","family":"Wu","given":"Catherine J.","non-dropping-particle":"","parse-names":false,"suffix":""},{"dropping-particle":"","family":"Burger","given":"Jan A.","non-dropping-particle":"","parse-names":false,"suffix":""},{"dropping-particle":"","family":"Herzog","given":"Roland W.","non-dropping-particle":"","parse-names":false,"suffix":""},{"dropping-particle":"","family":"Engel","given":"Pablo","non-dropping-particle":"","parse-names":false,"suffix":""},{"dropping-particle":"","family":"Terhorst","given":"Cox","non-dropping-particle":"","parse-names":false,"suffix":""}],"container-title":"Cancer Immunology Research","id":"ITEM-1","issue":"9","issued":{"date-parts":[["2019","9","1"]]},"page":"1485-1496","publisher":"American Association for Cancer Research","title":"SLAMF6 as a Regulator of Exhausted CD8+ T Cells in Cancer","type":"article-journal","volume":"7"},"uris":["http://www.mendeley.com/documents/?uuid=ec79824e-0c27-3f9f-9467-e9fb0c43cd75"]}],"mendeley":{"formattedCitation":"[19]","plainTextFormattedCitation":"[19]","previouslyFormattedCitation":"[49]"},"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[19]</w:t>
            </w:r>
            <w:r w:rsidRPr="00902913">
              <w:rPr>
                <w:rFonts w:asciiTheme="minorHAnsi" w:hAnsiTheme="minorHAnsi" w:cstheme="minorHAnsi"/>
              </w:rPr>
              <w:fldChar w:fldCharType="end"/>
            </w:r>
          </w:p>
        </w:tc>
      </w:tr>
      <w:tr w:rsidR="00101369" w:rsidRPr="00902913" w14:paraId="08907646" w14:textId="77777777" w:rsidTr="00101369">
        <w:trPr>
          <w:trHeight w:val="307"/>
        </w:trPr>
        <w:tc>
          <w:tcPr>
            <w:tcW w:w="2506" w:type="pct"/>
          </w:tcPr>
          <w:p w14:paraId="6003C968"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Eμ-TCL1xMyc: a novel mouse model for concurrent CLL and B-cell lymphoma</w:t>
            </w:r>
          </w:p>
        </w:tc>
        <w:tc>
          <w:tcPr>
            <w:tcW w:w="552" w:type="pct"/>
          </w:tcPr>
          <w:p w14:paraId="0C5285A2"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~2 months</w:t>
            </w:r>
          </w:p>
        </w:tc>
        <w:tc>
          <w:tcPr>
            <w:tcW w:w="552" w:type="pct"/>
          </w:tcPr>
          <w:p w14:paraId="54DD4C13"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Sex not reported</w:t>
            </w:r>
          </w:p>
        </w:tc>
        <w:tc>
          <w:tcPr>
            <w:tcW w:w="823" w:type="pct"/>
          </w:tcPr>
          <w:p w14:paraId="48BC65E5" w14:textId="77777777" w:rsidR="00101369" w:rsidRPr="00902913" w:rsidRDefault="00101369" w:rsidP="005D37E6">
            <w:pPr>
              <w:pStyle w:val="MDPI42tablebody"/>
              <w:rPr>
                <w:rFonts w:asciiTheme="minorHAnsi" w:hAnsiTheme="minorHAnsi" w:cstheme="minorHAnsi"/>
                <w:lang w:val="en-AU"/>
              </w:rPr>
            </w:pPr>
            <w:r w:rsidRPr="00902913">
              <w:rPr>
                <w:rFonts w:asciiTheme="minorHAnsi" w:hAnsiTheme="minorHAnsi" w:cstheme="minorHAnsi"/>
                <w:shd w:val="clear" w:color="auto" w:fill="FFFFFF"/>
              </w:rPr>
              <w:t xml:space="preserve">B6 WT recipient mice </w:t>
            </w:r>
          </w:p>
        </w:tc>
        <w:tc>
          <w:tcPr>
            <w:tcW w:w="569" w:type="pct"/>
          </w:tcPr>
          <w:p w14:paraId="7E9DD8BB" w14:textId="1775D1AD"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{"citationItems":[{"id":"ITEM-1","itemData":{"DOI":"10.1158/1078-0432.ccr-19-0273","ISSN":"1078-0432","PMID":"31296529","abstract":"PURPOSE Aberrant Myc expression is a major factor in the pathogenesis of aggressive lymphoma, and these lymphomas, while clinically heterogeneous, often are resistant to currently available treatments and have poor survival. Myc expression can also be seen in aggressive lymphomas that are observed in the context of CLL, and we sought to develop a mouse model that could be used to study therapeutic strategies for aggressive lymphoma in the context of CLL. EXPERIMENTAL DESIGN We crossed the Eµ-TCL1 mouse model with the Eµ-Myc mouse model to investigate the clinical phenotype associated with B-cell restricted expression of these oncogenes. The resulting malignancy was then extensively characterized, both from a clinical and biologic perspective. RESULTS Eµ-TCL1xMyc mice uniformly developed highly aggressive lymphoid disease with histologically, immunophenotypically, and molecularly distinct concurrent CLL and B-cell lymphoma, leading to a significantly reduced lifespan. Injection of cells from diseased Eμ-TCL1xMyc into WT mice established a disease similar to that in the double-transgenic mice. Both Eμ-TCL1xMyc mice and mice with disease after adoptive transfer failed to respond to ibrutinib. Effective and durable disease control was however observed by selective inhibition of nuclear export protein exportin-1 (XPO1) using a compound currently in clinical development for relapsed/refractory malignancies, including CLL and lymphoma. CONCLUSIONS The Eµ-TCL1xMyc mouse is a new preclinical tool for testing experimental drug for aggressive B-cell lymphoma including in the context of CLL.","author":[{"dropping-particle":"","family":"Lucas","given":"Fabienne","non-dropping-particle":"","parse-names":false,"suffix":""},{"dropping-particle":"","family":"Rogers","given":"Kerry A","non-dropping-particle":"","parse-names":false,"suffix":""},{"dropping-particle":"","family":"Harrington","given":"Bonnie K","non-dropping-particle":"","parse-names":false,"suffix":""},{"dropping-particle":"","family":"Pan","given":"Alexander","non-dropping-particle":"","parse-names":false,"suffix":""},{"dropping-particle":"","family":"Yu","given":"Lianbo","non-dropping-particle":"","parse-names":false,"suffix":""},{"dropping-particle":"","family":"Breitbach","given":"Justin","non-dropping-particle":"","parse-names":false,"suffix":""},{"dropping-particle":"","family":"Bundschuh","given":"Ralf","non-dropping-particle":"","parse-names":false,"suffix":""},{"dropping-particle":"","family":"Goettl","given":"Virginia M.","non-dropping-particle":"","parse-names":false,"suffix":""},{"dropping-particle":"","family":"Hing","given":"Zachary A.","non-dropping-particle":"","parse-names":false,"suffix":""},{"dropping-particle":"","family":"Kanga","given":"Parviz","non-dropping-particle":"","parse-names":false,"suffix":""},{"dropping-particle":"","family":"Mantel","given":"Rose","non-dropping-particle":"","parse-names":false,"suffix":""},{"dropping-particle":"","family":"Sampath","given":"Deepa","non-dropping-particle":"","parse-names":false,"suffix":""},{"dropping-particle":"","family":"Smith","given":"Lisa L.","non-dropping-particle":"","parse-names":false,"suffix":""},{"dropping-particle":"","family":"Wasmuth","given":"Ronni","non-dropping-particle":"","parse-names":false,"suffix":""},{"dropping-particle":"","family":"White","given":"Danielle K","non-dropping-particle":"","parse-names":false,"suffix":""},{"dropping-particle":"","family":"Yan","given":"Pearlly","non-dropping-particle":"","parse-names":false,"suffix":""},{"dropping-particle":"","family":"Byrd","given":"John C.","non-dropping-particle":"","parse-names":false,"suffix":""},{"dropping-particle":"","family":"Lapalombella","given":"Rosa","non-dropping-particle":"","parse-names":false,"suffix":""},{"dropping-particle":"","family":"Woyach","given":"Jennifer A.","non-dropping-particle":"","parse-names":false,"suffix":""}],"container-title":"Clinical Cancer Research","id":"ITEM-1","issue":"20","issued":{"date-parts":[["2019","7","11"]]},"page":"clincanres.0273.2019","publisher":"American Association for Cancer Research","title":"Eµ-TCL1xMyc: a novel mouse model for concurrent CLL and B-cell lymphoma","type":"article-journal"},"uris":["http://www.mendeley.com/documents/?uuid=a29aea1e-4b06-4a96-bb00-5835f7486bbe"]}],"mendeley":{"formattedCitation":"[20]","plainTextFormattedCitation":"[20]","previouslyFormattedCitation":"[50]"},"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[20]</w:t>
            </w:r>
            <w:r w:rsidRPr="00902913">
              <w:rPr>
                <w:rFonts w:asciiTheme="minorHAnsi" w:hAnsiTheme="minorHAnsi" w:cstheme="minorHAnsi"/>
              </w:rPr>
              <w:fldChar w:fldCharType="end"/>
            </w:r>
          </w:p>
        </w:tc>
      </w:tr>
      <w:tr w:rsidR="00101369" w:rsidRPr="00902913" w14:paraId="69E48AC2" w14:textId="77777777" w:rsidTr="00101369">
        <w:trPr>
          <w:trHeight w:val="307"/>
        </w:trPr>
        <w:tc>
          <w:tcPr>
            <w:tcW w:w="2506" w:type="pct"/>
          </w:tcPr>
          <w:p w14:paraId="2916041E"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HIF-1α is over-expressed in leukemic cells from TP53-disrupted patients and is a promising therapeutic target in chronic lymphocytic leukemia</w:t>
            </w:r>
          </w:p>
        </w:tc>
        <w:tc>
          <w:tcPr>
            <w:tcW w:w="552" w:type="pct"/>
          </w:tcPr>
          <w:p w14:paraId="4CA8BE93"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Age not reported</w:t>
            </w:r>
          </w:p>
        </w:tc>
        <w:tc>
          <w:tcPr>
            <w:tcW w:w="552" w:type="pct"/>
          </w:tcPr>
          <w:p w14:paraId="00A3F8C7"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Sex not reported</w:t>
            </w:r>
          </w:p>
        </w:tc>
        <w:tc>
          <w:tcPr>
            <w:tcW w:w="823" w:type="pct"/>
          </w:tcPr>
          <w:p w14:paraId="2D8BA8EF" w14:textId="77777777" w:rsidR="00101369" w:rsidRPr="00902913" w:rsidRDefault="00101369" w:rsidP="005D37E6">
            <w:pPr>
              <w:pStyle w:val="MDPI42tablebody"/>
              <w:rPr>
                <w:rFonts w:asciiTheme="minorHAnsi" w:hAnsiTheme="minorHAnsi" w:cstheme="minorHAnsi"/>
                <w:lang w:val="en-AU"/>
              </w:rPr>
            </w:pPr>
            <w:r w:rsidRPr="00902913">
              <w:rPr>
                <w:rFonts w:asciiTheme="minorHAnsi" w:hAnsiTheme="minorHAnsi" w:cstheme="minorHAnsi"/>
                <w:shd w:val="clear" w:color="auto" w:fill="FFFFFF"/>
              </w:rPr>
              <w:t>syngeneic C57BL/6 mice</w:t>
            </w:r>
          </w:p>
        </w:tc>
        <w:tc>
          <w:tcPr>
            <w:tcW w:w="569" w:type="pct"/>
          </w:tcPr>
          <w:p w14:paraId="61DCACF8" w14:textId="30DE3D8E"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{"citationItems":[{"id":"ITEM-1","itemData":{"DOI":"10.3324/HAEMATOL.2019.217430","PMID":"31289209","abstract":"In chronic lymphocytic leukemia (CLL), the hypoxia-inducible factor 1 (HIF-1) regulates the response of tumor cells to hypoxia and their protective interactions with the leukemic microenvironment. In this study, we demonstrate that CLL cells from TP53-disrupted (TP53dis) patients have constitutively higher expression levels of the α-subunit of HIF-1 (HIF-1α) and increased HIF-1 transcriptional activity compared to the wild-type counterpart. In the TP53dis subset, HIF-1α upregulation is due to reduced expression of the HIF-1α ubiquitin ligase von Hippel-Lindau protein (pVHL). Hypoxia and stromal cells further enhance HIF-1α accumulation, independently of TP53 status. Hypoxia acts through the downmodulation of pVHL and the activation of the PI3K/AKT and RAS/ERK1-2 pathways, whereas stromal cells induce an increased activity of the RAS/ERK1-2, RHOA/RHOA kinase and PI3K/AKT pathways, without affecting pVHL expression. Interestingly, we observed that higher levels of HIF-1A mRNA correlate with a lower susceptibility of leukemic cells to spontaneous apoptosis, and associate with the fludarabine resistance that mainly characterizes TP53dis tumor cells. The HIF-1α inhibitor BAY87-2243 exerts cytotoxic effects toward leukemic cells, regardless of the TP53 status, and has anti-tumor activity in Em-TCL1 mice. BAY87-2243 also overcomes the constitutive fludarabine resistance of TP53dis leukemic cells and elicits a strongly synergistic cytotoxic effect in combination with ibrutinib, thus providing preclinical evidence to stimulate further investigation into use as a potential new drug in CLL.","author":[{"dropping-particle":"","family":"Griggio","given":"Valentina","non-dropping-particle":"","parse-names":false,"suffix":""},{"dropping-particle":"","family":"Vitale","given":"Candida","non-dropping-particle":"","parse-names":false,"suffix":""},{"dropping-particle":"","family":"Todaro","given":"Maria","non-dropping-particle":"","parse-names":false,"suffix":""},{"dropping-particle":"","family":"Riganti","given":"Chiara","non-dropping-particle":"","parse-names":false,"suffix":""},{"dropping-particle":"","family":"Kopecka","given":"Joanna","non-dropping-particle":"","parse-names":false,"suffix":""},{"dropping-particle":"","family":"Salvetti","given":"Chiara","non-dropping-particle":"","parse-names":false,"suffix":""},{"dropping-particle":"","family":"Bomben","given":"Riccardo","non-dropping-particle":"","parse-names":false,"suffix":""},{"dropping-particle":"","family":"Bo","given":"Michele Dal","non-dropping-particle":"","parse-names":false,"suffix":""},{"dropping-particle":"","family":"Magliulo","given":"Daniela","non-dropping-particle":"","parse-names":false,"suffix":""},{"dropping-particle":"","family":"Rossi","given":"Davide","non-dropping-particle":"","parse-names":false,"suffix":""},{"dropping-particle":"","family":"Pozzato","given":"Gabriele","non-dropping-particle":"","parse-names":false,"suffix":""},{"dropping-particle":"","family":"Bonello","given":"Lisa","non-dropping-particle":"","parse-names":false,"suffix":""},{"dropping-particle":"","family":"Marchetti","given":"Monia","non-dropping-particle":"","parse-names":false,"suffix":""},{"dropping-particle":"","family":"Omedè","given":"Paola","non-dropping-particle":"","parse-names":false,"suffix":""},{"dropping-particle":"","family":"Kodipad","given":"Ahad Ahmed","non-dropping-particle":"","parse-names":false,"suffix":""},{"dropping-particle":"","family":"Laurenti","given":"Luca","non-dropping-particle":"","parse-names":false,"suffix":""},{"dropping-particle":"Del","family":"Poeta","given":"Giovanni","non-dropping-particle":"","parse-names":false,"suffix":""},{"dropping-particle":"","family":"Mauro","given":"Francesca Romana","non-dropping-particle":"","parse-names":false,"suffix":""},{"dropping-particle":"","family":"Bernardi","given":"Rosa","non-dropping-particle":"","parse-names":false,"suffix":""},{"dropping-particle":"","family":"Zenz","given":"Thorsten","non-dropping-particle":"","parse-names":false,"suffix":""},{"dropping-particle":"","family":"Gattei","given":"Valter","non-dropping-particle":"","parse-names":false,"suffix":""},{"dropping-particle":"","family":"Gaidano","given":"Gianluca","non-dropping-particle":"","parse-names":false,"suffix":""},{"dropping-particle":"","family":"Foà","given":"Robin","non-dropping-particle":"","parse-names":false,"suffix":""},{"dropping-particle":"","family":"Massaia","given":"Massimo","non-dropping-particle":"","parse-names":false,"suffix":""},{"dropping-particle":"","family":"Boccadoro","given":"Mario","non-dropping-particle":"","parse-names":false,"suffix":""},{"dropping-particle":"","family":"Coscia","given":"Marta","non-dropping-particle":"","parse-names":false,"suffix":""}],"container-title":"Haematologica","id":"ITEM-1","issue":"4","issued":{"date-parts":[["2020"]]},"page":"1042","publisher":"Ferrata Storti Foundation","title":"HIF-1α is over-expressed in leukemic cells from TP53-disrupted patients and is a promising therapeutic target in chronic lymphocytic leukemia","type":"article-journal","volume":"105"},"uris":["http://www.mendeley.com/documents/?uuid=f4ca303d-1ace-3256-a208-993e0e4622fe"]}],"mendeley":{"formattedCitation":"[21]","plainTextFormattedCitation":"[21]","previouslyFormattedCitation":"[51]"},"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[21]</w:t>
            </w:r>
            <w:r w:rsidRPr="00902913">
              <w:rPr>
                <w:rFonts w:asciiTheme="minorHAnsi" w:hAnsiTheme="minorHAnsi" w:cstheme="minorHAnsi"/>
              </w:rPr>
              <w:fldChar w:fldCharType="end"/>
            </w:r>
          </w:p>
        </w:tc>
      </w:tr>
      <w:tr w:rsidR="00101369" w:rsidRPr="00902913" w14:paraId="0FA5D37A" w14:textId="77777777" w:rsidTr="00101369">
        <w:trPr>
          <w:trHeight w:val="307"/>
        </w:trPr>
        <w:tc>
          <w:tcPr>
            <w:tcW w:w="2506" w:type="pct"/>
          </w:tcPr>
          <w:p w14:paraId="7FAC22C4"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Dissecting the Prognostic Significance and Functional Role of Progranulin in Chronic Lymphocytic Leukemia</w:t>
            </w:r>
          </w:p>
        </w:tc>
        <w:tc>
          <w:tcPr>
            <w:tcW w:w="552" w:type="pct"/>
          </w:tcPr>
          <w:p w14:paraId="09BEC7CC"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20 weeks</w:t>
            </w:r>
          </w:p>
        </w:tc>
        <w:tc>
          <w:tcPr>
            <w:tcW w:w="552" w:type="pct"/>
          </w:tcPr>
          <w:p w14:paraId="770383B2"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Female</w:t>
            </w:r>
          </w:p>
        </w:tc>
        <w:tc>
          <w:tcPr>
            <w:tcW w:w="823" w:type="pct"/>
          </w:tcPr>
          <w:p w14:paraId="1FFAAB9B" w14:textId="0C1B5C04" w:rsidR="00101369" w:rsidRPr="00902913" w:rsidRDefault="00101369" w:rsidP="00101369">
            <w:pPr>
              <w:pStyle w:val="MDPI42tablebody"/>
              <w:rPr>
                <w:rFonts w:asciiTheme="minorHAnsi" w:hAnsiTheme="minorHAnsi" w:cstheme="minorHAnsi"/>
                <w:i/>
                <w:iCs/>
                <w:shd w:val="clear" w:color="auto" w:fill="FFFFFF"/>
              </w:rPr>
            </w:pPr>
            <w:r w:rsidRPr="00902913">
              <w:rPr>
                <w:rFonts w:asciiTheme="minorHAnsi" w:hAnsiTheme="minorHAnsi" w:cstheme="minorHAnsi"/>
                <w:shd w:val="clear" w:color="auto" w:fill="FFFFFF"/>
              </w:rPr>
              <w:t xml:space="preserve">C57BL/6 wild type and </w:t>
            </w:r>
            <w:proofErr w:type="spellStart"/>
            <w:r w:rsidRPr="00902913">
              <w:rPr>
                <w:rStyle w:val="Emphasis"/>
                <w:rFonts w:asciiTheme="minorHAnsi" w:hAnsiTheme="minorHAnsi" w:cstheme="minorHAnsi"/>
                <w:sz w:val="22"/>
                <w:szCs w:val="22"/>
                <w:shd w:val="clear" w:color="auto" w:fill="FFFFFF"/>
              </w:rPr>
              <w:t>Grn</w:t>
            </w:r>
            <w:proofErr w:type="spellEnd"/>
            <w:r w:rsidRPr="00902913">
              <w:rPr>
                <w:rFonts w:asciiTheme="minorHAnsi" w:hAnsiTheme="minorHAnsi" w:cstheme="minorHAnsi"/>
                <w:shd w:val="clear" w:color="auto" w:fill="FFFFFF"/>
                <w:vertAlign w:val="superscript"/>
              </w:rPr>
              <w:t>−/−</w:t>
            </w:r>
            <w:r w:rsidRPr="00902913">
              <w:rPr>
                <w:rFonts w:asciiTheme="minorHAnsi" w:hAnsiTheme="minorHAnsi" w:cstheme="minorHAnsi"/>
                <w:shd w:val="clear" w:color="auto" w:fill="FFFFFF"/>
              </w:rPr>
              <w:t> bone marrow chimeras and wild type chimeric controls 10 weeks after both were generated</w:t>
            </w:r>
          </w:p>
        </w:tc>
        <w:tc>
          <w:tcPr>
            <w:tcW w:w="569" w:type="pct"/>
          </w:tcPr>
          <w:p w14:paraId="6E961B65" w14:textId="33118A21"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{"citationItems":[{"id":"ITEM-1","itemData":{"DOI":"10.3390/CANCERS11060822","PMID":"31200555","abstract":"Chronic lymphocytic leukemia (CLL) is known for its strong dependency on the tumor microenvironment. We found progranulin (GRN), a protein that has been linked to inflammation and cancer, to be upregulated in the serum of CLL patients compared to healthy controls, and increased GRN levels to be associated with an increased hazard for disease progression and death. This raised the question of whether GRN is a functional driver of CLL. We observed that recombinant GRN did not directly affect viability, activation, or proliferation of primary CLL cells in vitro. However, GRN secretion was induced in co-cultures of CLL cells with stromal cells that enhanced CLL cell survival. Gene expression profiling and protein analyses revealed that primary mesenchymal stromal cells (MSCs) in co-culture with CLL cells acquire a cancer-associated fibroblast-like phenotype. Despite its upregulation in the co-cultures, GRN treatment of MSCs did not mimic this effect. To test the relevance of GRN for CLL in vivo, we made use of the Eµ-TCL1 CLL mouse model. As we detected strong GRN expression in myeloid cells, we performed adoptive transfer of Eµ-TCL1 leukemia cells to bone marrow chimeric Grn−/− mice that lack GRN in hematopoietic cells. Thereby, we observed that CLL-like disease developed comparable in Grn−/− chimeras and respective control mice. In conclusion, serum GRN is found to be strongly upregulated in CLL, which indicates potential use as a prognostic marker, but there is no evidence that elevated GRN functionally drives the disease.","author":[{"dropping-particle":"","family":"Schulze-Edinghausen","given":"Lena","non-dropping-particle":"","parse-names":false,"suffix":""},{"dropping-particle":"","family":"Dürr","given":"Claudia","non-dropping-particle":"","parse-names":false,"suffix":""},{"dropping-particle":"","family":"Öztürk","given":"Selcen","non-dropping-particle":"","parse-names":false,"suffix":""},{"dropping-particle":"","family":"Zucknick","given":"Manuela","non-dropping-particle":"","parse-names":false,"suffix":""},{"dropping-particle":"","family":"Benner","given":"Axel","non-dropping-particle":"","parse-names":false,"suffix":""},{"dropping-particle":"","family":"Kalter","given":"Verena","non-dropping-particle":"","parse-names":false,"suffix":""},{"dropping-particle":"","family":"Ohl","given":"Sibylle","non-dropping-particle":"","parse-names":false,"suffix":""},{"dropping-particle":"","family":"Close","given":"Viola","non-dropping-particle":"","parse-names":false,"suffix":""},{"dropping-particle":"","family":"Wuchter","given":"Patrick","non-dropping-particle":"","parse-names":false,"suffix":""},{"dropping-particle":"","family":"Stilgenbauer","given":"Stephan","non-dropping-particle":"","parse-names":false,"suffix":""},{"dropping-particle":"","family":"Lichter","given":"Peter","non-dropping-particle":"","parse-names":false,"suffix":""},{"dropping-particle":"","family":"Seiffert","given":"Martina","non-dropping-particle":"","parse-names":false,"suffix":""}],"container-title":"Cancers","id":"ITEM-1","issue":"6","issued":{"date-parts":[["2019","6","1"]]},"publisher":"Multidisciplinary Digital Publishing Institute  (MDPI)","title":"Dissecting the Prognostic Significance and Functional Role of Progranulin in Chronic Lymphocytic Leukemia","type":"article-journal","volume":"11"},"uris":["http://www.mendeley.com/documents/?uuid=3f6ec7c9-9f57-332b-9544-81823da789e8"]}],"mendeley":{"formattedCitation":"[22]","plainTextFormattedCitation":"[22]","previouslyFormattedCitation":"[28]"},"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[22]</w:t>
            </w:r>
            <w:r w:rsidRPr="00902913">
              <w:rPr>
                <w:rFonts w:asciiTheme="minorHAnsi" w:hAnsiTheme="minorHAnsi" w:cstheme="minorHAnsi"/>
              </w:rPr>
              <w:fldChar w:fldCharType="end"/>
            </w:r>
          </w:p>
        </w:tc>
      </w:tr>
      <w:tr w:rsidR="00101369" w:rsidRPr="00902913" w14:paraId="45083BCE" w14:textId="77777777" w:rsidTr="00101369">
        <w:trPr>
          <w:trHeight w:val="307"/>
        </w:trPr>
        <w:tc>
          <w:tcPr>
            <w:tcW w:w="2506" w:type="pct"/>
          </w:tcPr>
          <w:p w14:paraId="67AEA471"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Targeting IRAK4 disrupts inflammatory pathways and delays tumor development in chronic lymphocytic leukemia</w:t>
            </w:r>
          </w:p>
        </w:tc>
        <w:tc>
          <w:tcPr>
            <w:tcW w:w="552" w:type="pct"/>
          </w:tcPr>
          <w:p w14:paraId="31E77AF0"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8 weeks</w:t>
            </w:r>
          </w:p>
        </w:tc>
        <w:tc>
          <w:tcPr>
            <w:tcW w:w="552" w:type="pct"/>
          </w:tcPr>
          <w:p w14:paraId="186414A5"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Female</w:t>
            </w:r>
          </w:p>
        </w:tc>
        <w:tc>
          <w:tcPr>
            <w:tcW w:w="823" w:type="pct"/>
          </w:tcPr>
          <w:p w14:paraId="5278AE0B" w14:textId="77777777" w:rsidR="00101369" w:rsidRPr="00902913" w:rsidRDefault="00101369" w:rsidP="005D37E6">
            <w:pPr>
              <w:pStyle w:val="MDPI42tablebody"/>
              <w:rPr>
                <w:rFonts w:asciiTheme="minorHAnsi" w:hAnsiTheme="minorHAnsi" w:cstheme="minorHAnsi"/>
                <w:shd w:val="clear" w:color="auto" w:fill="FFFFFF"/>
              </w:rPr>
            </w:pPr>
            <w:r w:rsidRPr="00902913">
              <w:rPr>
                <w:rStyle w:val="apple-converted-space"/>
                <w:rFonts w:asciiTheme="minorHAnsi" w:hAnsiTheme="minorHAnsi" w:cstheme="minorHAnsi"/>
                <w:sz w:val="22"/>
                <w:szCs w:val="22"/>
              </w:rPr>
              <w:t xml:space="preserve">C57BL/6N wild-type mice </w:t>
            </w:r>
          </w:p>
        </w:tc>
        <w:tc>
          <w:tcPr>
            <w:tcW w:w="569" w:type="pct"/>
          </w:tcPr>
          <w:p w14:paraId="7AB9CD5C" w14:textId="2019BF2B"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{"citationItems":[{"id":"ITEM-1","itemData":{"DOI":"10.1038/S41375-019-0507-8","PMID":"31197259","abstract":"Interleukin-1 receptor-associated kinase 4 (IRAK4) plays a critical role in Toll-like receptor (TLR) signal transduction and innate immune responses. Recruitment and subsequent activation of IRAK4 upon TLR stimulation is mediated by the myeloid differentiation primary response 88 (MYD88) adaptor protein. Around 3% of chronic lymphocytic leukemia (CLL) patients have activating mutations of MYD88, a driver mutation in this disease. Here, we studied the effects of TLR activation and the pharmacological inhibition of IRAK4 with ND2158, an IRAK4 competitive inhibitor, as a therapeutic approach in CLL. Our in vitro studies demonstrated that ND2158 preferentially killed CLL cells in a dose-dependent manner. We further observed a decrease in NF-κB and STAT3 signaling, cytokine secretion, proliferation and migration of primary CLL cells from MYD88-mutated and -unmutated cases. In the Eµ-TCL1 adoptive transfer mouse model of CLL, ND2158 delayed tumor progression and modulated the activity of myeloid and T cells. Our findings show the importance of TLR signaling in CLL development and suggest IRAK4 as a therapeutic target for this disease.","author":[{"dropping-particle":"","family":"Giménez","given":"Neus","non-dropping-particle":"","parse-names":false,"suffix":""},{"dropping-particle":"","family":"Schulz","given":"Ralph","non-dropping-particle":"","parse-names":false,"suffix":""},{"dropping-particle":"","family":"Higashi","given":"Morihiro","non-dropping-particle":"","parse-names":false,"suffix":""},{"dropping-particle":"","family":"Aymerich","given":"Marta","non-dropping-particle":"","parse-names":false,"suffix":""},{"dropping-particle":"","family":"Villamor","given":"Neus","non-dropping-particle":"","parse-names":false,"suffix":""},{"dropping-particle":"","family":"Delgado","given":"Julio","non-dropping-particle":"","parse-names":false,"suffix":""},{"dropping-particle":"","family":"Juan","given":"Manel","non-dropping-particle":"","parse-names":false,"suffix":""},{"dropping-particle":"","family":"López-Guerra","given":"Mònica","non-dropping-particle":"","parse-names":false,"suffix":""},{"dropping-particle":"","family":"Campo","given":"Elias","non-dropping-particle":"","parse-names":false,"suffix":""},{"dropping-particle":"","family":"Rosich","given":"Laia","non-dropping-particle":"","parse-names":false,"suffix":""},{"dropping-particle":"","family":"Seiffert","given":"Martina","non-dropping-particle":"","parse-names":false,"suffix":""},{"dropping-particle":"","family":"Colomer","given":"Dolors","non-dropping-particle":"","parse-names":false,"suffix":""}],"container-title":"Leukemia","id":"ITEM-1","issue":"1","issued":{"date-parts":[["2020","1","1"]]},"page":"100","publisher":"Nature Publishing Group","title":"Targeting IRAK4 disrupts inflammatory pathways and delays tumor development in chronic lymphocytic leukemia","type":"article-journal","volume":"34"},"uris":["http://www.mendeley.com/documents/?uuid=58481a60-4b3a-333e-8249-9e5f273b62ee"]}],"mendeley":{"formattedCitation":"[23]","plainTextFormattedCitation":"[23]","previouslyFormattedCitation":"[52]"},"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[23]</w:t>
            </w:r>
            <w:r w:rsidRPr="00902913">
              <w:rPr>
                <w:rFonts w:asciiTheme="minorHAnsi" w:hAnsiTheme="minorHAnsi" w:cstheme="minorHAnsi"/>
              </w:rPr>
              <w:fldChar w:fldCharType="end"/>
            </w:r>
          </w:p>
        </w:tc>
      </w:tr>
      <w:tr w:rsidR="00101369" w:rsidRPr="00902913" w14:paraId="7C833BD0" w14:textId="77777777" w:rsidTr="00101369">
        <w:trPr>
          <w:trHeight w:val="307"/>
        </w:trPr>
        <w:tc>
          <w:tcPr>
            <w:tcW w:w="2506" w:type="pct"/>
          </w:tcPr>
          <w:p w14:paraId="67EB3190"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ROR1-targeted delivery of miR-29b induces cell cycle arrest and therapeutic benefit in vivo in a CLL mouse model</w:t>
            </w:r>
          </w:p>
        </w:tc>
        <w:tc>
          <w:tcPr>
            <w:tcW w:w="552" w:type="pct"/>
          </w:tcPr>
          <w:p w14:paraId="44D95873"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 xml:space="preserve">6-8 weeks </w:t>
            </w:r>
          </w:p>
        </w:tc>
        <w:tc>
          <w:tcPr>
            <w:tcW w:w="552" w:type="pct"/>
          </w:tcPr>
          <w:p w14:paraId="61230646"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Fonts w:asciiTheme="minorHAnsi" w:hAnsiTheme="minorHAnsi" w:cstheme="minorHAnsi"/>
                <w:shd w:val="clear" w:color="auto" w:fill="FFFFFF"/>
              </w:rPr>
              <w:t>Sex not reported</w:t>
            </w:r>
          </w:p>
        </w:tc>
        <w:tc>
          <w:tcPr>
            <w:tcW w:w="823" w:type="pct"/>
          </w:tcPr>
          <w:p w14:paraId="17B484BF"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 xml:space="preserve">C57BL/6 wild type </w:t>
            </w:r>
          </w:p>
        </w:tc>
        <w:tc>
          <w:tcPr>
            <w:tcW w:w="569" w:type="pct"/>
          </w:tcPr>
          <w:p w14:paraId="03555AA6" w14:textId="664979F5"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{"citationItems":[{"id":"ITEM-1","itemData":{"DOI":"10.1182/BLOOD.2018882290","PMID":"31151986","abstract":"Chronic lymphocytic leukemia (CLL) occurs in 2 major forms: aggressive and indolent. Low miR-29b expression in aggressive CLL is associated with poor prognosis. Indiscriminate miR-29b overexpression in the B-lineage of mice causes aberrance, thus warranting the need for selective introduction of miR-29b into B-CLL cells for therapeutic benefit. The oncofetal antigen receptor tyrosine kinase orphan receptor 1 (ROR1) is expressed on malignant B-CLL cells, but not normal B cells, encouraging us with ROR1-targeted delivery for therapeutic miRs. Here, we describe targeted delivery of miR-29b to ROR11 CLL cells leading to downregulation of DNMT1 and DNMT3A, modulation of global DNA methylation, decreased SP1, and increased p21 expression in cell lines and primary CLL cells in vitro. Furthermore, using an Em-TCL1 mouse model expressing human ROR1, we report the therapeutic benefit of enhanced survival via cellular reprograming by downregulation of DNMT1 and DNMT3A in vivo. Gene expression profiling of engrafted murine leukemia identified reprogramming of cell cycle regulators with decreased SP1 and increased p21 expression after targeted miR-29b treatment. This finding was confirmed by protein modulation, leading to cell cycle arrest and survival benefit in vivo. Importantly, SP1 knockdown results in p21-dependent compensation of the miR-29b effect on cell cycle arrest. These studies form a basis for leukemic cell-targeted delivery of miR-29b as a promising therapeutic approach for CLL and other ROR11 B-cell malignancies.","author":[{"dropping-particle":"","family":"Chiang","given":"Chi-Ling","non-dropping-particle":"","parse-names":false,"suffix":""},{"dropping-particle":"","family":"Goswami","given":"Swagata","non-dropping-particle":"","parse-names":false,"suffix":""},{"dropping-particle":"","family":"Frissora","given":"Frank W.","non-dropping-particle":"","parse-names":false,"suffix":""},{"dropping-particle":"","family":"Xie","given":"Zhiliang","non-dropping-particle":"","parse-names":false,"suffix":""},{"dropping-particle":"","family":"Yan","given":"Pearlly S.","non-dropping-particle":"","parse-names":false,"suffix":""},{"dropping-particle":"","family":"Bundschuh","given":"Ralf","non-dropping-particle":"","parse-names":false,"suffix":""},{"dropping-particle":"","family":"Walker","given":"Logan A.","non-dropping-particle":"","parse-names":false,"suffix":""},{"dropping-particle":"","family":"Huang","given":"Xiaomeng","non-dropping-particle":"","parse-names":false,"suffix":""},{"dropping-particle":"","family":"Mani","given":"Rajeswaran","non-dropping-particle":"","parse-names":false,"suffix":""},{"dropping-particle":"","family":"Mo","given":"Xiaokui M.","non-dropping-particle":"","parse-names":false,"suffix":""},{"dropping-particle":"","family":"Baskar","given":"Sivasubramanian","non-dropping-particle":"","parse-names":false,"suffix":""},{"dropping-particle":"","family":"Rader","given":"Christoph","non-dropping-particle":"","parse-names":false,"suffix":""},{"dropping-particle":"","family":"Phelps","given":"Mitch A.","non-dropping-particle":"","parse-names":false,"suffix":""},{"dropping-particle":"","family":"Marcucci","given":"Guido","non-dropping-particle":"","parse-names":false,"suffix":""},{"dropping-particle":"","family":"Byrd","given":"John C.","non-dropping-particle":"","parse-names":false,"suffix":""},{"dropping-particle":"","family":"Lee","given":"L. James","non-dropping-particle":"","parse-names":false,"suffix":""},{"dropping-particle":"","family":"Muthusamy","given":"Natarajan","non-dropping-particle":"","parse-names":false,"suffix":""}],"container-title":"Blood","id":"ITEM-1","issue":"5","issued":{"date-parts":[["2019","8","1"]]},"page":"432","publisher":"The American Society of Hematology","title":"ROR1-targeted delivery of miR-29b induces cell cycle arrest and therapeutic benefit in vivo in a CLL mouse model","type":"article-journal","volume":"134"},"uris":["http://www.mendeley.com/documents/?uuid=2961e360-7114-3dfe-967b-82ddeee0f1e5"]}],"mendeley":{"formattedCitation":"[24]","plainTextFormattedCitation":"[24]","previouslyFormattedCitation":"[53]"},"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[24]</w:t>
            </w:r>
            <w:r w:rsidRPr="00902913">
              <w:rPr>
                <w:rFonts w:asciiTheme="minorHAnsi" w:hAnsiTheme="minorHAnsi" w:cstheme="minorHAnsi"/>
              </w:rPr>
              <w:fldChar w:fldCharType="end"/>
            </w:r>
          </w:p>
        </w:tc>
      </w:tr>
      <w:tr w:rsidR="00101369" w:rsidRPr="00902913" w14:paraId="1F59CA85" w14:textId="77777777" w:rsidTr="00101369">
        <w:trPr>
          <w:trHeight w:val="307"/>
        </w:trPr>
        <w:tc>
          <w:tcPr>
            <w:tcW w:w="2506" w:type="pct"/>
          </w:tcPr>
          <w:p w14:paraId="519A8C88"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 xml:space="preserve">Par-4 overexpression impedes leukemogenesis in the Eµ-TCL1 leukemia model through downregulation of NF-κB </w:t>
            </w:r>
            <w:proofErr w:type="spellStart"/>
            <w:r w:rsidRPr="00902913">
              <w:rPr>
                <w:rFonts w:asciiTheme="minorHAnsi" w:hAnsiTheme="minorHAnsi" w:cstheme="minorHAnsi"/>
              </w:rPr>
              <w:t>signalling</w:t>
            </w:r>
            <w:proofErr w:type="spellEnd"/>
          </w:p>
        </w:tc>
        <w:tc>
          <w:tcPr>
            <w:tcW w:w="552" w:type="pct"/>
          </w:tcPr>
          <w:p w14:paraId="310E1273"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3-4 months</w:t>
            </w:r>
          </w:p>
        </w:tc>
        <w:tc>
          <w:tcPr>
            <w:tcW w:w="552" w:type="pct"/>
          </w:tcPr>
          <w:p w14:paraId="03E6A5D7"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Fonts w:asciiTheme="minorHAnsi" w:hAnsiTheme="minorHAnsi" w:cstheme="minorHAnsi"/>
                <w:shd w:val="clear" w:color="auto" w:fill="FFFFFF"/>
              </w:rPr>
              <w:t>Sex not reported</w:t>
            </w:r>
          </w:p>
        </w:tc>
        <w:tc>
          <w:tcPr>
            <w:tcW w:w="823" w:type="pct"/>
          </w:tcPr>
          <w:p w14:paraId="4274D756"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wild-type C57B/6 litter mates</w:t>
            </w:r>
          </w:p>
        </w:tc>
        <w:tc>
          <w:tcPr>
            <w:tcW w:w="569" w:type="pct"/>
          </w:tcPr>
          <w:p w14:paraId="1775DADB" w14:textId="6DFBBCC0"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{"citationItems":[{"id":"ITEM-1","itemData":{"DOI":"10.1182/BLOODADVANCES.2018025973","PMID":"30987970","abstract":"Prostate apoptosis response 4 (Par-4) is a tumor suppressor that prevents proliferation and induces cell death in several solid tumors. However, its role in B-cell malignancies has not been elucidated. To describe the role of Par-4 in chronic lymphocytic leukemia (CLL) pathogenesis, we developed a B-cell-specific human Par-4-overexpressing mouse model of CLL using the TCL1 leukemia model. While Par-4 transgenic mice did not display any obvious defects in B-cell development or function, disease burden as evidenced by abundance of CD19+CD5+ B cells in the peripheral blood was significantly reduced in Par-4 × TCL1 mice compared with TCL1 littermates. This conferred a survival advantage on the Par-4-overexpressing mice. In addition, a B-cell-specific knockout model displayed the opposite effect, where lack of Par-4 expression resulted in accelerated disease progression and abbreviated survival in the TCL1 model. Histological and flow cytometry-based analysis of spleen and bone marrow upon euthanasia revealed comparable levels of malignant B-cell infiltration in Par-4 × TCL1 and TCL1 individuals, indicating delayed but pathologically normal disease progression in Par-4 × TCL1 mice. In vivo analysis of splenic B-cell proliferation by 5-ethynyl-2-deoxyuridine incorporation indicated &gt;50% decreased expansion of CD19+CD5+ cells in Par-4 × TCL1 mice compared with TCL1 littermates. Moreover, reduced nuclear p65 levels were observed in Par-4 × TCL1 splenic B cells compared with TCL1, suggesting suppressed NF-κB signaling. These findings have identified an in vivo antileukemic role for Par-4 through an NF-κB-dependent mechanism in TCL1-mediated CLL-like disease progression.","author":[{"dropping-particle":"","family":"Greene","given":"J. T.","non-dropping-particle":"","parse-names":false,"suffix":""},{"dropping-particle":"","family":"Mani","given":"Rajeswaran","non-dropping-particle":"","parse-names":false,"suffix":""},{"dropping-particle":"","family":"Ramaswamy","given":"Rahul","non-dropping-particle":"","parse-names":false,"suffix":""},{"dropping-particle":"","family":"Frissora","given":"Frank","non-dropping-particle":"","parse-names":false,"suffix":""},{"dropping-particle":"","family":"Yano","given":"Max","non-dropping-particle":"","parse-names":false,"suffix":""},{"dropping-particle":"","family":"Zapolnik","given":"Kevan","non-dropping-particle":"","parse-names":false,"suffix":""},{"dropping-particle":"","family":"Harrington","given":"Bonnie","non-dropping-particle":"","parse-names":false,"suffix":""},{"dropping-particle":"","family":"Wasmuth","given":"Ronni","non-dropping-particle":"","parse-names":false,"suffix":""},{"dropping-particle":"","family":"Tran","given":"Minh","non-dropping-particle":"","parse-names":false,"suffix":""},{"dropping-particle":"","family":"Mo","given":"Xiaokui","non-dropping-particle":"","parse-names":false,"suffix":""},{"dropping-particle":"","family":"McKenna","given":"Mary","non-dropping-particle":"","parse-names":false,"suffix":""},{"dropping-particle":"","family":"Rangnekar","given":"Vivek M.","non-dropping-particle":"","parse-names":false,"suffix":""},{"dropping-particle":"","family":"Byrd","given":"John C.","non-dropping-particle":"","parse-names":false,"suffix":""},{"dropping-particle":"","family":"Bondada","given":"Subbarao","non-dropping-particle":"","parse-names":false,"suffix":""},{"dropping-particle":"","family":"Muthusamy","given":"Natarajan","non-dropping-particle":"","parse-names":false,"suffix":""}],"container-title":"Blood Advances","id":"ITEM-1","issue":"8","issued":{"date-parts":[["2019"]]},"page":"1255","publisher":"The American Society of Hematology","title":"Par-4 overexpression impedes leukemogenesis in the Eµ-TCL1 leukemia model through downregulation of NF-κB signaling","type":"article-journal","volume":"3"},"uris":["http://www.mendeley.com/documents/?uuid=431682f1-361f-3f19-8952-09d6e01f6d42"]}],"mendeley":{"formattedCitation":"[25]","plainTextFormattedCitation":"[25]","previouslyFormattedCitation":"[54]"},"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[25]</w:t>
            </w:r>
            <w:r w:rsidRPr="00902913">
              <w:rPr>
                <w:rFonts w:asciiTheme="minorHAnsi" w:hAnsiTheme="minorHAnsi" w:cstheme="minorHAnsi"/>
              </w:rPr>
              <w:fldChar w:fldCharType="end"/>
            </w:r>
          </w:p>
        </w:tc>
      </w:tr>
      <w:tr w:rsidR="00101369" w:rsidRPr="00902913" w14:paraId="650D6048" w14:textId="77777777" w:rsidTr="00101369">
        <w:trPr>
          <w:trHeight w:val="307"/>
        </w:trPr>
        <w:tc>
          <w:tcPr>
            <w:tcW w:w="2506" w:type="pct"/>
          </w:tcPr>
          <w:p w14:paraId="52BB0451"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PI3Kδ inhibition modulates regulatory and effector T-cell differentiation and function in chronic lymphocytic leukemia</w:t>
            </w:r>
          </w:p>
        </w:tc>
        <w:tc>
          <w:tcPr>
            <w:tcW w:w="552" w:type="pct"/>
          </w:tcPr>
          <w:p w14:paraId="6BA17383"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2-3 months</w:t>
            </w:r>
          </w:p>
        </w:tc>
        <w:tc>
          <w:tcPr>
            <w:tcW w:w="552" w:type="pct"/>
          </w:tcPr>
          <w:p w14:paraId="2BD94B7F"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Female</w:t>
            </w:r>
          </w:p>
        </w:tc>
        <w:tc>
          <w:tcPr>
            <w:tcW w:w="823" w:type="pct"/>
          </w:tcPr>
          <w:p w14:paraId="4A3217FC"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C57BL/6 WT</w:t>
            </w:r>
          </w:p>
        </w:tc>
        <w:tc>
          <w:tcPr>
            <w:tcW w:w="569" w:type="pct"/>
          </w:tcPr>
          <w:p w14:paraId="7ECEF802" w14:textId="40E7B9F1"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{"citationItems":[{"id":"ITEM-1","itemData":{"DOI":"10.1038/s41375-018-0318-3","ISSN":"14765551","abstract":"Targeting B-cell receptor signaling using the PI3Kδ inhibitor idelalisib is a highly effective treatment option for relapsed/refractory chronic lymphocytic leukemia (CLL) patients. In addition to its direct impact on tumor cells, PI3Kδ inhibition can modulate the activity of regulatory T-cells (Tregs) resulting in enhanced anti-tumoral immune functions which may contribute to the success of PI3Kδ inhibitors in cancer therapy. The role of Tregs in CLL and their modulation by PI3Kδ inhibitors was so far poorly understood. Using the Eµ-TCL1 adoptive transfer model of CLL, we show that disease development induces the accumulation of activated and highly immunosuppressive Tregs. Depletion of CD25+ Tregs using anti-CD25 antibodies resulted in enhanced CD8+ T-cell activation, effector differentiation, and functional capacity. We further show that pharmacological inhibition of PI3Kδ effectively controlled disease and significantly decreased both CD25+ and CD25− Treg numbers, proliferation and activation status in CLL-bearing mice. Nonetheless, this PI3Kδ-mediated decrease in Tregs did not translate into better CD8+ T-cell function, as PI3Kδ inhibition concomitantly abrogated T-cell receptor signaling in CD8+ T-cells leading to decreased activation, effector cell differentiation and proliferation. Collectively, these data highlight the strong immunomodulatory effects of PI3Kδ inhibitors in CLL and are of relevance for a rational design of idelalisib-based combination therapies in CLL.","author":[{"dropping-particle":"","family":"Hanna","given":"Bola S.","non-dropping-particle":"","parse-names":false,"suffix":""},{"dropping-particle":"","family":"Roessner","given":"Philipp M.","non-dropping-particle":"","parse-names":false,"suffix":""},{"dropping-particle":"","family":"Scheffold","given":"Annika","non-dropping-particle":"","parse-names":false,"suffix":""},{"dropping-particle":"","family":"Jebaraj","given":"Billy M.C.","non-dropping-particle":"","parse-names":false,"suffix":""},{"dropping-particle":"","family":"Demerdash","given":"Yasmin","non-dropping-particle":"","parse-names":false,"suffix":""},{"dropping-particle":"","family":"Öztürk","given":"Selcen","non-dropping-particle":"","parse-names":false,"suffix":""},{"dropping-particle":"","family":"Lichter","given":"Peter","non-dropping-particle":"","parse-names":false,"suffix":""},{"dropping-particle":"","family":"Stilgenbauer","given":"Stephan","non-dropping-particle":"","parse-names":false,"suffix":""},{"dropping-particle":"","family":"Seiffert","given":"Martina","non-dropping-particle":"","parse-names":false,"suffix":""}],"container-title":"Leukemia","id":"ITEM-1","issue":"6","issued":{"date-parts":[["2019","6","1"]]},"page":"1427-1438","publisher":"Nature Publishing Group","title":"PI3Kδ inhibition modulates regulatory and effector T-cell differentiation and function in chronic lymphocytic leukemia","type":"article-journal","volume":"33"},"uris":["http://www.mendeley.com/documents/?uuid=a55477ff-a520-4639-94ae-1275d85bcac5"]}],"mendeley":{"formattedCitation":"[26]","plainTextFormattedCitation":"[26]","previouslyFormattedCitation":"[55]"},"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[26]</w:t>
            </w:r>
            <w:r w:rsidRPr="00902913">
              <w:rPr>
                <w:rFonts w:asciiTheme="minorHAnsi" w:hAnsiTheme="minorHAnsi" w:cstheme="minorHAnsi"/>
              </w:rPr>
              <w:fldChar w:fldCharType="end"/>
            </w:r>
          </w:p>
        </w:tc>
      </w:tr>
      <w:tr w:rsidR="00101369" w:rsidRPr="00902913" w14:paraId="7D28FCD0" w14:textId="77777777" w:rsidTr="00101369">
        <w:trPr>
          <w:trHeight w:val="307"/>
        </w:trPr>
        <w:tc>
          <w:tcPr>
            <w:tcW w:w="2506" w:type="pct"/>
          </w:tcPr>
          <w:p w14:paraId="4D33983A"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Selective BTK inhibition improves bendamustine therapy response and normalizes immune effector functions in chronic lymphocytic leukemia</w:t>
            </w:r>
          </w:p>
        </w:tc>
        <w:tc>
          <w:tcPr>
            <w:tcW w:w="552" w:type="pct"/>
          </w:tcPr>
          <w:p w14:paraId="4F63BC64"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3 months</w:t>
            </w:r>
          </w:p>
        </w:tc>
        <w:tc>
          <w:tcPr>
            <w:tcW w:w="552" w:type="pct"/>
          </w:tcPr>
          <w:p w14:paraId="403F2191"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Female</w:t>
            </w:r>
          </w:p>
        </w:tc>
        <w:tc>
          <w:tcPr>
            <w:tcW w:w="823" w:type="pct"/>
          </w:tcPr>
          <w:p w14:paraId="50F79E54"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C57BL/6N wild-type mice</w:t>
            </w:r>
          </w:p>
        </w:tc>
        <w:tc>
          <w:tcPr>
            <w:tcW w:w="569" w:type="pct"/>
          </w:tcPr>
          <w:p w14:paraId="4681D083" w14:textId="6EE40384"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{"citationItems":[{"id":"ITEM-1","itemData":{"DOI":"10.1002/IJC.32010","ISSN":"1097-0215","abstract":"The Bruton's tyrosine kinase (BTK) inhibitor ibrutinib has been shown to be highly effective in patients with chronic lymphocytic leukemia (CLL) and is approved for CLL treatment. Unfortunately, resistance and intolerance to ibrutinib has been observed in several studies, opening the door for more specific BTK inhibitors. CC-292 (spebrutinib) is a BTK inhibitor with increased specificity for BTK and less inhibition of other kinases. Our in vitro studies showed that CC-292 potently inhibited B-cell receptor signaling, activation, proliferation and chemotaxis of CLL cells. In in vivo studies using the adoptive transfer TCL1 mouse model of CLL, CC-292 reduced tumor load and normalized tumor-associated expansion of T cells and monocytes, while not affecting T cell function. Importantly, the combination of CC-292 and bendamustine impaired CLL cell proliferation in vivo and enhanced the control of CLL progression. Our results demonstrate that CC-292 is a specific BTK inhibitor with promising performance in combination with bendamustine in CLL. Further clinical trials are warranted to investigate the therapeutic efficacy of this combination regimen.","author":[{"dropping-particle":"","family":"Lee-Vergés","given":"Eriong","non-dropping-particle":"","parse-names":false,"suffix":""},{"dropping-particle":"","family":"Hanna","given":"Bola S.","non-dropping-particle":"","parse-names":false,"suffix":""},{"dropping-particle":"","family":"Yazdanparast","given":"Haniyeh","non-dropping-particle":"","parse-names":false,"suffix":""},{"dropping-particle":"","family":"Rodríguez","given":"Vanina","non-dropping-particle":"","parse-names":false,"suffix":""},{"dropping-particle":"","family":"Rodríguez","given":"Marta Leonor","non-dropping-particle":"","parse-names":false,"suffix":""},{"dropping-particle":"","family":"Giró","given":"Ariadna","non-dropping-particle":"","parse-names":false,"suffix":""},{"dropping-particle":"","family":"Vidal-Crespo","given":"Anna","non-dropping-particle":"","parse-names":false,"suffix":""},{"dropping-particle":"","family":"Rosich","given":"Laia","non-dropping-particle":"","parse-names":false,"suffix":""},{"dropping-particle":"","family":"Amador","given":"Virginia","non-dropping-particle":"","parse-names":false,"suffix":""},{"dropping-particle":"","family":"Aymerich","given":"Marta","non-dropping-particle":"","parse-names":false,"suffix":""},{"dropping-particle":"","family":"Villamor","given":"Neus","non-dropping-particle":"","parse-names":false,"suffix":""},{"dropping-particle":"","family":"Delgado","given":"Julio","non-dropping-particle":"","parse-names":false,"suffix":""},{"dropping-particle":"","family":"Lichter","given":"Peter","non-dropping-particle":"","parse-names":false,"suffix":""},{"dropping-particle":"","family":"Pérez-Galán","given":"Patricia","non-dropping-particle":"","parse-names":false,"suffix":""},{"dropping-particle":"","family":"López-Guerra","given":"Mònica","non-dropping-particle":"","parse-names":false,"suffix":""},{"dropping-particle":"","family":"Campo","given":"Elías","non-dropping-particle":"","parse-names":false,"suffix":""},{"dropping-particle":"","family":"Seiffert","given":"Martina","non-dropping-particle":"","parse-names":false,"suffix":""},{"dropping-particle":"","family":"Colomer","given":"Dolors","non-dropping-particle":"","parse-names":false,"suffix":""}],"container-title":"International Journal of Cancer","id":"ITEM-1","issue":"11","issued":{"date-parts":[["2019","6","1"]]},"page":"2762-2773","publisher":"John Wiley &amp; Sons, Ltd","title":"Selective BTK inhibition improves bendamustine therapy response and normalizes immune effector functions in chronic lymphocytic leukemia","type":"article-journal","volume":"144"},"uris":["http://www.mendeley.com/documents/?uuid=435a1ad6-666a-3c3a-9084-deefab3323df"]}],"mendeley":{"formattedCitation":"[27]","plainTextFormattedCitation":"[27]","previouslyFormattedCitation":"[56]"},"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[27]</w:t>
            </w:r>
            <w:r w:rsidRPr="00902913">
              <w:rPr>
                <w:rFonts w:asciiTheme="minorHAnsi" w:hAnsiTheme="minorHAnsi" w:cstheme="minorHAnsi"/>
              </w:rPr>
              <w:fldChar w:fldCharType="end"/>
            </w:r>
          </w:p>
        </w:tc>
      </w:tr>
      <w:tr w:rsidR="00101369" w:rsidRPr="00902913" w14:paraId="1C16FF3D" w14:textId="77777777" w:rsidTr="00101369">
        <w:trPr>
          <w:trHeight w:val="307"/>
        </w:trPr>
        <w:tc>
          <w:tcPr>
            <w:tcW w:w="2506" w:type="pct"/>
          </w:tcPr>
          <w:p w14:paraId="2877C5DA"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PI3K p110δ inactivation antagonizes chronic lymphocytic leukemia and reverses T cell immune suppression</w:t>
            </w:r>
          </w:p>
        </w:tc>
        <w:tc>
          <w:tcPr>
            <w:tcW w:w="552" w:type="pct"/>
          </w:tcPr>
          <w:p w14:paraId="15EE13A4"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Age not reported</w:t>
            </w:r>
          </w:p>
        </w:tc>
        <w:tc>
          <w:tcPr>
            <w:tcW w:w="552" w:type="pct"/>
          </w:tcPr>
          <w:p w14:paraId="69742D14"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Fonts w:asciiTheme="minorHAnsi" w:hAnsiTheme="minorHAnsi" w:cstheme="minorHAnsi"/>
                <w:shd w:val="clear" w:color="auto" w:fill="FFFFFF"/>
              </w:rPr>
              <w:t>Sex not reported</w:t>
            </w:r>
          </w:p>
        </w:tc>
        <w:tc>
          <w:tcPr>
            <w:tcW w:w="823" w:type="pct"/>
          </w:tcPr>
          <w:p w14:paraId="28F24271"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 xml:space="preserve">p110δWT/WT and </w:t>
            </w:r>
            <w:r w:rsidRPr="00902913">
              <w:rPr>
                <w:rStyle w:val="apple-converted-space"/>
                <w:rFonts w:asciiTheme="minorHAnsi" w:hAnsiTheme="minorHAnsi" w:cstheme="minorHAnsi"/>
                <w:sz w:val="22"/>
                <w:szCs w:val="22"/>
              </w:rPr>
              <w:lastRenderedPageBreak/>
              <w:t>p110δ</w:t>
            </w:r>
            <w:r w:rsidRPr="00902913">
              <w:rPr>
                <w:rStyle w:val="apple-converted-space"/>
                <w:rFonts w:asciiTheme="minorHAnsi" w:hAnsiTheme="minorHAnsi" w:cstheme="minorHAnsi"/>
                <w:sz w:val="22"/>
                <w:szCs w:val="22"/>
                <w:vertAlign w:val="superscript"/>
              </w:rPr>
              <w:t>D910A/D910A</w:t>
            </w:r>
            <w:r w:rsidRPr="00902913">
              <w:rPr>
                <w:rStyle w:val="apple-converted-space"/>
                <w:rFonts w:asciiTheme="minorHAnsi" w:hAnsiTheme="minorHAnsi" w:cstheme="minorHAnsi"/>
                <w:sz w:val="22"/>
                <w:szCs w:val="22"/>
              </w:rPr>
              <w:t xml:space="preserve"> mice</w:t>
            </w:r>
          </w:p>
        </w:tc>
        <w:tc>
          <w:tcPr>
            <w:tcW w:w="569" w:type="pct"/>
          </w:tcPr>
          <w:p w14:paraId="70EBAB49" w14:textId="6536E98A"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lastRenderedPageBreak/>
              <w:fldChar w:fldCharType="begin" w:fldLock="1"/>
            </w:r>
            <w:r w:rsidR="00D85873" w:rsidRPr="00902913">
              <w:rPr>
                <w:rFonts w:asciiTheme="minorHAnsi" w:hAnsiTheme="minorHAnsi" w:cstheme="minorHAnsi"/>
              </w:rPr>
              <w:instrText>ADDIN CSL_CITATION {"citationItems":[{"id":"ITEM-1","itemData":{"DOI":"10.1172/JCI99386","ISSN":"0021-9738","author":[{"dropping-particle":"","family":"Dong","given":"Shuai","non-dropping-particle":"","parse-names":false,"suffix":""},{"dropping-particle":"","family":"Harrington","given":"Bonnie K.","non-dropping-particle":"","parse-names":false,"suffix":""},{"dropping-particle":"","family":"Hu","given":"Eileen Y.","non-dropping-particle":"","parse-names":false,"suffix":""},{"dropping-particle":"","family":"Greene","given":"Joseph T.","non-dropping-particle":"","parse-names":false,"suffix":""},{"dropping-particle":"","family":"Lehman","given":"Amy M.","non-dropping-particle":"","parse-names":false,"suffix":""},{"dropping-particle":"","family":"Tran","given":"Minh","non-dropping-particle":"","parse-names":false,"suffix":""},{"dropping-particle":"","family":"Wasmuth","given":"Ronni L.","non-dropping-particle":"","parse-names":false,"suffix":""},{"dropping-particle":"","family":"Long","given":"Meixiao","non-dropping-particle":"","parse-names":false,"suffix":""},{"dropping-particle":"","family":"Muthusamy","given":"Natarajan","non-dropping-particle":"","parse-names":false,"suffix":""},{"dropping-particle":"","family":"Brown","given":"Jennifer R.","non-dropping-particle":"","parse-names":false,"suffix":""},{"dropping-particle":"","family":"Johnson","given":"Amy J.","non-dropping-particle":"","parse-names":false,"suffix":""},{"dropping-particle":"","family":"Byrd","given":"John C.","non-dropping-particle":"","parse-names":false,"suffix":""}],"container-title":"The Journal of Clinical Investigation","id":"ITEM-1","issue":"1","issued":{"date-parts":[["2019","1","2"]]},"page":"122-136","publisher":"American Society for Clinical Investigation","title":"PI3K p110δ inactivation antagonizes chronic lymphocytic leukemia and reverses T cell immune suppression","type":"article-journal","volume":"129"},"uris":["http://www.mendeley.com/documents/?uuid=568cb887-6898-3d19-b537-c3a935d0a36f"]}],"mendeley":{"formattedCitation":"[28]","plainTextFormattedCitation":"[28]","previouslyFormattedCitation":"[57]"},"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[28]</w:t>
            </w:r>
            <w:r w:rsidRPr="00902913">
              <w:rPr>
                <w:rFonts w:asciiTheme="minorHAnsi" w:hAnsiTheme="minorHAnsi" w:cstheme="minorHAnsi"/>
              </w:rPr>
              <w:fldChar w:fldCharType="end"/>
            </w:r>
          </w:p>
        </w:tc>
      </w:tr>
      <w:tr w:rsidR="00101369" w:rsidRPr="00902913" w14:paraId="2ECE6C21" w14:textId="77777777" w:rsidTr="00101369">
        <w:trPr>
          <w:trHeight w:val="307"/>
        </w:trPr>
        <w:tc>
          <w:tcPr>
            <w:tcW w:w="2506" w:type="pct"/>
          </w:tcPr>
          <w:p w14:paraId="394A9A68"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EBAG9 controls CD8+ T cell memory formation responding to tumor challenge in mice</w:t>
            </w:r>
          </w:p>
        </w:tc>
        <w:tc>
          <w:tcPr>
            <w:tcW w:w="552" w:type="pct"/>
          </w:tcPr>
          <w:p w14:paraId="7E125A0D"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8-10 weeks</w:t>
            </w:r>
          </w:p>
        </w:tc>
        <w:tc>
          <w:tcPr>
            <w:tcW w:w="552" w:type="pct"/>
          </w:tcPr>
          <w:p w14:paraId="21158F7F"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Female</w:t>
            </w:r>
          </w:p>
        </w:tc>
        <w:tc>
          <w:tcPr>
            <w:tcW w:w="823" w:type="pct"/>
          </w:tcPr>
          <w:p w14:paraId="532ECED5"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Not reported</w:t>
            </w:r>
          </w:p>
        </w:tc>
        <w:tc>
          <w:tcPr>
            <w:tcW w:w="569" w:type="pct"/>
          </w:tcPr>
          <w:p w14:paraId="45C19719" w14:textId="0FD790F3"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10.1172/JCI.INSIGHT.155534","ISSN":"2379-3708","author":[{"dropping-particle":"","family":"Rehm","given":"Armin","non-dropping-particle":"","parse-names":false,"suffix":""},{"dropping-particle":"","family":"Wirges","given":"Anthea","non-dropping-particle":"","parse-names":false,"suffix":""},{"dropping-particle":"","family":"Hoser","given":"Dana","non-dropping-particle":"","parse-names":false,"suffix":""},{"dropping-particle":"","family":"Fischer","given":"Cornelius","non-dropping-particle":"","parse-names":false,"suffix":""},{"dropping-particle":"","family":"Herda","given":"Stefanie","non-dropping-particle":"","parse-names":false,"suffix":""},{"dropping-particle":"","family":"Gerlach","given":"Kerstin","non-dropping-particle":"","parse-names":false,"suffix":""},{"dropping-particle":"","family":"Sauer","given":"Sascha","non-dropping-particle":"","parse-names":false,"suffix":""},{"dropping-particle":"","family":"Willimsky","given":"Gerald","non-dropping-particle":"","parse-names":false,"suffix":""},{"dropping-particle":"","family":"Höpken","given":"Uta E.","non-dropping-particle":"","parse-names":false,"suffix":""}],"container-title":"JCI Insight","id":"ITEM-1","issued":{"date-parts":[["2022","4","28"]]},"title":"EBAG9 controls CD8+ T cell memory formation responding to tumor challenge in mice","type":"article-journal"},"uris":["http://www.mendeley.com/documents/?uuid=8673e6e3-ed3c-3610-93e5-c5360f5a77ce"]}],"mendeley":{"formattedCitation":"[29]","plainTextFormattedCitation":"[29]","previouslyFormattedCitation":"[58]"},"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[29]</w:t>
            </w:r>
            <w:r w:rsidRPr="00902913">
              <w:rPr>
                <w:rFonts w:asciiTheme="minorHAnsi" w:hAnsiTheme="minorHAnsi" w:cstheme="minorHAnsi"/>
              </w:rPr>
              <w:fldChar w:fldCharType="end"/>
            </w:r>
          </w:p>
        </w:tc>
      </w:tr>
      <w:tr w:rsidR="00101369" w:rsidRPr="00902913" w14:paraId="455A0A3B" w14:textId="77777777" w:rsidTr="00101369">
        <w:trPr>
          <w:trHeight w:val="307"/>
        </w:trPr>
        <w:tc>
          <w:tcPr>
            <w:tcW w:w="2506" w:type="pct"/>
          </w:tcPr>
          <w:p w14:paraId="401703DB"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A Specific CD44lo CD25lo Subpopulation of Regulatory T Cells Inhibits Anti-Leukemic Immune Response and Promotes the Progression in a Mouse Model of Chronic Lymphocytic Leukemia</w:t>
            </w:r>
          </w:p>
        </w:tc>
        <w:tc>
          <w:tcPr>
            <w:tcW w:w="552" w:type="pct"/>
          </w:tcPr>
          <w:p w14:paraId="4DFBC88B"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6-12 weeks</w:t>
            </w:r>
          </w:p>
        </w:tc>
        <w:tc>
          <w:tcPr>
            <w:tcW w:w="552" w:type="pct"/>
          </w:tcPr>
          <w:p w14:paraId="4F494A1F"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 xml:space="preserve">Male and female (not analyzed by sex) </w:t>
            </w:r>
          </w:p>
        </w:tc>
        <w:tc>
          <w:tcPr>
            <w:tcW w:w="823" w:type="pct"/>
          </w:tcPr>
          <w:p w14:paraId="49AD67FE"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N</w:t>
            </w:r>
            <w:r w:rsidRPr="00902913">
              <w:rPr>
                <w:rStyle w:val="apple-converted-space"/>
                <w:rFonts w:asciiTheme="minorHAnsi" w:hAnsiTheme="minorHAnsi" w:cstheme="minorHAnsi"/>
              </w:rPr>
              <w:t>ot reported</w:t>
            </w:r>
          </w:p>
        </w:tc>
        <w:tc>
          <w:tcPr>
            <w:tcW w:w="569" w:type="pct"/>
          </w:tcPr>
          <w:p w14:paraId="1C7B6839" w14:textId="072CB5BD"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{"citationItems":[{"id":"ITEM-1","itemData":{"DOI":"10.3389/FIMMU.2022.781364/FULL","ISSN":"16643224","PMID":"35296093","abstract":"Regulatory T cells (Tregs) are capable of inhibiting the proliferation, activation and function of T cells and play an important role in impeding the immune response to cancer. In chronic lymphocytic leukemia (CLL) a dysfunctional immune response and elevated percentage of effector-like phenotype Tregs have been described. In this study, using the Eµ-TCL1 mouse model of CLL, we evaluated the changes in the Tregs phenotype and their expansion at different stages of leukemia progression. Importantly, we show that Tregs depletion in DEREG mice triggered the expansion of new anti-leukemic cytotoxic T cell clones leading to leukemia eradication. In TCL1 leukemia-bearing mice we identified and characterized a specific Tregs subpopulation, the phenotype of which suggests its role in the formation of an immunosuppressive microenvironment, supportive for leukemia survival and proliferation. This observation was also confirmed by the gene expression profile analysis of these TCL1-specific Tregs. The obtained data on Tregs are consistent with those described so far, however, above all show that the changes in the Tregs phenotype described in CLL result from the formation of a specific, described in this study Tregs subpopulation. In addition, functional tests revealed the ability of Tregs to inhibit T cells that recognize model antigens expressed by leukemic cells. Moreover, inhibition of Tregs with a MALT1 inhibitor provided a therapeutic benefit, both as monotherapy and also when combined with an immune checkpoint inhibitor. Altogether, activation of Tregs appears to be crucial for CLL progression.","author":[{"dropping-particle":"","family":"Goral","given":"Agnieszka","non-dropping-particle":"","parse-names":false,"suffix":""},{"dropping-particle":"","family":"Firczuk","given":"Malgorzata","non-dropping-particle":"","parse-names":false,"suffix":""},{"dropping-particle":"","family":"Fidyt","given":"Klaudyna","non-dropping-particle":"","parse-names":false,"suffix":""},{"dropping-particle":"","family":"Sledz","given":"Marta","non-dropping-particle":"","parse-names":false,"suffix":""},{"dropping-particle":"","family":"Simoncello","given":"Francesca","non-dropping-particle":"","parse-names":false,"suffix":""},{"dropping-particle":"","family":"Siudakowska","given":"Karolina","non-dropping-particle":"","parse-names":false,"suffix":""},{"dropping-particle":"","family":"Pagano","given":"Giulia","non-dropping-particle":"","parse-names":false,"suffix":""},{"dropping-particle":"","family":"Moussay","given":"Etienne","non-dropping-particle":"","parse-names":false,"suffix":""},{"dropping-particle":"","family":"Paggetti","given":"Jérôme","non-dropping-particle":"","parse-names":false,"suffix":""},{"dropping-particle":"","family":"Nowakowska","given":"Patrycja","non-dropping-particle":"","parse-names":false,"suffix":""},{"dropping-particle":"","family":"Gobessi","given":"Stefania","non-dropping-particle":"","parse-names":false,"suffix":""},{"dropping-particle":"","family":"Barankiewicz","given":"Joanna","non-dropping-particle":"","parse-names":false,"suffix":""},{"dropping-particle":"","family":"Salomon-Perzynski","given":"Aleksander","non-dropping-particle":"","parse-names":false,"suffix":""},{"dropping-particle":"","family":"Benvenuti","given":"Federica","non-dropping-particle":"","parse-names":false,"suffix":""},{"dropping-particle":"","family":"Efremov","given":"Dimitar G.","non-dropping-particle":"","parse-names":false,"suffix":""},{"dropping-particle":"","family":"Juszczynski","given":"Przemyslaw","non-dropping-particle":"","parse-names":false,"suffix":""},{"dropping-particle":"","family":"Lech-Maranda","given":"Ewa","non-dropping-particle":"","parse-names":false,"suffix":""},{"dropping-particle":"","family":"Muchowicz","given":"Angelika","non-dropping-particle":"","parse-names":false,"suffix":""}],"container-title":"Frontiers in Immunology","id":"ITEM-1","issued":{"date-parts":[["2022","2","28"]]},"page":"781364","publisher":"Frontiers Media S.A.","title":"A Specific CD44lo CD25lo Subpopulation of Regulatory T Cells Inhibits Anti-Leukemic Immune Response and Promotes the Progression in a Mouse Model of Chronic Lymphocytic Leukemia","type":"article-journal","volume":"13"},"uris":["http://www.mendeley.com/documents/?uuid=926979f9-5c49-3b11-ae1c-0dc0454d98fb"]}],"mendeley":{"formattedCitation":"[30]","plainTextFormattedCitation":"[30]","previouslyFormattedCitation":"[59]"},"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[30]</w:t>
            </w:r>
            <w:r w:rsidRPr="00902913">
              <w:rPr>
                <w:rFonts w:asciiTheme="minorHAnsi" w:hAnsiTheme="minorHAnsi" w:cstheme="minorHAnsi"/>
              </w:rPr>
              <w:fldChar w:fldCharType="end"/>
            </w:r>
          </w:p>
        </w:tc>
      </w:tr>
      <w:tr w:rsidR="00101369" w:rsidRPr="00902913" w14:paraId="376F5B2D" w14:textId="77777777" w:rsidTr="00101369">
        <w:trPr>
          <w:trHeight w:val="307"/>
        </w:trPr>
        <w:tc>
          <w:tcPr>
            <w:tcW w:w="2506" w:type="pct"/>
          </w:tcPr>
          <w:p w14:paraId="2A4743C4"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Role of the splenic microenvironment in chronic lymphocytic leukemia development in Eµ-TCL1 transgenic mice</w:t>
            </w:r>
          </w:p>
        </w:tc>
        <w:tc>
          <w:tcPr>
            <w:tcW w:w="552" w:type="pct"/>
          </w:tcPr>
          <w:p w14:paraId="0AFF70E0"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Not reported</w:t>
            </w:r>
          </w:p>
        </w:tc>
        <w:tc>
          <w:tcPr>
            <w:tcW w:w="552" w:type="pct"/>
          </w:tcPr>
          <w:p w14:paraId="0499FD79"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Not reported</w:t>
            </w:r>
          </w:p>
        </w:tc>
        <w:tc>
          <w:tcPr>
            <w:tcW w:w="823" w:type="pct"/>
          </w:tcPr>
          <w:p w14:paraId="229DB1FF"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 xml:space="preserve">syngeneic mice </w:t>
            </w:r>
          </w:p>
        </w:tc>
        <w:tc>
          <w:tcPr>
            <w:tcW w:w="569" w:type="pct"/>
          </w:tcPr>
          <w:p w14:paraId="16C24F78" w14:textId="7B5F453E"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{"citationItems":[{"id":"ITEM-1","itemData":{"DOI":"10.1080/10428194.2022.2045596/SUPPL_FILE/ILAL_A_2045596_SM5739.DOCX","ISSN":"10292403","PMID":"35258388","abstract":"The chronic lymphocytic leukemia (CLL) microenvironment has been receiving an increasing amount of attention, but there is currently limited data surrounding how the microenvironment affects initial development of CLL. We determined that the spleen is the initial site of CLL growth through monitoring of transgenic Eμ-TCL1 mice that develop CLL. Subsequently, we isolated stromal cells from the spleens of Eμ-TCL1 mice (EMST cells) that induce CLL cell division in vitro. Both cell–cell contact and soluble factors were involved in EMST-induced CLL cell division. These stromal cells are present in significantly larger numbers in the spleen than other lymphoid organs. We also noted that splenectomy delayed CLL development in Eμ-TCL1 mice and completely prevented CLL development in adoptive transfer mice. Our findings will allow future studies surrounding the CLL microenvironment to focus upon the splenic stromal cells.","author":[{"dropping-particle":"","family":"Collard","given":"James P.","non-dropping-particle":"","parse-names":false,"suffix":""},{"dropping-particle":"","family":"McKenna","given":"Mary K.","non-dropping-particle":"","parse-names":false,"suffix":""},{"dropping-particle":"","family":"Noothi","given":"Sunil K.","non-dropping-particle":"","parse-names":false,"suffix":""},{"dropping-particle":"","family":"Alhakeem","given":"Sara S.","non-dropping-particle":"","parse-names":false,"suffix":""},{"dropping-particle":"","family":"Rivas","given":"Jacqueline R.","non-dropping-particle":"","parse-names":false,"suffix":""},{"dropping-particle":"","family":"Rangnekar","given":"Vivek M.","non-dropping-particle":"","parse-names":false,"suffix":""},{"dropping-particle":"","family":"Muthusamy","given":"Natarajan","non-dropping-particle":"","parse-names":false,"suffix":""},{"dropping-particle":"","family":"Bondada","given":"Subbarao","non-dropping-particle":"","parse-names":false,"suffix":""}],"container-title":"Leukemia and Lymphoma","id":"ITEM-1","issued":{"date-parts":[["2022"]]},"publisher":"Taylor and Francis Ltd.","title":"Role of the splenic microenvironment in chronic lymphocytic leukemia development in Eµ-TCL1 transgenic mice","type":"article-journal"},"uris":["http://www.mendeley.com/documents/?uuid=6e2844e8-846d-35bf-b138-c6e576487152"]}],"mendeley":{"formattedCitation":"[31]","plainTextFormattedCitation":"[31]","previouslyFormattedCitation":"[60]"},"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[31]</w:t>
            </w:r>
            <w:r w:rsidRPr="00902913">
              <w:rPr>
                <w:rFonts w:asciiTheme="minorHAnsi" w:hAnsiTheme="minorHAnsi" w:cstheme="minorHAnsi"/>
              </w:rPr>
              <w:fldChar w:fldCharType="end"/>
            </w:r>
          </w:p>
        </w:tc>
      </w:tr>
      <w:tr w:rsidR="00101369" w:rsidRPr="00902913" w14:paraId="254A0DAA" w14:textId="77777777" w:rsidTr="00101369">
        <w:trPr>
          <w:trHeight w:val="307"/>
        </w:trPr>
        <w:tc>
          <w:tcPr>
            <w:tcW w:w="2506" w:type="pct"/>
          </w:tcPr>
          <w:p w14:paraId="4609AA1C"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Combined ibrutinib and venetoclax treatment vs single agents in the TCL1 mouse model of chronic lymphocytic leukemia</w:t>
            </w:r>
          </w:p>
        </w:tc>
        <w:tc>
          <w:tcPr>
            <w:tcW w:w="552" w:type="pct"/>
          </w:tcPr>
          <w:p w14:paraId="7BCFC910" w14:textId="77777777" w:rsidR="00101369" w:rsidRPr="00902913" w:rsidRDefault="00101369" w:rsidP="005D37E6">
            <w:pPr>
              <w:pStyle w:val="MDPI42tablebody"/>
              <w:rPr>
                <w:rStyle w:val="apple-converted-space"/>
                <w:rFonts w:asciiTheme="minorHAnsi" w:hAnsiTheme="minorHAnsi" w:cstheme="minorHAnsi"/>
                <w:sz w:val="22"/>
                <w:szCs w:val="22"/>
              </w:rPr>
            </w:pPr>
            <w:r w:rsidRPr="00902913">
              <w:rPr>
                <w:rStyle w:val="apple-converted-space"/>
                <w:rFonts w:asciiTheme="minorHAnsi" w:hAnsiTheme="minorHAnsi" w:cstheme="minorHAnsi"/>
                <w:sz w:val="22"/>
                <w:szCs w:val="22"/>
              </w:rPr>
              <w:t>Not reported</w:t>
            </w:r>
          </w:p>
        </w:tc>
        <w:tc>
          <w:tcPr>
            <w:tcW w:w="552" w:type="pct"/>
          </w:tcPr>
          <w:p w14:paraId="6D61634B" w14:textId="77777777" w:rsidR="00101369" w:rsidRPr="00902913" w:rsidRDefault="00101369" w:rsidP="005D37E6">
            <w:pPr>
              <w:pStyle w:val="MDPI42tablebody"/>
              <w:rPr>
                <w:rFonts w:asciiTheme="minorHAnsi" w:hAnsiTheme="minorHAnsi" w:cstheme="minorHAnsi"/>
                <w:shd w:val="clear" w:color="auto" w:fill="FFFFFF"/>
              </w:rPr>
            </w:pPr>
            <w:r w:rsidRPr="00902913">
              <w:rPr>
                <w:rFonts w:asciiTheme="minorHAnsi" w:hAnsiTheme="minorHAnsi" w:cstheme="minorHAnsi"/>
                <w:shd w:val="clear" w:color="auto" w:fill="FFFFFF"/>
              </w:rPr>
              <w:t>Not reported</w:t>
            </w:r>
          </w:p>
        </w:tc>
        <w:tc>
          <w:tcPr>
            <w:tcW w:w="823" w:type="pct"/>
          </w:tcPr>
          <w:p w14:paraId="4C2B3772" w14:textId="77777777"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t xml:space="preserve">C57BL/6J mice </w:t>
            </w:r>
          </w:p>
        </w:tc>
        <w:tc>
          <w:tcPr>
            <w:tcW w:w="569" w:type="pct"/>
          </w:tcPr>
          <w:p w14:paraId="30FAEC5A" w14:textId="5EB8323C" w:rsidR="00101369" w:rsidRPr="00902913" w:rsidRDefault="00101369" w:rsidP="005D37E6">
            <w:pPr>
              <w:pStyle w:val="MDPI42tablebody"/>
              <w:rPr>
                <w:rFonts w:asciiTheme="minorHAnsi" w:hAnsiTheme="minorHAnsi" w:cstheme="minorHAnsi"/>
              </w:rPr>
            </w:pPr>
            <w:r w:rsidRPr="00902913">
              <w:rPr>
                <w:rFonts w:asciiTheme="minorHAnsi" w:hAnsiTheme="minorHAnsi" w:cstheme="minorHAnsi"/>
              </w:rPr>
              <w:fldChar w:fldCharType="begin" w:fldLock="1"/>
            </w:r>
            <w:r w:rsidR="00D85873" w:rsidRPr="00902913">
              <w:rPr>
                <w:rFonts w:asciiTheme="minorHAnsi" w:hAnsiTheme="minorHAnsi" w:cstheme="minorHAnsi"/>
              </w:rPr>
              <w:instrText>ADDIN CSL_CITATION {"citationItems":[{"id":"ITEM-1","itemData":{"DOI":"10.1182/bloodadvances.2021004861","ISBN":"3120566578","ISSN":"2473-9529","abstract":"The covalent inhibitor of Bruton's tyrosine kinase ibrutinib and the specific Bcl-2 inhibitor venetoclax are both highly efficacious single agent drugs in the treatment of chronic lymphocytic leukemia (CLL). Based on their complementary modes of action, ibrutinib and venetoclax are hypothesized to act in synergistic fashion. Currently, it is unclear whether combined treatment is indeed superior to continuous single agent treatment, and what mechanisms could underlie resistance to combination treatment. In addition, effects of such treatment on the skewed T cell compartment characteristic for CLL are as yet unknown. In the murine Eµ-TCL1 adoptive transfer model, resembling aggressive CLL, we found that combined treatment resulted in deepest responses with longest duration due to a combination of decreased proliferation and increased induction of apoptosis. In addition, alterations in T cell subsets were most prominent upon combination treatment with increased naïve cells and reduced effector memory cells. Remarkably, effects of single agents but also combination treatment were eventually interrupted by relapse, and we found downregulation of BIM expression as a plausible cause of acquired drug resistance. Nevertheless, in this murine model, combination of venetoclax and ibrutinib has increased efficacy over single agents accompanied by a restoration of the T cell compartment.","author":[{"dropping-particle":"","family":"Kater","given":"Arnon P.","non-dropping-particle":"","parse-names":false,"suffix":""},{"dropping-particle":"","family":"Slinger","given":"Erik","non-dropping-particle":"","parse-names":false,"suffix":""},{"dropping-particle":"","family":"Cretenet","given":"Gaspard","non-dropping-particle":"","parse-names":false,"suffix":""},{"dropping-particle":"","family":"Martens","given":"Anne W.J.","non-dropping-particle":"","parse-names":false,"suffix":""},{"dropping-particle":"","family":"Balasubramanian","given":"Sriram","non-dropping-particle":"","parse-names":false,"suffix":""},{"dropping-particle":"","family":"Leverson","given":"Joel","non-dropping-particle":"","parse-names":false,"suffix":""},{"dropping-particle":"","family":"Eldering","given":"Eric","non-dropping-particle":"","parse-names":false,"suffix":""}],"container-title":"Blood Advances","id":"ITEM-1","issued":{"date-parts":[["2021"]]},"publisher":"American Society of Hematology","title":"Combined ibrutinib and venetoclax treatment vs single agents in the TCL1 mouse model for chronic lymphocytic leukemia","type":"article-journal"},"uris":["http://www.mendeley.com/documents/?uuid=f4f365be-5f50-4f07-aa3d-74b281481394"]}],"mendeley":{"formattedCitation":"[32]","plainTextFormattedCitation":"[32]","previouslyFormattedCitation":"[61]"},"properties":{"noteIndex":0},"schema":"https://github.com/citation-style-language/schema/raw/master/csl-citation.json"}</w:instrText>
            </w:r>
            <w:r w:rsidRPr="00902913">
              <w:rPr>
                <w:rFonts w:asciiTheme="minorHAnsi" w:hAnsiTheme="minorHAnsi" w:cstheme="minorHAnsi"/>
              </w:rPr>
              <w:fldChar w:fldCharType="separate"/>
            </w:r>
            <w:r w:rsidR="00D85873" w:rsidRPr="00902913">
              <w:rPr>
                <w:rFonts w:asciiTheme="minorHAnsi" w:hAnsiTheme="minorHAnsi" w:cstheme="minorHAnsi"/>
                <w:noProof/>
              </w:rPr>
              <w:t>[32]</w:t>
            </w:r>
            <w:r w:rsidRPr="00902913">
              <w:rPr>
                <w:rFonts w:asciiTheme="minorHAnsi" w:hAnsiTheme="minorHAnsi" w:cstheme="minorHAnsi"/>
              </w:rPr>
              <w:fldChar w:fldCharType="end"/>
            </w:r>
          </w:p>
        </w:tc>
      </w:tr>
    </w:tbl>
    <w:p w14:paraId="24FB0BD9" w14:textId="2BAC0427" w:rsidR="004746F9" w:rsidRPr="00902913" w:rsidRDefault="004746F9" w:rsidP="00101369">
      <w:pPr>
        <w:pStyle w:val="MDPI31text"/>
        <w:rPr>
          <w:rFonts w:asciiTheme="minorHAnsi" w:hAnsiTheme="minorHAnsi" w:cstheme="minorHAnsi"/>
        </w:rPr>
      </w:pPr>
    </w:p>
    <w:p w14:paraId="230FAEA7" w14:textId="45C1AA2E" w:rsidR="00101369" w:rsidRPr="00902913" w:rsidRDefault="004746F9" w:rsidP="004746F9">
      <w:pPr>
        <w:spacing w:after="160" w:line="259" w:lineRule="auto"/>
        <w:jc w:val="left"/>
        <w:rPr>
          <w:rFonts w:asciiTheme="minorHAnsi" w:hAnsiTheme="minorHAnsi" w:cstheme="minorHAnsi"/>
        </w:rPr>
      </w:pPr>
      <w:r w:rsidRPr="00902913">
        <w:rPr>
          <w:rFonts w:asciiTheme="minorHAnsi" w:hAnsiTheme="minorHAnsi" w:cstheme="minorHAnsi"/>
        </w:rPr>
        <w:br w:type="page"/>
      </w:r>
    </w:p>
    <w:p w14:paraId="6F554233" w14:textId="1977D708" w:rsidR="00104DB1" w:rsidRPr="00902913" w:rsidRDefault="00104DB1" w:rsidP="004746F9">
      <w:pPr>
        <w:spacing w:after="160" w:line="259" w:lineRule="auto"/>
        <w:jc w:val="left"/>
        <w:rPr>
          <w:rFonts w:asciiTheme="minorHAnsi" w:hAnsiTheme="minorHAnsi" w:cstheme="minorHAnsi"/>
        </w:rPr>
      </w:pPr>
      <w:r w:rsidRPr="00902913">
        <w:rPr>
          <w:rFonts w:asciiTheme="minorHAnsi" w:hAnsiTheme="minorHAnsi" w:cstheme="minorHAnsi"/>
        </w:rPr>
        <w:lastRenderedPageBreak/>
        <w:drawing>
          <wp:inline distT="0" distB="0" distL="0" distR="0" wp14:anchorId="25810A00" wp14:editId="2B5A59FA">
            <wp:extent cx="5943600" cy="1468755"/>
            <wp:effectExtent l="0" t="0" r="0" b="0"/>
            <wp:docPr id="1" name="Picture 1" descr="A picture containing text, scree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ting strategy.png"/>
                    <pic:cNvPicPr/>
                  </pic:nvPicPr>
                  <pic:blipFill>
                    <a:blip r:embed="rId8">
                      <a:extLst>
                        <a:ext uri="{28A0092B-C50C-407E-A947-70E740481C1C}">
                          <a14:useLocalDpi xmlns:a14="http://schemas.microsoft.com/office/drawing/2010/main" val="0"/>
                        </a:ext>
                      </a:extLst>
                    </a:blip>
                    <a:stretch>
                      <a:fillRect/>
                    </a:stretch>
                  </pic:blipFill>
                  <pic:spPr>
                    <a:xfrm>
                      <a:off x="0" y="0"/>
                      <a:ext cx="5943600" cy="1468755"/>
                    </a:xfrm>
                    <a:prstGeom prst="rect">
                      <a:avLst/>
                    </a:prstGeom>
                  </pic:spPr>
                </pic:pic>
              </a:graphicData>
            </a:graphic>
          </wp:inline>
        </w:drawing>
      </w:r>
    </w:p>
    <w:p w14:paraId="31AA72EA" w14:textId="75B657DA" w:rsidR="000C5525" w:rsidRPr="00902913" w:rsidRDefault="000C5525" w:rsidP="004746F9">
      <w:pPr>
        <w:spacing w:after="160" w:line="259" w:lineRule="auto"/>
        <w:jc w:val="left"/>
        <w:rPr>
          <w:rFonts w:asciiTheme="minorHAnsi" w:eastAsia="Times New Roman" w:hAnsiTheme="minorHAnsi" w:cstheme="minorHAnsi"/>
          <w:noProof w:val="0"/>
          <w:snapToGrid w:val="0"/>
          <w:szCs w:val="22"/>
          <w:lang w:eastAsia="de-DE" w:bidi="en-US"/>
        </w:rPr>
      </w:pPr>
      <w:r w:rsidRPr="00902913">
        <w:rPr>
          <w:rFonts w:asciiTheme="minorHAnsi" w:hAnsiTheme="minorHAnsi" w:cstheme="minorHAnsi"/>
        </w:rPr>
        <w:t>Figure S1: Gating strategy for peripheral blood flow cytometry</w:t>
      </w:r>
    </w:p>
    <w:p w14:paraId="4E025C8C" w14:textId="77777777" w:rsidR="00101369" w:rsidRPr="00902913" w:rsidRDefault="00101369" w:rsidP="00D85873">
      <w:pPr>
        <w:pStyle w:val="MDPI31text"/>
        <w:ind w:left="0" w:firstLine="0"/>
        <w:rPr>
          <w:rFonts w:asciiTheme="minorHAnsi" w:hAnsiTheme="minorHAnsi" w:cstheme="minorHAnsi"/>
        </w:rPr>
      </w:pPr>
      <w:r w:rsidRPr="00902913">
        <w:rPr>
          <w:rFonts w:asciiTheme="minorHAnsi" w:hAnsiTheme="minorHAnsi" w:cstheme="minorHAnsi"/>
        </w:rPr>
        <w:object w:dxaOrig="6149" w:dyaOrig="4680" w14:anchorId="6A71C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2pt;height:234pt" o:ole="">
            <v:imagedata r:id="rId9" o:title=""/>
          </v:shape>
          <o:OLEObject Type="Embed" ProgID="Prism9.Document" ShapeID="_x0000_i1025" DrawAspect="Content" ObjectID="_1725391172" r:id="rId10"/>
        </w:object>
      </w:r>
      <w:bookmarkStart w:id="0" w:name="_GoBack"/>
      <w:bookmarkEnd w:id="0"/>
    </w:p>
    <w:p w14:paraId="4BA54319" w14:textId="0782D666" w:rsidR="00101369" w:rsidRPr="00902913" w:rsidRDefault="00101369" w:rsidP="00D85873">
      <w:pPr>
        <w:pStyle w:val="MDPI31text"/>
        <w:ind w:left="0" w:firstLine="0"/>
        <w:rPr>
          <w:rFonts w:asciiTheme="minorHAnsi" w:hAnsiTheme="minorHAnsi" w:cstheme="minorHAnsi"/>
        </w:rPr>
      </w:pPr>
      <w:r w:rsidRPr="00902913">
        <w:rPr>
          <w:rFonts w:asciiTheme="minorHAnsi" w:hAnsiTheme="minorHAnsi" w:cstheme="minorHAnsi"/>
        </w:rPr>
        <w:t xml:space="preserve">Figure </w:t>
      </w:r>
      <w:r w:rsidR="00D85873" w:rsidRPr="00902913">
        <w:rPr>
          <w:rFonts w:asciiTheme="minorHAnsi" w:hAnsiTheme="minorHAnsi" w:cstheme="minorHAnsi"/>
        </w:rPr>
        <w:t>S</w:t>
      </w:r>
      <w:bookmarkStart w:id="1" w:name="OLE_LINK2"/>
      <w:r w:rsidR="000C5525" w:rsidRPr="00902913">
        <w:rPr>
          <w:rFonts w:asciiTheme="minorHAnsi" w:hAnsiTheme="minorHAnsi" w:cstheme="minorHAnsi"/>
        </w:rPr>
        <w:t>2</w:t>
      </w:r>
      <w:r w:rsidRPr="00902913">
        <w:rPr>
          <w:rFonts w:asciiTheme="minorHAnsi" w:hAnsiTheme="minorHAnsi" w:cstheme="minorHAnsi"/>
        </w:rPr>
        <w:t>: Sex difference in the Eμ-Myc adoptive transfer model</w:t>
      </w:r>
      <w:bookmarkEnd w:id="1"/>
    </w:p>
    <w:p w14:paraId="1E0BE090" w14:textId="36A3572A" w:rsidR="003C6F6F" w:rsidRPr="00902913" w:rsidRDefault="003C6F6F">
      <w:pPr>
        <w:spacing w:after="160" w:line="259" w:lineRule="auto"/>
        <w:jc w:val="left"/>
        <w:rPr>
          <w:rFonts w:asciiTheme="minorHAnsi" w:hAnsiTheme="minorHAnsi" w:cstheme="minorHAnsi"/>
        </w:rPr>
      </w:pPr>
      <w:r w:rsidRPr="00902913">
        <w:rPr>
          <w:rFonts w:asciiTheme="minorHAnsi" w:hAnsiTheme="minorHAnsi" w:cstheme="minorHAnsi"/>
        </w:rPr>
        <w:br w:type="page"/>
      </w:r>
    </w:p>
    <w:p w14:paraId="3353C6B1" w14:textId="6CF16C29" w:rsidR="00101369" w:rsidRPr="00902913" w:rsidRDefault="003C6F6F" w:rsidP="00101369">
      <w:pPr>
        <w:spacing w:line="240" w:lineRule="auto"/>
        <w:jc w:val="left"/>
        <w:rPr>
          <w:rStyle w:val="Strong"/>
          <w:rFonts w:asciiTheme="minorHAnsi" w:hAnsiTheme="minorHAnsi" w:cstheme="minorHAnsi"/>
        </w:rPr>
      </w:pPr>
      <w:r w:rsidRPr="00902913">
        <w:rPr>
          <w:rStyle w:val="Strong"/>
          <w:rFonts w:asciiTheme="minorHAnsi" w:hAnsiTheme="minorHAnsi" w:cstheme="minorHAnsi"/>
        </w:rPr>
        <w:lastRenderedPageBreak/>
        <w:t>References</w:t>
      </w:r>
    </w:p>
    <w:p w14:paraId="580F1BBC" w14:textId="77777777" w:rsidR="00D85873" w:rsidRPr="00902913" w:rsidRDefault="00D85873" w:rsidP="00101369">
      <w:pPr>
        <w:spacing w:line="240" w:lineRule="auto"/>
        <w:jc w:val="left"/>
        <w:rPr>
          <w:rFonts w:asciiTheme="minorHAnsi" w:eastAsia="Times New Roman" w:hAnsiTheme="minorHAnsi" w:cstheme="minorHAnsi"/>
          <w:b/>
          <w:noProof w:val="0"/>
          <w:snapToGrid w:val="0"/>
          <w:szCs w:val="22"/>
          <w:lang w:eastAsia="de-DE" w:bidi="en-US"/>
        </w:rPr>
      </w:pPr>
    </w:p>
    <w:p w14:paraId="1CDE5AAD" w14:textId="3A9E7BAC"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rPr>
        <w:fldChar w:fldCharType="begin" w:fldLock="1"/>
      </w:r>
      <w:r w:rsidRPr="00902913">
        <w:rPr>
          <w:rFonts w:asciiTheme="minorHAnsi" w:hAnsiTheme="minorHAnsi" w:cstheme="minorHAnsi"/>
        </w:rPr>
        <w:instrText xml:space="preserve">ADDIN Mendeley Bibliography CSL_BIBLIOGRAPHY </w:instrText>
      </w:r>
      <w:r w:rsidRPr="00902913">
        <w:rPr>
          <w:rFonts w:asciiTheme="minorHAnsi" w:hAnsiTheme="minorHAnsi" w:cstheme="minorHAnsi"/>
        </w:rPr>
        <w:fldChar w:fldCharType="separate"/>
      </w:r>
      <w:r w:rsidRPr="00902913">
        <w:rPr>
          <w:rFonts w:asciiTheme="minorHAnsi" w:hAnsiTheme="minorHAnsi" w:cstheme="minorHAnsi"/>
          <w:szCs w:val="24"/>
        </w:rPr>
        <w:t xml:space="preserve">1. </w:t>
      </w:r>
      <w:r w:rsidRPr="00902913">
        <w:rPr>
          <w:rFonts w:asciiTheme="minorHAnsi" w:hAnsiTheme="minorHAnsi" w:cstheme="minorHAnsi"/>
          <w:szCs w:val="24"/>
        </w:rPr>
        <w:tab/>
        <w:t xml:space="preserve">Öztürk, S.; Paul, Y.; Afzal, S.; Gil-Farina, I.; Jauch, A.; Bruch, P.-M.; Kalter, V.; Hanna, B.; Arseni, L.; Roessner, P.M.; et al. Longitudinal Analyses of CLL in Mice Identify Leukemia-Related Clonal Changes Including a Myc Gain Predicting Poor Outcome in Patients. </w:t>
      </w:r>
      <w:r w:rsidRPr="00902913">
        <w:rPr>
          <w:rFonts w:asciiTheme="minorHAnsi" w:hAnsiTheme="minorHAnsi" w:cstheme="minorHAnsi"/>
          <w:i/>
          <w:iCs/>
          <w:szCs w:val="24"/>
        </w:rPr>
        <w:t>Leuk. 2021</w:t>
      </w:r>
      <w:r w:rsidRPr="00902913">
        <w:rPr>
          <w:rFonts w:asciiTheme="minorHAnsi" w:hAnsiTheme="minorHAnsi" w:cstheme="minorHAnsi"/>
          <w:szCs w:val="24"/>
        </w:rPr>
        <w:t xml:space="preserve"> </w:t>
      </w:r>
      <w:r w:rsidRPr="00902913">
        <w:rPr>
          <w:rFonts w:asciiTheme="minorHAnsi" w:hAnsiTheme="minorHAnsi" w:cstheme="minorHAnsi"/>
          <w:b/>
          <w:bCs/>
          <w:szCs w:val="24"/>
        </w:rPr>
        <w:t>2021</w:t>
      </w:r>
      <w:r w:rsidRPr="00902913">
        <w:rPr>
          <w:rFonts w:asciiTheme="minorHAnsi" w:hAnsiTheme="minorHAnsi" w:cstheme="minorHAnsi"/>
          <w:szCs w:val="24"/>
        </w:rPr>
        <w:t>, 1–12, doi:10.1038/s41375-021-01381-4.</w:t>
      </w:r>
    </w:p>
    <w:p w14:paraId="19494F8E"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2. </w:t>
      </w:r>
      <w:r w:rsidRPr="00902913">
        <w:rPr>
          <w:rFonts w:asciiTheme="minorHAnsi" w:hAnsiTheme="minorHAnsi" w:cstheme="minorHAnsi"/>
          <w:szCs w:val="24"/>
        </w:rPr>
        <w:tab/>
        <w:t xml:space="preserve">Grioni, M.; Brevi, A.; Cattaneo, E.; Rovida, A.; Bordini, J.; Bertilaccio, M.T.S.; Ponzoni, M.; Casorati, G.; Dellabona, P.; Ghia, P.; et al. CD4+ T Cells Sustain Aggressive Chronic Lymphocytic Leukemia in Eμ-TCL1 Mice through a CD40L-Independent Mechanism. </w:t>
      </w:r>
      <w:r w:rsidRPr="00902913">
        <w:rPr>
          <w:rFonts w:asciiTheme="minorHAnsi" w:hAnsiTheme="minorHAnsi" w:cstheme="minorHAnsi"/>
          <w:i/>
          <w:iCs/>
          <w:szCs w:val="24"/>
        </w:rPr>
        <w:t>Blood Adv.</w:t>
      </w:r>
      <w:r w:rsidRPr="00902913">
        <w:rPr>
          <w:rFonts w:asciiTheme="minorHAnsi" w:hAnsiTheme="minorHAnsi" w:cstheme="minorHAnsi"/>
          <w:szCs w:val="24"/>
        </w:rPr>
        <w:t xml:space="preserve"> </w:t>
      </w:r>
      <w:r w:rsidRPr="00902913">
        <w:rPr>
          <w:rFonts w:asciiTheme="minorHAnsi" w:hAnsiTheme="minorHAnsi" w:cstheme="minorHAnsi"/>
          <w:b/>
          <w:bCs/>
          <w:szCs w:val="24"/>
        </w:rPr>
        <w:t>2021</w:t>
      </w:r>
      <w:r w:rsidRPr="00902913">
        <w:rPr>
          <w:rFonts w:asciiTheme="minorHAnsi" w:hAnsiTheme="minorHAnsi" w:cstheme="minorHAnsi"/>
          <w:szCs w:val="24"/>
        </w:rPr>
        <w:t xml:space="preserve">, </w:t>
      </w:r>
      <w:r w:rsidRPr="00902913">
        <w:rPr>
          <w:rFonts w:asciiTheme="minorHAnsi" w:hAnsiTheme="minorHAnsi" w:cstheme="minorHAnsi"/>
          <w:i/>
          <w:iCs/>
          <w:szCs w:val="24"/>
        </w:rPr>
        <w:t>5</w:t>
      </w:r>
      <w:r w:rsidRPr="00902913">
        <w:rPr>
          <w:rFonts w:asciiTheme="minorHAnsi" w:hAnsiTheme="minorHAnsi" w:cstheme="minorHAnsi"/>
          <w:szCs w:val="24"/>
        </w:rPr>
        <w:t>, 2817, doi:10.1182/BLOODADVANCES.2020003795.</w:t>
      </w:r>
    </w:p>
    <w:p w14:paraId="2C7DB09C"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3. </w:t>
      </w:r>
      <w:r w:rsidRPr="00902913">
        <w:rPr>
          <w:rFonts w:asciiTheme="minorHAnsi" w:hAnsiTheme="minorHAnsi" w:cstheme="minorHAnsi"/>
          <w:szCs w:val="24"/>
        </w:rPr>
        <w:tab/>
        <w:t xml:space="preserve">Parigger, T.; Gassner, F.J.; Scherhäufl, C.; Bakar, A.A.; Höpner, J.P.; Hödlmoser, A.; Steiner, M.; Catakovic, K.; Geisberger, R.; Greil, R.; et al. Evidence for Non-Cancer-Specific T Cell Exhaustion in the Tcl1 Mouse Model for Chronic Lymphocytic Leukemia. </w:t>
      </w:r>
      <w:r w:rsidRPr="00902913">
        <w:rPr>
          <w:rFonts w:asciiTheme="minorHAnsi" w:hAnsiTheme="minorHAnsi" w:cstheme="minorHAnsi"/>
          <w:i/>
          <w:iCs/>
          <w:szCs w:val="24"/>
        </w:rPr>
        <w:t>Int. J. Mol. Sci.</w:t>
      </w:r>
      <w:r w:rsidRPr="00902913">
        <w:rPr>
          <w:rFonts w:asciiTheme="minorHAnsi" w:hAnsiTheme="minorHAnsi" w:cstheme="minorHAnsi"/>
          <w:szCs w:val="24"/>
        </w:rPr>
        <w:t xml:space="preserve"> </w:t>
      </w:r>
      <w:r w:rsidRPr="00902913">
        <w:rPr>
          <w:rFonts w:asciiTheme="minorHAnsi" w:hAnsiTheme="minorHAnsi" w:cstheme="minorHAnsi"/>
          <w:b/>
          <w:bCs/>
          <w:szCs w:val="24"/>
        </w:rPr>
        <w:t>2021</w:t>
      </w:r>
      <w:r w:rsidRPr="00902913">
        <w:rPr>
          <w:rFonts w:asciiTheme="minorHAnsi" w:hAnsiTheme="minorHAnsi" w:cstheme="minorHAnsi"/>
          <w:szCs w:val="24"/>
        </w:rPr>
        <w:t xml:space="preserve">, </w:t>
      </w:r>
      <w:r w:rsidRPr="00902913">
        <w:rPr>
          <w:rFonts w:asciiTheme="minorHAnsi" w:hAnsiTheme="minorHAnsi" w:cstheme="minorHAnsi"/>
          <w:i/>
          <w:iCs/>
          <w:szCs w:val="24"/>
        </w:rPr>
        <w:t>22</w:t>
      </w:r>
      <w:r w:rsidRPr="00902913">
        <w:rPr>
          <w:rFonts w:asciiTheme="minorHAnsi" w:hAnsiTheme="minorHAnsi" w:cstheme="minorHAnsi"/>
          <w:szCs w:val="24"/>
        </w:rPr>
        <w:t>, 6648, doi:10.3390/IJMS22136648.</w:t>
      </w:r>
    </w:p>
    <w:p w14:paraId="6CED2916"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4. </w:t>
      </w:r>
      <w:r w:rsidRPr="00902913">
        <w:rPr>
          <w:rFonts w:asciiTheme="minorHAnsi" w:hAnsiTheme="minorHAnsi" w:cstheme="minorHAnsi"/>
          <w:szCs w:val="24"/>
        </w:rPr>
        <w:tab/>
        <w:t xml:space="preserve">Öztürk, S.; Kalter, V.; Roessner, P.M.; Sunbul, M.; Seiffert, M. IDO1-Targeted Therapy Does Not Control Disease Development in the Eµ-TCL1 Mouse Model of Chronic Lymphocytic Leukemia. </w:t>
      </w:r>
      <w:r w:rsidRPr="00902913">
        <w:rPr>
          <w:rFonts w:asciiTheme="minorHAnsi" w:hAnsiTheme="minorHAnsi" w:cstheme="minorHAnsi"/>
          <w:i/>
          <w:iCs/>
          <w:szCs w:val="24"/>
        </w:rPr>
        <w:t>Cancers (Basel).</w:t>
      </w:r>
      <w:r w:rsidRPr="00902913">
        <w:rPr>
          <w:rFonts w:asciiTheme="minorHAnsi" w:hAnsiTheme="minorHAnsi" w:cstheme="minorHAnsi"/>
          <w:szCs w:val="24"/>
        </w:rPr>
        <w:t xml:space="preserve"> </w:t>
      </w:r>
      <w:r w:rsidRPr="00902913">
        <w:rPr>
          <w:rFonts w:asciiTheme="minorHAnsi" w:hAnsiTheme="minorHAnsi" w:cstheme="minorHAnsi"/>
          <w:b/>
          <w:bCs/>
          <w:szCs w:val="24"/>
        </w:rPr>
        <w:t>2021</w:t>
      </w:r>
      <w:r w:rsidRPr="00902913">
        <w:rPr>
          <w:rFonts w:asciiTheme="minorHAnsi" w:hAnsiTheme="minorHAnsi" w:cstheme="minorHAnsi"/>
          <w:szCs w:val="24"/>
        </w:rPr>
        <w:t xml:space="preserve">, </w:t>
      </w:r>
      <w:r w:rsidRPr="00902913">
        <w:rPr>
          <w:rFonts w:asciiTheme="minorHAnsi" w:hAnsiTheme="minorHAnsi" w:cstheme="minorHAnsi"/>
          <w:i/>
          <w:iCs/>
          <w:szCs w:val="24"/>
        </w:rPr>
        <w:t>13</w:t>
      </w:r>
      <w:r w:rsidRPr="00902913">
        <w:rPr>
          <w:rFonts w:asciiTheme="minorHAnsi" w:hAnsiTheme="minorHAnsi" w:cstheme="minorHAnsi"/>
          <w:szCs w:val="24"/>
        </w:rPr>
        <w:t>, doi:10.3390/CANCERS13081899.</w:t>
      </w:r>
    </w:p>
    <w:p w14:paraId="614E17B8"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5. </w:t>
      </w:r>
      <w:r w:rsidRPr="00902913">
        <w:rPr>
          <w:rFonts w:asciiTheme="minorHAnsi" w:hAnsiTheme="minorHAnsi" w:cstheme="minorHAnsi"/>
          <w:szCs w:val="24"/>
        </w:rPr>
        <w:tab/>
        <w:t xml:space="preserve">Rivas, J.R.; Liu, Y.; Alhakeem, S.S.; Eckenrode, J.M.; Marti, F.; Collard, J.P.; Zhang, Y.; Shaaban, K.A.; Muthusamy, N.; Hildebrandt, G.C.; et al. Interleukin-10 Suppression Enhances T-Cell Antitumor Immunity and Responses to Checkpoint Blockade in Chronic Lymphocytic Leukemia. </w:t>
      </w:r>
      <w:r w:rsidRPr="00902913">
        <w:rPr>
          <w:rFonts w:asciiTheme="minorHAnsi" w:hAnsiTheme="minorHAnsi" w:cstheme="minorHAnsi"/>
          <w:i/>
          <w:iCs/>
          <w:szCs w:val="24"/>
        </w:rPr>
        <w:t>Leuk. 2021</w:t>
      </w:r>
      <w:r w:rsidRPr="00902913">
        <w:rPr>
          <w:rFonts w:asciiTheme="minorHAnsi" w:hAnsiTheme="minorHAnsi" w:cstheme="minorHAnsi"/>
          <w:szCs w:val="24"/>
        </w:rPr>
        <w:t xml:space="preserve"> </w:t>
      </w:r>
      <w:r w:rsidRPr="00902913">
        <w:rPr>
          <w:rFonts w:asciiTheme="minorHAnsi" w:hAnsiTheme="minorHAnsi" w:cstheme="minorHAnsi"/>
          <w:b/>
          <w:bCs/>
          <w:szCs w:val="24"/>
        </w:rPr>
        <w:t>2021</w:t>
      </w:r>
      <w:r w:rsidRPr="00902913">
        <w:rPr>
          <w:rFonts w:asciiTheme="minorHAnsi" w:hAnsiTheme="minorHAnsi" w:cstheme="minorHAnsi"/>
          <w:szCs w:val="24"/>
        </w:rPr>
        <w:t>, 1–13, doi:10.1038/s41375-021-01217-1.</w:t>
      </w:r>
    </w:p>
    <w:p w14:paraId="0BF0C8E3"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6. </w:t>
      </w:r>
      <w:r w:rsidRPr="00902913">
        <w:rPr>
          <w:rFonts w:asciiTheme="minorHAnsi" w:hAnsiTheme="minorHAnsi" w:cstheme="minorHAnsi"/>
          <w:szCs w:val="24"/>
        </w:rPr>
        <w:tab/>
        <w:t xml:space="preserve">Llaó-Cid, L.; Roessner, P.M.; Chapaprieta, V.; Öztürk, S.; Roider, T.; Bordas, M.; Izcue, A.; Colomer, D.; Dietrich, S.; Stilgenbauer, S.; et al. EOMES Is Essential for Antitumor Activity of CD8+ T Cells in Chronic Lymphocytic Leukemia. </w:t>
      </w:r>
      <w:r w:rsidRPr="00902913">
        <w:rPr>
          <w:rFonts w:asciiTheme="minorHAnsi" w:hAnsiTheme="minorHAnsi" w:cstheme="minorHAnsi"/>
          <w:i/>
          <w:iCs/>
          <w:szCs w:val="24"/>
        </w:rPr>
        <w:t>Leuk. 2021</w:t>
      </w:r>
      <w:r w:rsidRPr="00902913">
        <w:rPr>
          <w:rFonts w:asciiTheme="minorHAnsi" w:hAnsiTheme="minorHAnsi" w:cstheme="minorHAnsi"/>
          <w:szCs w:val="24"/>
        </w:rPr>
        <w:t xml:space="preserve"> </w:t>
      </w:r>
      <w:r w:rsidRPr="00902913">
        <w:rPr>
          <w:rFonts w:asciiTheme="minorHAnsi" w:hAnsiTheme="minorHAnsi" w:cstheme="minorHAnsi"/>
          <w:b/>
          <w:bCs/>
          <w:szCs w:val="24"/>
        </w:rPr>
        <w:t>2021</w:t>
      </w:r>
      <w:r w:rsidRPr="00902913">
        <w:rPr>
          <w:rFonts w:asciiTheme="minorHAnsi" w:hAnsiTheme="minorHAnsi" w:cstheme="minorHAnsi"/>
          <w:szCs w:val="24"/>
        </w:rPr>
        <w:t>, 1–11, doi:10.1038/s41375-021-01198-1.</w:t>
      </w:r>
    </w:p>
    <w:p w14:paraId="2F57542E"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7. </w:t>
      </w:r>
      <w:r w:rsidRPr="00902913">
        <w:rPr>
          <w:rFonts w:asciiTheme="minorHAnsi" w:hAnsiTheme="minorHAnsi" w:cstheme="minorHAnsi"/>
          <w:szCs w:val="24"/>
        </w:rPr>
        <w:tab/>
        <w:t xml:space="preserve">Roessner, P.M.; Cid, L.L.; Lupar, E.; Roider, T.; Bordas, M.; Schifflers, C.; Arseni, L.; Gaupel, A.-C.; Kilpert, F.; Krötschel, M.; et al. EOMES and IL-10 Regulate Antitumor Activity of T Regulatory Type 1 CD4+ T Cells in Chronic Lymphocytic Leukemia. </w:t>
      </w:r>
      <w:r w:rsidRPr="00902913">
        <w:rPr>
          <w:rFonts w:asciiTheme="minorHAnsi" w:hAnsiTheme="minorHAnsi" w:cstheme="minorHAnsi"/>
          <w:i/>
          <w:iCs/>
          <w:szCs w:val="24"/>
        </w:rPr>
        <w:t>Leukemia</w:t>
      </w:r>
      <w:r w:rsidRPr="00902913">
        <w:rPr>
          <w:rFonts w:asciiTheme="minorHAnsi" w:hAnsiTheme="minorHAnsi" w:cstheme="minorHAnsi"/>
          <w:szCs w:val="24"/>
        </w:rPr>
        <w:t xml:space="preserve"> </w:t>
      </w:r>
      <w:r w:rsidRPr="00902913">
        <w:rPr>
          <w:rFonts w:asciiTheme="minorHAnsi" w:hAnsiTheme="minorHAnsi" w:cstheme="minorHAnsi"/>
          <w:b/>
          <w:bCs/>
          <w:szCs w:val="24"/>
        </w:rPr>
        <w:t>2021</w:t>
      </w:r>
      <w:r w:rsidRPr="00902913">
        <w:rPr>
          <w:rFonts w:asciiTheme="minorHAnsi" w:hAnsiTheme="minorHAnsi" w:cstheme="minorHAnsi"/>
          <w:szCs w:val="24"/>
        </w:rPr>
        <w:t xml:space="preserve">, </w:t>
      </w:r>
      <w:r w:rsidRPr="00902913">
        <w:rPr>
          <w:rFonts w:asciiTheme="minorHAnsi" w:hAnsiTheme="minorHAnsi" w:cstheme="minorHAnsi"/>
          <w:i/>
          <w:iCs/>
          <w:szCs w:val="24"/>
        </w:rPr>
        <w:t>35</w:t>
      </w:r>
      <w:r w:rsidRPr="00902913">
        <w:rPr>
          <w:rFonts w:asciiTheme="minorHAnsi" w:hAnsiTheme="minorHAnsi" w:cstheme="minorHAnsi"/>
          <w:szCs w:val="24"/>
        </w:rPr>
        <w:t>, 2311, doi:10.1038/S41375-021-01136-1.</w:t>
      </w:r>
    </w:p>
    <w:p w14:paraId="44452687"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8. </w:t>
      </w:r>
      <w:r w:rsidRPr="00902913">
        <w:rPr>
          <w:rFonts w:asciiTheme="minorHAnsi" w:hAnsiTheme="minorHAnsi" w:cstheme="minorHAnsi"/>
          <w:szCs w:val="24"/>
        </w:rPr>
        <w:tab/>
        <w:t xml:space="preserve">Maharaj, K.; Powers, J.J.; Mediavilla-Varela, M.; Achille, A.; Gamal, W.; Quayle, S.; Jones, S.S.; Sahakian, E.; Pinilla-Ibarz, J. HDAC6 Inhibition Alleviates CLL-Induced T-Cell Dysfunction and Enhances Immune Checkpoint Blockade Efficacy in the Eμ-TCL1 Model. </w:t>
      </w:r>
      <w:r w:rsidRPr="00902913">
        <w:rPr>
          <w:rFonts w:asciiTheme="minorHAnsi" w:hAnsiTheme="minorHAnsi" w:cstheme="minorHAnsi"/>
          <w:i/>
          <w:iCs/>
          <w:szCs w:val="24"/>
        </w:rPr>
        <w:t>Front. Immunol.</w:t>
      </w:r>
      <w:r w:rsidRPr="00902913">
        <w:rPr>
          <w:rFonts w:asciiTheme="minorHAnsi" w:hAnsiTheme="minorHAnsi" w:cstheme="minorHAnsi"/>
          <w:szCs w:val="24"/>
        </w:rPr>
        <w:t xml:space="preserve"> </w:t>
      </w:r>
      <w:r w:rsidRPr="00902913">
        <w:rPr>
          <w:rFonts w:asciiTheme="minorHAnsi" w:hAnsiTheme="minorHAnsi" w:cstheme="minorHAnsi"/>
          <w:b/>
          <w:bCs/>
          <w:szCs w:val="24"/>
        </w:rPr>
        <w:t>2020</w:t>
      </w:r>
      <w:r w:rsidRPr="00902913">
        <w:rPr>
          <w:rFonts w:asciiTheme="minorHAnsi" w:hAnsiTheme="minorHAnsi" w:cstheme="minorHAnsi"/>
          <w:szCs w:val="24"/>
        </w:rPr>
        <w:t xml:space="preserve">, </w:t>
      </w:r>
      <w:r w:rsidRPr="00902913">
        <w:rPr>
          <w:rFonts w:asciiTheme="minorHAnsi" w:hAnsiTheme="minorHAnsi" w:cstheme="minorHAnsi"/>
          <w:i/>
          <w:iCs/>
          <w:szCs w:val="24"/>
        </w:rPr>
        <w:t>11</w:t>
      </w:r>
      <w:r w:rsidRPr="00902913">
        <w:rPr>
          <w:rFonts w:asciiTheme="minorHAnsi" w:hAnsiTheme="minorHAnsi" w:cstheme="minorHAnsi"/>
          <w:szCs w:val="24"/>
        </w:rPr>
        <w:t>, doi:10.3389/FIMMU.2020.590072.</w:t>
      </w:r>
    </w:p>
    <w:p w14:paraId="2BE3DD44"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9. </w:t>
      </w:r>
      <w:r w:rsidRPr="00902913">
        <w:rPr>
          <w:rFonts w:asciiTheme="minorHAnsi" w:hAnsiTheme="minorHAnsi" w:cstheme="minorHAnsi"/>
          <w:szCs w:val="24"/>
        </w:rPr>
        <w:tab/>
        <w:t xml:space="preserve">Patrussi, L.; Manganaro, N.; Capitani, N.; Ulivieri, C.; Tatangelo, V.; Libonati, F.; Finetti, F.; Frezzato, F.; Visentin, A.; D’Elios, M.M.; et al. Enhanced IL-9 Secretion by P66Shc-Deficient CLL Cells Modulates the Chemokine Landscape of the Stromal Microenvironment. </w:t>
      </w:r>
      <w:r w:rsidRPr="00902913">
        <w:rPr>
          <w:rFonts w:asciiTheme="minorHAnsi" w:hAnsiTheme="minorHAnsi" w:cstheme="minorHAnsi"/>
          <w:i/>
          <w:iCs/>
          <w:szCs w:val="24"/>
        </w:rPr>
        <w:t>Blood</w:t>
      </w:r>
      <w:r w:rsidRPr="00902913">
        <w:rPr>
          <w:rFonts w:asciiTheme="minorHAnsi" w:hAnsiTheme="minorHAnsi" w:cstheme="minorHAnsi"/>
          <w:szCs w:val="24"/>
        </w:rPr>
        <w:t xml:space="preserve"> </w:t>
      </w:r>
      <w:r w:rsidRPr="00902913">
        <w:rPr>
          <w:rFonts w:asciiTheme="minorHAnsi" w:hAnsiTheme="minorHAnsi" w:cstheme="minorHAnsi"/>
          <w:b/>
          <w:bCs/>
          <w:szCs w:val="24"/>
        </w:rPr>
        <w:t>2021</w:t>
      </w:r>
      <w:r w:rsidRPr="00902913">
        <w:rPr>
          <w:rFonts w:asciiTheme="minorHAnsi" w:hAnsiTheme="minorHAnsi" w:cstheme="minorHAnsi"/>
          <w:szCs w:val="24"/>
        </w:rPr>
        <w:t xml:space="preserve">, </w:t>
      </w:r>
      <w:r w:rsidRPr="00902913">
        <w:rPr>
          <w:rFonts w:asciiTheme="minorHAnsi" w:hAnsiTheme="minorHAnsi" w:cstheme="minorHAnsi"/>
          <w:i/>
          <w:iCs/>
          <w:szCs w:val="24"/>
        </w:rPr>
        <w:t>137</w:t>
      </w:r>
      <w:r w:rsidRPr="00902913">
        <w:rPr>
          <w:rFonts w:asciiTheme="minorHAnsi" w:hAnsiTheme="minorHAnsi" w:cstheme="minorHAnsi"/>
          <w:szCs w:val="24"/>
        </w:rPr>
        <w:t>, 2182–2195, doi:10.1182/BLOOD.2020005785.</w:t>
      </w:r>
    </w:p>
    <w:p w14:paraId="5FAC3379"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10. </w:t>
      </w:r>
      <w:r w:rsidRPr="00902913">
        <w:rPr>
          <w:rFonts w:asciiTheme="minorHAnsi" w:hAnsiTheme="minorHAnsi" w:cstheme="minorHAnsi"/>
          <w:szCs w:val="24"/>
        </w:rPr>
        <w:tab/>
        <w:t xml:space="preserve">Rovida, A.; Maccalli, C.; Scarf, L.; Dellabona, P.; Stamatopoulos, K.; Ghia, P. Exploiting B-Cell Receptor Stereotypy to Design Tailored Immunotherapy in Chronic Lymphocytic Leukemia. </w:t>
      </w:r>
      <w:r w:rsidRPr="00902913">
        <w:rPr>
          <w:rFonts w:asciiTheme="minorHAnsi" w:hAnsiTheme="minorHAnsi" w:cstheme="minorHAnsi"/>
          <w:b/>
          <w:bCs/>
          <w:szCs w:val="24"/>
        </w:rPr>
        <w:t>2021</w:t>
      </w:r>
      <w:r w:rsidRPr="00902913">
        <w:rPr>
          <w:rFonts w:asciiTheme="minorHAnsi" w:hAnsiTheme="minorHAnsi" w:cstheme="minorHAnsi"/>
          <w:szCs w:val="24"/>
        </w:rPr>
        <w:t>, doi:10.1158/1078-0432.CCR-20-1632.</w:t>
      </w:r>
    </w:p>
    <w:p w14:paraId="6C3F8484"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11. </w:t>
      </w:r>
      <w:r w:rsidRPr="00902913">
        <w:rPr>
          <w:rFonts w:asciiTheme="minorHAnsi" w:hAnsiTheme="minorHAnsi" w:cstheme="minorHAnsi"/>
          <w:szCs w:val="24"/>
        </w:rPr>
        <w:tab/>
        <w:t xml:space="preserve">Barthel, R.; Fedorchenko, O.; Velmans, T.; Rosen, N.; Nguyen, P.-H.; Reinart, N.; Florin, A.; Herling, M.; Hallek, M.; Fingerle-Rowson, G. CD74 Is Dispensable for Development of Chronic Lymphocytic Leukemia in Eµ-TCL1 Transgenic Mice. </w:t>
      </w:r>
      <w:r w:rsidRPr="00902913">
        <w:rPr>
          <w:rFonts w:asciiTheme="minorHAnsi" w:hAnsiTheme="minorHAnsi" w:cstheme="minorHAnsi"/>
          <w:i/>
          <w:iCs/>
          <w:szCs w:val="24"/>
        </w:rPr>
        <w:t>https://doi.org/10.1080/10428194.2020.1791851</w:t>
      </w:r>
      <w:r w:rsidRPr="00902913">
        <w:rPr>
          <w:rFonts w:asciiTheme="minorHAnsi" w:hAnsiTheme="minorHAnsi" w:cstheme="minorHAnsi"/>
          <w:szCs w:val="24"/>
        </w:rPr>
        <w:t xml:space="preserve"> </w:t>
      </w:r>
      <w:r w:rsidRPr="00902913">
        <w:rPr>
          <w:rFonts w:asciiTheme="minorHAnsi" w:hAnsiTheme="minorHAnsi" w:cstheme="minorHAnsi"/>
          <w:b/>
          <w:bCs/>
          <w:szCs w:val="24"/>
        </w:rPr>
        <w:t>2020</w:t>
      </w:r>
      <w:r w:rsidRPr="00902913">
        <w:rPr>
          <w:rFonts w:asciiTheme="minorHAnsi" w:hAnsiTheme="minorHAnsi" w:cstheme="minorHAnsi"/>
          <w:szCs w:val="24"/>
        </w:rPr>
        <w:t>, 2799–2810, doi:10.1080/10428194.2020.1791851.</w:t>
      </w:r>
    </w:p>
    <w:p w14:paraId="5BCBBACE"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12. </w:t>
      </w:r>
      <w:r w:rsidRPr="00902913">
        <w:rPr>
          <w:rFonts w:asciiTheme="minorHAnsi" w:hAnsiTheme="minorHAnsi" w:cstheme="minorHAnsi"/>
          <w:szCs w:val="24"/>
        </w:rPr>
        <w:tab/>
        <w:t xml:space="preserve">Maharaj, K.; Powers, J.J.; Achille, A.; Mediavilla-Varela, M.; Gamal, W.; Burger, K.L.; Fonseca, R.; Jiang, K.; Miskin, H.P.; Maryanski, D.; et al. The Dual PI3Kδ/CK1ε Inhibitor Umbralisib Exhibits Unique Immunomodulatory Effects on CLL T Cells. </w:t>
      </w:r>
      <w:r w:rsidRPr="00902913">
        <w:rPr>
          <w:rFonts w:asciiTheme="minorHAnsi" w:hAnsiTheme="minorHAnsi" w:cstheme="minorHAnsi"/>
          <w:i/>
          <w:iCs/>
          <w:szCs w:val="24"/>
        </w:rPr>
        <w:t>Blood Adv.</w:t>
      </w:r>
      <w:r w:rsidRPr="00902913">
        <w:rPr>
          <w:rFonts w:asciiTheme="minorHAnsi" w:hAnsiTheme="minorHAnsi" w:cstheme="minorHAnsi"/>
          <w:szCs w:val="24"/>
        </w:rPr>
        <w:t xml:space="preserve"> </w:t>
      </w:r>
      <w:r w:rsidRPr="00902913">
        <w:rPr>
          <w:rFonts w:asciiTheme="minorHAnsi" w:hAnsiTheme="minorHAnsi" w:cstheme="minorHAnsi"/>
          <w:b/>
          <w:bCs/>
          <w:szCs w:val="24"/>
        </w:rPr>
        <w:t>2020</w:t>
      </w:r>
      <w:r w:rsidRPr="00902913">
        <w:rPr>
          <w:rFonts w:asciiTheme="minorHAnsi" w:hAnsiTheme="minorHAnsi" w:cstheme="minorHAnsi"/>
          <w:szCs w:val="24"/>
        </w:rPr>
        <w:t xml:space="preserve">, </w:t>
      </w:r>
      <w:r w:rsidRPr="00902913">
        <w:rPr>
          <w:rFonts w:asciiTheme="minorHAnsi" w:hAnsiTheme="minorHAnsi" w:cstheme="minorHAnsi"/>
          <w:i/>
          <w:iCs/>
          <w:szCs w:val="24"/>
        </w:rPr>
        <w:t>4</w:t>
      </w:r>
      <w:r w:rsidRPr="00902913">
        <w:rPr>
          <w:rFonts w:asciiTheme="minorHAnsi" w:hAnsiTheme="minorHAnsi" w:cstheme="minorHAnsi"/>
          <w:szCs w:val="24"/>
        </w:rPr>
        <w:t>, 3072, doi:10.1182/BLOODADVANCES.2020001800.</w:t>
      </w:r>
    </w:p>
    <w:p w14:paraId="31CA5E9B"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13. </w:t>
      </w:r>
      <w:r w:rsidRPr="00902913">
        <w:rPr>
          <w:rFonts w:asciiTheme="minorHAnsi" w:hAnsiTheme="minorHAnsi" w:cstheme="minorHAnsi"/>
          <w:szCs w:val="24"/>
        </w:rPr>
        <w:tab/>
        <w:t xml:space="preserve">Oldham, R.J.; Mockridge, C.I.; James, S.; Duriez, P.J.; Chan, H.T.C.; Cox, K.L.; Pitic, V.A.; Glennie, M.J.; Cragg, M.S. Original Research: FcγRII (CD32) Modulates Antibody Clearance in NOD SCID Mice Leading to Impaired Antibody-Mediated Tumor Cell Deletion. </w:t>
      </w:r>
      <w:r w:rsidRPr="00902913">
        <w:rPr>
          <w:rFonts w:asciiTheme="minorHAnsi" w:hAnsiTheme="minorHAnsi" w:cstheme="minorHAnsi"/>
          <w:i/>
          <w:iCs/>
          <w:szCs w:val="24"/>
        </w:rPr>
        <w:t>J. Immunother. Cancer</w:t>
      </w:r>
      <w:r w:rsidRPr="00902913">
        <w:rPr>
          <w:rFonts w:asciiTheme="minorHAnsi" w:hAnsiTheme="minorHAnsi" w:cstheme="minorHAnsi"/>
          <w:szCs w:val="24"/>
        </w:rPr>
        <w:t xml:space="preserve"> </w:t>
      </w:r>
      <w:r w:rsidRPr="00902913">
        <w:rPr>
          <w:rFonts w:asciiTheme="minorHAnsi" w:hAnsiTheme="minorHAnsi" w:cstheme="minorHAnsi"/>
          <w:b/>
          <w:bCs/>
          <w:szCs w:val="24"/>
        </w:rPr>
        <w:t>2020</w:t>
      </w:r>
      <w:r w:rsidRPr="00902913">
        <w:rPr>
          <w:rFonts w:asciiTheme="minorHAnsi" w:hAnsiTheme="minorHAnsi" w:cstheme="minorHAnsi"/>
          <w:szCs w:val="24"/>
        </w:rPr>
        <w:t xml:space="preserve">, </w:t>
      </w:r>
      <w:r w:rsidRPr="00902913">
        <w:rPr>
          <w:rFonts w:asciiTheme="minorHAnsi" w:hAnsiTheme="minorHAnsi" w:cstheme="minorHAnsi"/>
          <w:i/>
          <w:iCs/>
          <w:szCs w:val="24"/>
        </w:rPr>
        <w:t>8</w:t>
      </w:r>
      <w:r w:rsidRPr="00902913">
        <w:rPr>
          <w:rFonts w:asciiTheme="minorHAnsi" w:hAnsiTheme="minorHAnsi" w:cstheme="minorHAnsi"/>
          <w:szCs w:val="24"/>
        </w:rPr>
        <w:t>, doi:10.1136/JITC-2020-000619.</w:t>
      </w:r>
    </w:p>
    <w:p w14:paraId="3B9C3E1F"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14. </w:t>
      </w:r>
      <w:r w:rsidRPr="00902913">
        <w:rPr>
          <w:rFonts w:asciiTheme="minorHAnsi" w:hAnsiTheme="minorHAnsi" w:cstheme="minorHAnsi"/>
          <w:szCs w:val="24"/>
        </w:rPr>
        <w:tab/>
        <w:t xml:space="preserve">Hanna, B.S.; Yazdanparast, H.; Demerdash, Y.; Roessner, P.M.; Schulz, R.; Lichter, P.; Stilgenbauer, S.; Seiffert, M. Combining Ibrutinib and Checkpoint Blockade Improves CD8+ T-Cell Function and Control of Chronic Lymphocytic Leukemia in E-TCL1 Mice. </w:t>
      </w:r>
      <w:r w:rsidRPr="00902913">
        <w:rPr>
          <w:rFonts w:asciiTheme="minorHAnsi" w:hAnsiTheme="minorHAnsi" w:cstheme="minorHAnsi"/>
          <w:i/>
          <w:iCs/>
          <w:szCs w:val="24"/>
        </w:rPr>
        <w:t>Haematologica</w:t>
      </w:r>
      <w:r w:rsidRPr="00902913">
        <w:rPr>
          <w:rFonts w:asciiTheme="minorHAnsi" w:hAnsiTheme="minorHAnsi" w:cstheme="minorHAnsi"/>
          <w:szCs w:val="24"/>
        </w:rPr>
        <w:t xml:space="preserve"> </w:t>
      </w:r>
      <w:r w:rsidRPr="00902913">
        <w:rPr>
          <w:rFonts w:asciiTheme="minorHAnsi" w:hAnsiTheme="minorHAnsi" w:cstheme="minorHAnsi"/>
          <w:b/>
          <w:bCs/>
          <w:szCs w:val="24"/>
        </w:rPr>
        <w:t>2021</w:t>
      </w:r>
      <w:r w:rsidRPr="00902913">
        <w:rPr>
          <w:rFonts w:asciiTheme="minorHAnsi" w:hAnsiTheme="minorHAnsi" w:cstheme="minorHAnsi"/>
          <w:szCs w:val="24"/>
        </w:rPr>
        <w:t xml:space="preserve">, </w:t>
      </w:r>
      <w:r w:rsidRPr="00902913">
        <w:rPr>
          <w:rFonts w:asciiTheme="minorHAnsi" w:hAnsiTheme="minorHAnsi" w:cstheme="minorHAnsi"/>
          <w:i/>
          <w:iCs/>
          <w:szCs w:val="24"/>
        </w:rPr>
        <w:t>106</w:t>
      </w:r>
      <w:r w:rsidRPr="00902913">
        <w:rPr>
          <w:rFonts w:asciiTheme="minorHAnsi" w:hAnsiTheme="minorHAnsi" w:cstheme="minorHAnsi"/>
          <w:szCs w:val="24"/>
        </w:rPr>
        <w:t>, 968, doi:10.3324/HAEMATOL.2019.238154.</w:t>
      </w:r>
    </w:p>
    <w:p w14:paraId="7407EE9F"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15. </w:t>
      </w:r>
      <w:r w:rsidRPr="00902913">
        <w:rPr>
          <w:rFonts w:asciiTheme="minorHAnsi" w:hAnsiTheme="minorHAnsi" w:cstheme="minorHAnsi"/>
          <w:szCs w:val="24"/>
        </w:rPr>
        <w:tab/>
        <w:t xml:space="preserve">Szenes, E.; Härzschel, A.; Decker, S.; Tissino, E.; Pischeli, J.; Gutjahr, J.C.; Kissel, S.; Pennisi, S.; Höpner, J.P.; Egle, A.; et al. TCL1 Transgenic Mice as a Model for CD49d-High Chronic Lymphocytic Leukemia. </w:t>
      </w:r>
      <w:r w:rsidRPr="00902913">
        <w:rPr>
          <w:rFonts w:asciiTheme="minorHAnsi" w:hAnsiTheme="minorHAnsi" w:cstheme="minorHAnsi"/>
          <w:i/>
          <w:iCs/>
          <w:szCs w:val="24"/>
        </w:rPr>
        <w:t>Leukemia</w:t>
      </w:r>
      <w:r w:rsidRPr="00902913">
        <w:rPr>
          <w:rFonts w:asciiTheme="minorHAnsi" w:hAnsiTheme="minorHAnsi" w:cstheme="minorHAnsi"/>
          <w:szCs w:val="24"/>
        </w:rPr>
        <w:t xml:space="preserve"> </w:t>
      </w:r>
      <w:r w:rsidRPr="00902913">
        <w:rPr>
          <w:rFonts w:asciiTheme="minorHAnsi" w:hAnsiTheme="minorHAnsi" w:cstheme="minorHAnsi"/>
          <w:b/>
          <w:bCs/>
          <w:szCs w:val="24"/>
        </w:rPr>
        <w:t>2020</w:t>
      </w:r>
      <w:r w:rsidRPr="00902913">
        <w:rPr>
          <w:rFonts w:asciiTheme="minorHAnsi" w:hAnsiTheme="minorHAnsi" w:cstheme="minorHAnsi"/>
          <w:szCs w:val="24"/>
        </w:rPr>
        <w:t xml:space="preserve">, </w:t>
      </w:r>
      <w:r w:rsidRPr="00902913">
        <w:rPr>
          <w:rFonts w:asciiTheme="minorHAnsi" w:hAnsiTheme="minorHAnsi" w:cstheme="minorHAnsi"/>
          <w:i/>
          <w:iCs/>
          <w:szCs w:val="24"/>
        </w:rPr>
        <w:t>34</w:t>
      </w:r>
      <w:r w:rsidRPr="00902913">
        <w:rPr>
          <w:rFonts w:asciiTheme="minorHAnsi" w:hAnsiTheme="minorHAnsi" w:cstheme="minorHAnsi"/>
          <w:szCs w:val="24"/>
        </w:rPr>
        <w:t>, 2498, doi:10.1038/S41375-020-0759-3.</w:t>
      </w:r>
    </w:p>
    <w:p w14:paraId="6F5A2EEA"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lastRenderedPageBreak/>
        <w:t xml:space="preserve">16. </w:t>
      </w:r>
      <w:r w:rsidRPr="00902913">
        <w:rPr>
          <w:rFonts w:asciiTheme="minorHAnsi" w:hAnsiTheme="minorHAnsi" w:cstheme="minorHAnsi"/>
          <w:szCs w:val="24"/>
        </w:rPr>
        <w:tab/>
        <w:t xml:space="preserve">Roessner, P.M.; Hanna, B.S.; Öztürk, S.; Schulz, R.; Llaó Cid, L.; Yazdanparast, H.; Scheffold, A.; Colomer, D.; Stilgenbauer, S.; Lichter, P.; et al. TBET‐expressing Th1 CD4 + T Cells Accumulate in Chronic Lymphocytic Leukaemia without Affecting Disease Progression in Eµ‐TCL1 Mice. </w:t>
      </w:r>
      <w:r w:rsidRPr="00902913">
        <w:rPr>
          <w:rFonts w:asciiTheme="minorHAnsi" w:hAnsiTheme="minorHAnsi" w:cstheme="minorHAnsi"/>
          <w:i/>
          <w:iCs/>
          <w:szCs w:val="24"/>
        </w:rPr>
        <w:t>Br. J. Haematol.</w:t>
      </w:r>
      <w:r w:rsidRPr="00902913">
        <w:rPr>
          <w:rFonts w:asciiTheme="minorHAnsi" w:hAnsiTheme="minorHAnsi" w:cstheme="minorHAnsi"/>
          <w:szCs w:val="24"/>
        </w:rPr>
        <w:t xml:space="preserve"> </w:t>
      </w:r>
      <w:r w:rsidRPr="00902913">
        <w:rPr>
          <w:rFonts w:asciiTheme="minorHAnsi" w:hAnsiTheme="minorHAnsi" w:cstheme="minorHAnsi"/>
          <w:b/>
          <w:bCs/>
          <w:szCs w:val="24"/>
        </w:rPr>
        <w:t>2020</w:t>
      </w:r>
      <w:r w:rsidRPr="00902913">
        <w:rPr>
          <w:rFonts w:asciiTheme="minorHAnsi" w:hAnsiTheme="minorHAnsi" w:cstheme="minorHAnsi"/>
          <w:szCs w:val="24"/>
        </w:rPr>
        <w:t xml:space="preserve">, </w:t>
      </w:r>
      <w:r w:rsidRPr="00902913">
        <w:rPr>
          <w:rFonts w:asciiTheme="minorHAnsi" w:hAnsiTheme="minorHAnsi" w:cstheme="minorHAnsi"/>
          <w:i/>
          <w:iCs/>
          <w:szCs w:val="24"/>
        </w:rPr>
        <w:t>189</w:t>
      </w:r>
      <w:r w:rsidRPr="00902913">
        <w:rPr>
          <w:rFonts w:asciiTheme="minorHAnsi" w:hAnsiTheme="minorHAnsi" w:cstheme="minorHAnsi"/>
          <w:szCs w:val="24"/>
        </w:rPr>
        <w:t>, 133–145, doi:10.1111/bjh.16316.</w:t>
      </w:r>
    </w:p>
    <w:p w14:paraId="71C6A93C"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17. </w:t>
      </w:r>
      <w:r w:rsidRPr="00902913">
        <w:rPr>
          <w:rFonts w:asciiTheme="minorHAnsi" w:hAnsiTheme="minorHAnsi" w:cstheme="minorHAnsi"/>
          <w:szCs w:val="24"/>
        </w:rPr>
        <w:tab/>
        <w:t xml:space="preserve">Asslaber, D.; Qi, Y.; Maeding, N.; Steiner, M.; Denk, U.; Höpner, J.P.; Hartmann, T.N.; Zaborsky, N.; Greil, R.; Egle, A. B-Cell–Specific IRF4 Deletion Accelerates Chronic Lymphocytic Leukemia Development by Enhanced Tumor Immune Evasion. </w:t>
      </w:r>
      <w:r w:rsidRPr="00902913">
        <w:rPr>
          <w:rFonts w:asciiTheme="minorHAnsi" w:hAnsiTheme="minorHAnsi" w:cstheme="minorHAnsi"/>
          <w:i/>
          <w:iCs/>
          <w:szCs w:val="24"/>
        </w:rPr>
        <w:t>Blood</w:t>
      </w:r>
      <w:r w:rsidRPr="00902913">
        <w:rPr>
          <w:rFonts w:asciiTheme="minorHAnsi" w:hAnsiTheme="minorHAnsi" w:cstheme="minorHAnsi"/>
          <w:szCs w:val="24"/>
        </w:rPr>
        <w:t xml:space="preserve"> </w:t>
      </w:r>
      <w:r w:rsidRPr="00902913">
        <w:rPr>
          <w:rFonts w:asciiTheme="minorHAnsi" w:hAnsiTheme="minorHAnsi" w:cstheme="minorHAnsi"/>
          <w:b/>
          <w:bCs/>
          <w:szCs w:val="24"/>
        </w:rPr>
        <w:t>2019</w:t>
      </w:r>
      <w:r w:rsidRPr="00902913">
        <w:rPr>
          <w:rFonts w:asciiTheme="minorHAnsi" w:hAnsiTheme="minorHAnsi" w:cstheme="minorHAnsi"/>
          <w:szCs w:val="24"/>
        </w:rPr>
        <w:t xml:space="preserve">, </w:t>
      </w:r>
      <w:r w:rsidRPr="00902913">
        <w:rPr>
          <w:rFonts w:asciiTheme="minorHAnsi" w:hAnsiTheme="minorHAnsi" w:cstheme="minorHAnsi"/>
          <w:i/>
          <w:iCs/>
          <w:szCs w:val="24"/>
        </w:rPr>
        <w:t>134</w:t>
      </w:r>
      <w:r w:rsidRPr="00902913">
        <w:rPr>
          <w:rFonts w:asciiTheme="minorHAnsi" w:hAnsiTheme="minorHAnsi" w:cstheme="minorHAnsi"/>
          <w:szCs w:val="24"/>
        </w:rPr>
        <w:t>, 1717, doi:10.1182/BLOOD.2019000973.</w:t>
      </w:r>
    </w:p>
    <w:p w14:paraId="6D576818"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18. </w:t>
      </w:r>
      <w:r w:rsidRPr="00902913">
        <w:rPr>
          <w:rFonts w:asciiTheme="minorHAnsi" w:hAnsiTheme="minorHAnsi" w:cstheme="minorHAnsi"/>
          <w:szCs w:val="24"/>
        </w:rPr>
        <w:tab/>
        <w:t xml:space="preserve">Llaó Cid, L.; Hanna, B.S.; Iskar, M.; Roessner, P.M.; Öztürk, S.; Lichter, P.; Zapatka, M.; Seiffert, M. CD8+ T-Cells of CLL-Bearing Mice Acquire a Transcriptional Program of T-Cell Activation and Exhaustion. </w:t>
      </w:r>
      <w:r w:rsidRPr="00902913">
        <w:rPr>
          <w:rFonts w:asciiTheme="minorHAnsi" w:hAnsiTheme="minorHAnsi" w:cstheme="minorHAnsi"/>
          <w:i/>
          <w:iCs/>
          <w:szCs w:val="24"/>
        </w:rPr>
        <w:t>Leuk. Lymphoma</w:t>
      </w:r>
      <w:r w:rsidRPr="00902913">
        <w:rPr>
          <w:rFonts w:asciiTheme="minorHAnsi" w:hAnsiTheme="minorHAnsi" w:cstheme="minorHAnsi"/>
          <w:szCs w:val="24"/>
        </w:rPr>
        <w:t xml:space="preserve"> </w:t>
      </w:r>
      <w:r w:rsidRPr="00902913">
        <w:rPr>
          <w:rFonts w:asciiTheme="minorHAnsi" w:hAnsiTheme="minorHAnsi" w:cstheme="minorHAnsi"/>
          <w:b/>
          <w:bCs/>
          <w:szCs w:val="24"/>
        </w:rPr>
        <w:t>2020</w:t>
      </w:r>
      <w:r w:rsidRPr="00902913">
        <w:rPr>
          <w:rFonts w:asciiTheme="minorHAnsi" w:hAnsiTheme="minorHAnsi" w:cstheme="minorHAnsi"/>
          <w:szCs w:val="24"/>
        </w:rPr>
        <w:t xml:space="preserve">, </w:t>
      </w:r>
      <w:r w:rsidRPr="00902913">
        <w:rPr>
          <w:rFonts w:asciiTheme="minorHAnsi" w:hAnsiTheme="minorHAnsi" w:cstheme="minorHAnsi"/>
          <w:i/>
          <w:iCs/>
          <w:szCs w:val="24"/>
        </w:rPr>
        <w:t>61</w:t>
      </w:r>
      <w:r w:rsidRPr="00902913">
        <w:rPr>
          <w:rFonts w:asciiTheme="minorHAnsi" w:hAnsiTheme="minorHAnsi" w:cstheme="minorHAnsi"/>
          <w:szCs w:val="24"/>
        </w:rPr>
        <w:t>, 351–356, doi:10.1080/10428194.2019.1660972.</w:t>
      </w:r>
    </w:p>
    <w:p w14:paraId="4D413FF4"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19. </w:t>
      </w:r>
      <w:r w:rsidRPr="00902913">
        <w:rPr>
          <w:rFonts w:asciiTheme="minorHAnsi" w:hAnsiTheme="minorHAnsi" w:cstheme="minorHAnsi"/>
          <w:szCs w:val="24"/>
        </w:rPr>
        <w:tab/>
        <w:t xml:space="preserve">Yigit, B.; Wang, N.; Hacken, E. ten; Chen, S.-S.; Bhan, A.K.; Suarez-Fueyo, A.; Katsuyama, E.; Tsokos, G.C.; Chiorazzi, N.; Wu, C.J.; et al. SLAMF6 as a Regulator of Exhausted CD8+ T Cells in Cancer. </w:t>
      </w:r>
      <w:r w:rsidRPr="00902913">
        <w:rPr>
          <w:rFonts w:asciiTheme="minorHAnsi" w:hAnsiTheme="minorHAnsi" w:cstheme="minorHAnsi"/>
          <w:i/>
          <w:iCs/>
          <w:szCs w:val="24"/>
        </w:rPr>
        <w:t>Cancer Immunol. Res.</w:t>
      </w:r>
      <w:r w:rsidRPr="00902913">
        <w:rPr>
          <w:rFonts w:asciiTheme="minorHAnsi" w:hAnsiTheme="minorHAnsi" w:cstheme="minorHAnsi"/>
          <w:szCs w:val="24"/>
        </w:rPr>
        <w:t xml:space="preserve"> </w:t>
      </w:r>
      <w:r w:rsidRPr="00902913">
        <w:rPr>
          <w:rFonts w:asciiTheme="minorHAnsi" w:hAnsiTheme="minorHAnsi" w:cstheme="minorHAnsi"/>
          <w:b/>
          <w:bCs/>
          <w:szCs w:val="24"/>
        </w:rPr>
        <w:t>2019</w:t>
      </w:r>
      <w:r w:rsidRPr="00902913">
        <w:rPr>
          <w:rFonts w:asciiTheme="minorHAnsi" w:hAnsiTheme="minorHAnsi" w:cstheme="minorHAnsi"/>
          <w:szCs w:val="24"/>
        </w:rPr>
        <w:t xml:space="preserve">, </w:t>
      </w:r>
      <w:r w:rsidRPr="00902913">
        <w:rPr>
          <w:rFonts w:asciiTheme="minorHAnsi" w:hAnsiTheme="minorHAnsi" w:cstheme="minorHAnsi"/>
          <w:i/>
          <w:iCs/>
          <w:szCs w:val="24"/>
        </w:rPr>
        <w:t>7</w:t>
      </w:r>
      <w:r w:rsidRPr="00902913">
        <w:rPr>
          <w:rFonts w:asciiTheme="minorHAnsi" w:hAnsiTheme="minorHAnsi" w:cstheme="minorHAnsi"/>
          <w:szCs w:val="24"/>
        </w:rPr>
        <w:t>, 1485–1496, doi:10.1158/2326-6066.CIR-18-0664.</w:t>
      </w:r>
    </w:p>
    <w:p w14:paraId="5B3F4862"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20. </w:t>
      </w:r>
      <w:r w:rsidRPr="00902913">
        <w:rPr>
          <w:rFonts w:asciiTheme="minorHAnsi" w:hAnsiTheme="minorHAnsi" w:cstheme="minorHAnsi"/>
          <w:szCs w:val="24"/>
        </w:rPr>
        <w:tab/>
        <w:t xml:space="preserve">Lucas, F.; Rogers, K.A.; Harrington, B.K.; Pan, A.; Yu, L.; Breitbach, J.; Bundschuh, R.; Goettl, V.M.; Hing, Z.A.; Kanga, P.; et al. Eµ-TCL1xMyc: A Novel Mouse Model for Concurrent CLL and B-Cell Lymphoma. </w:t>
      </w:r>
      <w:r w:rsidRPr="00902913">
        <w:rPr>
          <w:rFonts w:asciiTheme="minorHAnsi" w:hAnsiTheme="minorHAnsi" w:cstheme="minorHAnsi"/>
          <w:i/>
          <w:iCs/>
          <w:szCs w:val="24"/>
        </w:rPr>
        <w:t>Clin. Cancer Res.</w:t>
      </w:r>
      <w:r w:rsidRPr="00902913">
        <w:rPr>
          <w:rFonts w:asciiTheme="minorHAnsi" w:hAnsiTheme="minorHAnsi" w:cstheme="minorHAnsi"/>
          <w:szCs w:val="24"/>
        </w:rPr>
        <w:t xml:space="preserve"> </w:t>
      </w:r>
      <w:r w:rsidRPr="00902913">
        <w:rPr>
          <w:rFonts w:asciiTheme="minorHAnsi" w:hAnsiTheme="minorHAnsi" w:cstheme="minorHAnsi"/>
          <w:b/>
          <w:bCs/>
          <w:szCs w:val="24"/>
        </w:rPr>
        <w:t>2019</w:t>
      </w:r>
      <w:r w:rsidRPr="00902913">
        <w:rPr>
          <w:rFonts w:asciiTheme="minorHAnsi" w:hAnsiTheme="minorHAnsi" w:cstheme="minorHAnsi"/>
          <w:szCs w:val="24"/>
        </w:rPr>
        <w:t>, clincanres.0273.2019, doi:10.1158/1078-0432.ccr-19-0273.</w:t>
      </w:r>
    </w:p>
    <w:p w14:paraId="25C8C227"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21. </w:t>
      </w:r>
      <w:r w:rsidRPr="00902913">
        <w:rPr>
          <w:rFonts w:asciiTheme="minorHAnsi" w:hAnsiTheme="minorHAnsi" w:cstheme="minorHAnsi"/>
          <w:szCs w:val="24"/>
        </w:rPr>
        <w:tab/>
        <w:t xml:space="preserve">Griggio, V.; Vitale, C.; Todaro, M.; Riganti, C.; Kopecka, J.; Salvetti, C.; Bomben, R.; Bo, M.D.; Magliulo, D.; Rossi, D.; et al. HIF-1α Is over-Expressed in Leukemic Cells from TP53-Disrupted Patients and Is a Promising Therapeutic Target in Chronic Lymphocytic Leukemia. </w:t>
      </w:r>
      <w:r w:rsidRPr="00902913">
        <w:rPr>
          <w:rFonts w:asciiTheme="minorHAnsi" w:hAnsiTheme="minorHAnsi" w:cstheme="minorHAnsi"/>
          <w:i/>
          <w:iCs/>
          <w:szCs w:val="24"/>
        </w:rPr>
        <w:t>Haematologica</w:t>
      </w:r>
      <w:r w:rsidRPr="00902913">
        <w:rPr>
          <w:rFonts w:asciiTheme="minorHAnsi" w:hAnsiTheme="minorHAnsi" w:cstheme="minorHAnsi"/>
          <w:szCs w:val="24"/>
        </w:rPr>
        <w:t xml:space="preserve"> </w:t>
      </w:r>
      <w:r w:rsidRPr="00902913">
        <w:rPr>
          <w:rFonts w:asciiTheme="minorHAnsi" w:hAnsiTheme="minorHAnsi" w:cstheme="minorHAnsi"/>
          <w:b/>
          <w:bCs/>
          <w:szCs w:val="24"/>
        </w:rPr>
        <w:t>2020</w:t>
      </w:r>
      <w:r w:rsidRPr="00902913">
        <w:rPr>
          <w:rFonts w:asciiTheme="minorHAnsi" w:hAnsiTheme="minorHAnsi" w:cstheme="minorHAnsi"/>
          <w:szCs w:val="24"/>
        </w:rPr>
        <w:t xml:space="preserve">, </w:t>
      </w:r>
      <w:r w:rsidRPr="00902913">
        <w:rPr>
          <w:rFonts w:asciiTheme="minorHAnsi" w:hAnsiTheme="minorHAnsi" w:cstheme="minorHAnsi"/>
          <w:i/>
          <w:iCs/>
          <w:szCs w:val="24"/>
        </w:rPr>
        <w:t>105</w:t>
      </w:r>
      <w:r w:rsidRPr="00902913">
        <w:rPr>
          <w:rFonts w:asciiTheme="minorHAnsi" w:hAnsiTheme="minorHAnsi" w:cstheme="minorHAnsi"/>
          <w:szCs w:val="24"/>
        </w:rPr>
        <w:t>, 1042, doi:10.3324/HAEMATOL.2019.217430.</w:t>
      </w:r>
    </w:p>
    <w:p w14:paraId="21CD10E3"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22. </w:t>
      </w:r>
      <w:r w:rsidRPr="00902913">
        <w:rPr>
          <w:rFonts w:asciiTheme="minorHAnsi" w:hAnsiTheme="minorHAnsi" w:cstheme="minorHAnsi"/>
          <w:szCs w:val="24"/>
        </w:rPr>
        <w:tab/>
        <w:t xml:space="preserve">Schulze-Edinghausen, L.; Dürr, C.; Öztürk, S.; Zucknick, M.; Benner, A.; Kalter, V.; Ohl, S.; Close, V.; Wuchter, P.; Stilgenbauer, S.; et al. Dissecting the Prognostic Significance and Functional Role of Progranulin in Chronic Lymphocytic Leukemia. </w:t>
      </w:r>
      <w:r w:rsidRPr="00902913">
        <w:rPr>
          <w:rFonts w:asciiTheme="minorHAnsi" w:hAnsiTheme="minorHAnsi" w:cstheme="minorHAnsi"/>
          <w:i/>
          <w:iCs/>
          <w:szCs w:val="24"/>
        </w:rPr>
        <w:t>Cancers (Basel).</w:t>
      </w:r>
      <w:r w:rsidRPr="00902913">
        <w:rPr>
          <w:rFonts w:asciiTheme="minorHAnsi" w:hAnsiTheme="minorHAnsi" w:cstheme="minorHAnsi"/>
          <w:szCs w:val="24"/>
        </w:rPr>
        <w:t xml:space="preserve"> </w:t>
      </w:r>
      <w:r w:rsidRPr="00902913">
        <w:rPr>
          <w:rFonts w:asciiTheme="minorHAnsi" w:hAnsiTheme="minorHAnsi" w:cstheme="minorHAnsi"/>
          <w:b/>
          <w:bCs/>
          <w:szCs w:val="24"/>
        </w:rPr>
        <w:t>2019</w:t>
      </w:r>
      <w:r w:rsidRPr="00902913">
        <w:rPr>
          <w:rFonts w:asciiTheme="minorHAnsi" w:hAnsiTheme="minorHAnsi" w:cstheme="minorHAnsi"/>
          <w:szCs w:val="24"/>
        </w:rPr>
        <w:t xml:space="preserve">, </w:t>
      </w:r>
      <w:r w:rsidRPr="00902913">
        <w:rPr>
          <w:rFonts w:asciiTheme="minorHAnsi" w:hAnsiTheme="minorHAnsi" w:cstheme="minorHAnsi"/>
          <w:i/>
          <w:iCs/>
          <w:szCs w:val="24"/>
        </w:rPr>
        <w:t>11</w:t>
      </w:r>
      <w:r w:rsidRPr="00902913">
        <w:rPr>
          <w:rFonts w:asciiTheme="minorHAnsi" w:hAnsiTheme="minorHAnsi" w:cstheme="minorHAnsi"/>
          <w:szCs w:val="24"/>
        </w:rPr>
        <w:t>, doi:10.3390/CANCERS11060822.</w:t>
      </w:r>
    </w:p>
    <w:p w14:paraId="530D8937"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23. </w:t>
      </w:r>
      <w:r w:rsidRPr="00902913">
        <w:rPr>
          <w:rFonts w:asciiTheme="minorHAnsi" w:hAnsiTheme="minorHAnsi" w:cstheme="minorHAnsi"/>
          <w:szCs w:val="24"/>
        </w:rPr>
        <w:tab/>
        <w:t xml:space="preserve">Giménez, N.; Schulz, R.; Higashi, M.; Aymerich, M.; Villamor, N.; Delgado, J.; Juan, M.; López-Guerra, M.; Campo, E.; Rosich, L.; et al. Targeting IRAK4 Disrupts Inflammatory Pathways and Delays Tumor Development in Chronic Lymphocytic Leukemia. </w:t>
      </w:r>
      <w:r w:rsidRPr="00902913">
        <w:rPr>
          <w:rFonts w:asciiTheme="minorHAnsi" w:hAnsiTheme="minorHAnsi" w:cstheme="minorHAnsi"/>
          <w:i/>
          <w:iCs/>
          <w:szCs w:val="24"/>
        </w:rPr>
        <w:t>Leukemia</w:t>
      </w:r>
      <w:r w:rsidRPr="00902913">
        <w:rPr>
          <w:rFonts w:asciiTheme="minorHAnsi" w:hAnsiTheme="minorHAnsi" w:cstheme="minorHAnsi"/>
          <w:szCs w:val="24"/>
        </w:rPr>
        <w:t xml:space="preserve"> </w:t>
      </w:r>
      <w:r w:rsidRPr="00902913">
        <w:rPr>
          <w:rFonts w:asciiTheme="minorHAnsi" w:hAnsiTheme="minorHAnsi" w:cstheme="minorHAnsi"/>
          <w:b/>
          <w:bCs/>
          <w:szCs w:val="24"/>
        </w:rPr>
        <w:t>2020</w:t>
      </w:r>
      <w:r w:rsidRPr="00902913">
        <w:rPr>
          <w:rFonts w:asciiTheme="minorHAnsi" w:hAnsiTheme="minorHAnsi" w:cstheme="minorHAnsi"/>
          <w:szCs w:val="24"/>
        </w:rPr>
        <w:t xml:space="preserve">, </w:t>
      </w:r>
      <w:r w:rsidRPr="00902913">
        <w:rPr>
          <w:rFonts w:asciiTheme="minorHAnsi" w:hAnsiTheme="minorHAnsi" w:cstheme="minorHAnsi"/>
          <w:i/>
          <w:iCs/>
          <w:szCs w:val="24"/>
        </w:rPr>
        <w:t>34</w:t>
      </w:r>
      <w:r w:rsidRPr="00902913">
        <w:rPr>
          <w:rFonts w:asciiTheme="minorHAnsi" w:hAnsiTheme="minorHAnsi" w:cstheme="minorHAnsi"/>
          <w:szCs w:val="24"/>
        </w:rPr>
        <w:t>, 100, doi:10.1038/S41375-019-0507-8.</w:t>
      </w:r>
    </w:p>
    <w:p w14:paraId="4955D806"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24. </w:t>
      </w:r>
      <w:r w:rsidRPr="00902913">
        <w:rPr>
          <w:rFonts w:asciiTheme="minorHAnsi" w:hAnsiTheme="minorHAnsi" w:cstheme="minorHAnsi"/>
          <w:szCs w:val="24"/>
        </w:rPr>
        <w:tab/>
        <w:t xml:space="preserve">Chiang, C.-L.; Goswami, S.; Frissora, F.W.; Xie, Z.; Yan, P.S.; Bundschuh, R.; Walker, L.A.; Huang, X.; Mani, R.; Mo, X.M.; et al. ROR1-Targeted Delivery of MiR-29b Induces Cell Cycle Arrest and Therapeutic Benefit in Vivo in a CLL Mouse Model. </w:t>
      </w:r>
      <w:r w:rsidRPr="00902913">
        <w:rPr>
          <w:rFonts w:asciiTheme="minorHAnsi" w:hAnsiTheme="minorHAnsi" w:cstheme="minorHAnsi"/>
          <w:i/>
          <w:iCs/>
          <w:szCs w:val="24"/>
        </w:rPr>
        <w:t>Blood</w:t>
      </w:r>
      <w:r w:rsidRPr="00902913">
        <w:rPr>
          <w:rFonts w:asciiTheme="minorHAnsi" w:hAnsiTheme="minorHAnsi" w:cstheme="minorHAnsi"/>
          <w:szCs w:val="24"/>
        </w:rPr>
        <w:t xml:space="preserve"> </w:t>
      </w:r>
      <w:r w:rsidRPr="00902913">
        <w:rPr>
          <w:rFonts w:asciiTheme="minorHAnsi" w:hAnsiTheme="minorHAnsi" w:cstheme="minorHAnsi"/>
          <w:b/>
          <w:bCs/>
          <w:szCs w:val="24"/>
        </w:rPr>
        <w:t>2019</w:t>
      </w:r>
      <w:r w:rsidRPr="00902913">
        <w:rPr>
          <w:rFonts w:asciiTheme="minorHAnsi" w:hAnsiTheme="minorHAnsi" w:cstheme="minorHAnsi"/>
          <w:szCs w:val="24"/>
        </w:rPr>
        <w:t xml:space="preserve">, </w:t>
      </w:r>
      <w:r w:rsidRPr="00902913">
        <w:rPr>
          <w:rFonts w:asciiTheme="minorHAnsi" w:hAnsiTheme="minorHAnsi" w:cstheme="minorHAnsi"/>
          <w:i/>
          <w:iCs/>
          <w:szCs w:val="24"/>
        </w:rPr>
        <w:t>134</w:t>
      </w:r>
      <w:r w:rsidRPr="00902913">
        <w:rPr>
          <w:rFonts w:asciiTheme="minorHAnsi" w:hAnsiTheme="minorHAnsi" w:cstheme="minorHAnsi"/>
          <w:szCs w:val="24"/>
        </w:rPr>
        <w:t>, 432, doi:10.1182/BLOOD.2018882290.</w:t>
      </w:r>
    </w:p>
    <w:p w14:paraId="7D4D3E3C"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25. </w:t>
      </w:r>
      <w:r w:rsidRPr="00902913">
        <w:rPr>
          <w:rFonts w:asciiTheme="minorHAnsi" w:hAnsiTheme="minorHAnsi" w:cstheme="minorHAnsi"/>
          <w:szCs w:val="24"/>
        </w:rPr>
        <w:tab/>
        <w:t xml:space="preserve">Greene, J.T.; Mani, R.; Ramaswamy, R.; Frissora, F.; Yano, M.; Zapolnik, K.; Harrington, B.; Wasmuth, R.; Tran, M.; Mo, X.; et al. Par-4 Overexpression Impedes Leukemogenesis in the Eµ-TCL1 Leukemia Model through Downregulation of NF-ΚB Signaling. </w:t>
      </w:r>
      <w:r w:rsidRPr="00902913">
        <w:rPr>
          <w:rFonts w:asciiTheme="minorHAnsi" w:hAnsiTheme="minorHAnsi" w:cstheme="minorHAnsi"/>
          <w:i/>
          <w:iCs/>
          <w:szCs w:val="24"/>
        </w:rPr>
        <w:t>Blood Adv.</w:t>
      </w:r>
      <w:r w:rsidRPr="00902913">
        <w:rPr>
          <w:rFonts w:asciiTheme="minorHAnsi" w:hAnsiTheme="minorHAnsi" w:cstheme="minorHAnsi"/>
          <w:szCs w:val="24"/>
        </w:rPr>
        <w:t xml:space="preserve"> </w:t>
      </w:r>
      <w:r w:rsidRPr="00902913">
        <w:rPr>
          <w:rFonts w:asciiTheme="minorHAnsi" w:hAnsiTheme="minorHAnsi" w:cstheme="minorHAnsi"/>
          <w:b/>
          <w:bCs/>
          <w:szCs w:val="24"/>
        </w:rPr>
        <w:t>2019</w:t>
      </w:r>
      <w:r w:rsidRPr="00902913">
        <w:rPr>
          <w:rFonts w:asciiTheme="minorHAnsi" w:hAnsiTheme="minorHAnsi" w:cstheme="minorHAnsi"/>
          <w:szCs w:val="24"/>
        </w:rPr>
        <w:t xml:space="preserve">, </w:t>
      </w:r>
      <w:r w:rsidRPr="00902913">
        <w:rPr>
          <w:rFonts w:asciiTheme="minorHAnsi" w:hAnsiTheme="minorHAnsi" w:cstheme="minorHAnsi"/>
          <w:i/>
          <w:iCs/>
          <w:szCs w:val="24"/>
        </w:rPr>
        <w:t>3</w:t>
      </w:r>
      <w:r w:rsidRPr="00902913">
        <w:rPr>
          <w:rFonts w:asciiTheme="minorHAnsi" w:hAnsiTheme="minorHAnsi" w:cstheme="minorHAnsi"/>
          <w:szCs w:val="24"/>
        </w:rPr>
        <w:t>, 1255, doi:10.1182/BLOODADVANCES.2018025973.</w:t>
      </w:r>
    </w:p>
    <w:p w14:paraId="17597EC2"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26. </w:t>
      </w:r>
      <w:r w:rsidRPr="00902913">
        <w:rPr>
          <w:rFonts w:asciiTheme="minorHAnsi" w:hAnsiTheme="minorHAnsi" w:cstheme="minorHAnsi"/>
          <w:szCs w:val="24"/>
        </w:rPr>
        <w:tab/>
        <w:t xml:space="preserve">Hanna, B.S.; Roessner, P.M.; Scheffold, A.; Jebaraj, B.M.C.; Demerdash, Y.; Öztürk, S.; Lichter, P.; </w:t>
      </w:r>
      <w:r w:rsidRPr="00902913">
        <w:rPr>
          <w:rFonts w:asciiTheme="minorHAnsi" w:hAnsiTheme="minorHAnsi" w:cstheme="minorHAnsi"/>
          <w:szCs w:val="24"/>
        </w:rPr>
        <w:lastRenderedPageBreak/>
        <w:t xml:space="preserve">Stilgenbauer, S.; Seiffert, M. PI3Kδ Inhibition Modulates Regulatory and Effector T-Cell Differentiation and Function in Chronic Lymphocytic Leukemia. </w:t>
      </w:r>
      <w:r w:rsidRPr="00902913">
        <w:rPr>
          <w:rFonts w:asciiTheme="minorHAnsi" w:hAnsiTheme="minorHAnsi" w:cstheme="minorHAnsi"/>
          <w:i/>
          <w:iCs/>
          <w:szCs w:val="24"/>
        </w:rPr>
        <w:t>Leukemia</w:t>
      </w:r>
      <w:r w:rsidRPr="00902913">
        <w:rPr>
          <w:rFonts w:asciiTheme="minorHAnsi" w:hAnsiTheme="minorHAnsi" w:cstheme="minorHAnsi"/>
          <w:szCs w:val="24"/>
        </w:rPr>
        <w:t xml:space="preserve"> </w:t>
      </w:r>
      <w:r w:rsidRPr="00902913">
        <w:rPr>
          <w:rFonts w:asciiTheme="minorHAnsi" w:hAnsiTheme="minorHAnsi" w:cstheme="minorHAnsi"/>
          <w:b/>
          <w:bCs/>
          <w:szCs w:val="24"/>
        </w:rPr>
        <w:t>2019</w:t>
      </w:r>
      <w:r w:rsidRPr="00902913">
        <w:rPr>
          <w:rFonts w:asciiTheme="minorHAnsi" w:hAnsiTheme="minorHAnsi" w:cstheme="minorHAnsi"/>
          <w:szCs w:val="24"/>
        </w:rPr>
        <w:t xml:space="preserve">, </w:t>
      </w:r>
      <w:r w:rsidRPr="00902913">
        <w:rPr>
          <w:rFonts w:asciiTheme="minorHAnsi" w:hAnsiTheme="minorHAnsi" w:cstheme="minorHAnsi"/>
          <w:i/>
          <w:iCs/>
          <w:szCs w:val="24"/>
        </w:rPr>
        <w:t>33</w:t>
      </w:r>
      <w:r w:rsidRPr="00902913">
        <w:rPr>
          <w:rFonts w:asciiTheme="minorHAnsi" w:hAnsiTheme="minorHAnsi" w:cstheme="minorHAnsi"/>
          <w:szCs w:val="24"/>
        </w:rPr>
        <w:t>, 1427–1438, doi:10.1038/s41375-018-0318-3.</w:t>
      </w:r>
    </w:p>
    <w:p w14:paraId="5F608ECC"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27. </w:t>
      </w:r>
      <w:r w:rsidRPr="00902913">
        <w:rPr>
          <w:rFonts w:asciiTheme="minorHAnsi" w:hAnsiTheme="minorHAnsi" w:cstheme="minorHAnsi"/>
          <w:szCs w:val="24"/>
        </w:rPr>
        <w:tab/>
        <w:t xml:space="preserve">Lee-Vergés, E.; Hanna, B.S.; Yazdanparast, H.; Rodríguez, V.; Rodríguez, M.L.; Giró, A.; Vidal-Crespo, A.; Rosich, L.; Amador, V.; Aymerich, M.; et al. Selective BTK Inhibition Improves Bendamustine Therapy Response and Normalizes Immune Effector Functions in Chronic Lymphocytic Leukemia. </w:t>
      </w:r>
      <w:r w:rsidRPr="00902913">
        <w:rPr>
          <w:rFonts w:asciiTheme="minorHAnsi" w:hAnsiTheme="minorHAnsi" w:cstheme="minorHAnsi"/>
          <w:i/>
          <w:iCs/>
          <w:szCs w:val="24"/>
        </w:rPr>
        <w:t>Int. J. Cancer</w:t>
      </w:r>
      <w:r w:rsidRPr="00902913">
        <w:rPr>
          <w:rFonts w:asciiTheme="minorHAnsi" w:hAnsiTheme="minorHAnsi" w:cstheme="minorHAnsi"/>
          <w:szCs w:val="24"/>
        </w:rPr>
        <w:t xml:space="preserve"> </w:t>
      </w:r>
      <w:r w:rsidRPr="00902913">
        <w:rPr>
          <w:rFonts w:asciiTheme="minorHAnsi" w:hAnsiTheme="minorHAnsi" w:cstheme="minorHAnsi"/>
          <w:b/>
          <w:bCs/>
          <w:szCs w:val="24"/>
        </w:rPr>
        <w:t>2019</w:t>
      </w:r>
      <w:r w:rsidRPr="00902913">
        <w:rPr>
          <w:rFonts w:asciiTheme="minorHAnsi" w:hAnsiTheme="minorHAnsi" w:cstheme="minorHAnsi"/>
          <w:szCs w:val="24"/>
        </w:rPr>
        <w:t xml:space="preserve">, </w:t>
      </w:r>
      <w:r w:rsidRPr="00902913">
        <w:rPr>
          <w:rFonts w:asciiTheme="minorHAnsi" w:hAnsiTheme="minorHAnsi" w:cstheme="minorHAnsi"/>
          <w:i/>
          <w:iCs/>
          <w:szCs w:val="24"/>
        </w:rPr>
        <w:t>144</w:t>
      </w:r>
      <w:r w:rsidRPr="00902913">
        <w:rPr>
          <w:rFonts w:asciiTheme="minorHAnsi" w:hAnsiTheme="minorHAnsi" w:cstheme="minorHAnsi"/>
          <w:szCs w:val="24"/>
        </w:rPr>
        <w:t>, 2762–2773, doi:10.1002/IJC.32010.</w:t>
      </w:r>
    </w:p>
    <w:p w14:paraId="16531C67"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28. </w:t>
      </w:r>
      <w:r w:rsidRPr="00902913">
        <w:rPr>
          <w:rFonts w:asciiTheme="minorHAnsi" w:hAnsiTheme="minorHAnsi" w:cstheme="minorHAnsi"/>
          <w:szCs w:val="24"/>
        </w:rPr>
        <w:tab/>
        <w:t xml:space="preserve">Dong, S.; Harrington, B.K.; Hu, E.Y.; Greene, J.T.; Lehman, A.M.; Tran, M.; Wasmuth, R.L.; Long, M.; Muthusamy, N.; Brown, J.R.; et al. PI3K P110δ Inactivation Antagonizes Chronic Lymphocytic Leukemia and Reverses T Cell Immune Suppression. </w:t>
      </w:r>
      <w:r w:rsidRPr="00902913">
        <w:rPr>
          <w:rFonts w:asciiTheme="minorHAnsi" w:hAnsiTheme="minorHAnsi" w:cstheme="minorHAnsi"/>
          <w:i/>
          <w:iCs/>
          <w:szCs w:val="24"/>
        </w:rPr>
        <w:t>J. Clin. Invest.</w:t>
      </w:r>
      <w:r w:rsidRPr="00902913">
        <w:rPr>
          <w:rFonts w:asciiTheme="minorHAnsi" w:hAnsiTheme="minorHAnsi" w:cstheme="minorHAnsi"/>
          <w:szCs w:val="24"/>
        </w:rPr>
        <w:t xml:space="preserve"> </w:t>
      </w:r>
      <w:r w:rsidRPr="00902913">
        <w:rPr>
          <w:rFonts w:asciiTheme="minorHAnsi" w:hAnsiTheme="minorHAnsi" w:cstheme="minorHAnsi"/>
          <w:b/>
          <w:bCs/>
          <w:szCs w:val="24"/>
        </w:rPr>
        <w:t>2019</w:t>
      </w:r>
      <w:r w:rsidRPr="00902913">
        <w:rPr>
          <w:rFonts w:asciiTheme="minorHAnsi" w:hAnsiTheme="minorHAnsi" w:cstheme="minorHAnsi"/>
          <w:szCs w:val="24"/>
        </w:rPr>
        <w:t xml:space="preserve">, </w:t>
      </w:r>
      <w:r w:rsidRPr="00902913">
        <w:rPr>
          <w:rFonts w:asciiTheme="minorHAnsi" w:hAnsiTheme="minorHAnsi" w:cstheme="minorHAnsi"/>
          <w:i/>
          <w:iCs/>
          <w:szCs w:val="24"/>
        </w:rPr>
        <w:t>129</w:t>
      </w:r>
      <w:r w:rsidRPr="00902913">
        <w:rPr>
          <w:rFonts w:asciiTheme="minorHAnsi" w:hAnsiTheme="minorHAnsi" w:cstheme="minorHAnsi"/>
          <w:szCs w:val="24"/>
        </w:rPr>
        <w:t>, 122–136, doi:10.1172/JCI99386.</w:t>
      </w:r>
    </w:p>
    <w:p w14:paraId="0D754B4D"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29. </w:t>
      </w:r>
      <w:r w:rsidRPr="00902913">
        <w:rPr>
          <w:rFonts w:asciiTheme="minorHAnsi" w:hAnsiTheme="minorHAnsi" w:cstheme="minorHAnsi"/>
          <w:szCs w:val="24"/>
        </w:rPr>
        <w:tab/>
        <w:t xml:space="preserve">Rehm, A.; Wirges, A.; Hoser, D.; Fischer, C.; Herda, S.; Gerlach, K.; Sauer, S.; Willimsky, G.; Höpken, U.E. EBAG9 Controls CD8+ T Cell Memory Formation Responding to Tumor Challenge in Mice. </w:t>
      </w:r>
      <w:r w:rsidRPr="00902913">
        <w:rPr>
          <w:rFonts w:asciiTheme="minorHAnsi" w:hAnsiTheme="minorHAnsi" w:cstheme="minorHAnsi"/>
          <w:i/>
          <w:iCs/>
          <w:szCs w:val="24"/>
        </w:rPr>
        <w:t>JCI Insight</w:t>
      </w:r>
      <w:r w:rsidRPr="00902913">
        <w:rPr>
          <w:rFonts w:asciiTheme="minorHAnsi" w:hAnsiTheme="minorHAnsi" w:cstheme="minorHAnsi"/>
          <w:szCs w:val="24"/>
        </w:rPr>
        <w:t xml:space="preserve"> </w:t>
      </w:r>
      <w:r w:rsidRPr="00902913">
        <w:rPr>
          <w:rFonts w:asciiTheme="minorHAnsi" w:hAnsiTheme="minorHAnsi" w:cstheme="minorHAnsi"/>
          <w:b/>
          <w:bCs/>
          <w:szCs w:val="24"/>
        </w:rPr>
        <w:t>2022</w:t>
      </w:r>
      <w:r w:rsidRPr="00902913">
        <w:rPr>
          <w:rFonts w:asciiTheme="minorHAnsi" w:hAnsiTheme="minorHAnsi" w:cstheme="minorHAnsi"/>
          <w:szCs w:val="24"/>
        </w:rPr>
        <w:t>, doi:10.1172/JCI.INSIGHT.155534.</w:t>
      </w:r>
    </w:p>
    <w:p w14:paraId="67D67F12"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30. </w:t>
      </w:r>
      <w:r w:rsidRPr="00902913">
        <w:rPr>
          <w:rFonts w:asciiTheme="minorHAnsi" w:hAnsiTheme="minorHAnsi" w:cstheme="minorHAnsi"/>
          <w:szCs w:val="24"/>
        </w:rPr>
        <w:tab/>
        <w:t xml:space="preserve">Goral, A.; Firczuk, M.; Fidyt, K.; Sledz, M.; Simoncello, F.; Siudakowska, K.; Pagano, G.; Moussay, E.; Paggetti, J.; Nowakowska, P.; et al. A Specific CD44lo CD25lo Subpopulation of Regulatory T Cells Inhibits Anti-Leukemic Immune Response and Promotes the Progression in a Mouse Model of Chronic Lymphocytic Leukemia. </w:t>
      </w:r>
      <w:r w:rsidRPr="00902913">
        <w:rPr>
          <w:rFonts w:asciiTheme="minorHAnsi" w:hAnsiTheme="minorHAnsi" w:cstheme="minorHAnsi"/>
          <w:i/>
          <w:iCs/>
          <w:szCs w:val="24"/>
        </w:rPr>
        <w:t>Front. Immunol.</w:t>
      </w:r>
      <w:r w:rsidRPr="00902913">
        <w:rPr>
          <w:rFonts w:asciiTheme="minorHAnsi" w:hAnsiTheme="minorHAnsi" w:cstheme="minorHAnsi"/>
          <w:szCs w:val="24"/>
        </w:rPr>
        <w:t xml:space="preserve"> </w:t>
      </w:r>
      <w:r w:rsidRPr="00902913">
        <w:rPr>
          <w:rFonts w:asciiTheme="minorHAnsi" w:hAnsiTheme="minorHAnsi" w:cstheme="minorHAnsi"/>
          <w:b/>
          <w:bCs/>
          <w:szCs w:val="24"/>
        </w:rPr>
        <w:t>2022</w:t>
      </w:r>
      <w:r w:rsidRPr="00902913">
        <w:rPr>
          <w:rFonts w:asciiTheme="minorHAnsi" w:hAnsiTheme="minorHAnsi" w:cstheme="minorHAnsi"/>
          <w:szCs w:val="24"/>
        </w:rPr>
        <w:t xml:space="preserve">, </w:t>
      </w:r>
      <w:r w:rsidRPr="00902913">
        <w:rPr>
          <w:rFonts w:asciiTheme="minorHAnsi" w:hAnsiTheme="minorHAnsi" w:cstheme="minorHAnsi"/>
          <w:i/>
          <w:iCs/>
          <w:szCs w:val="24"/>
        </w:rPr>
        <w:t>13</w:t>
      </w:r>
      <w:r w:rsidRPr="00902913">
        <w:rPr>
          <w:rFonts w:asciiTheme="minorHAnsi" w:hAnsiTheme="minorHAnsi" w:cstheme="minorHAnsi"/>
          <w:szCs w:val="24"/>
        </w:rPr>
        <w:t>, 781364, doi:10.3389/FIMMU.2022.781364/FULL.</w:t>
      </w:r>
    </w:p>
    <w:p w14:paraId="2AD5B4ED"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szCs w:val="24"/>
        </w:rPr>
      </w:pPr>
      <w:r w:rsidRPr="00902913">
        <w:rPr>
          <w:rFonts w:asciiTheme="minorHAnsi" w:hAnsiTheme="minorHAnsi" w:cstheme="minorHAnsi"/>
          <w:szCs w:val="24"/>
        </w:rPr>
        <w:t xml:space="preserve">31. </w:t>
      </w:r>
      <w:r w:rsidRPr="00902913">
        <w:rPr>
          <w:rFonts w:asciiTheme="minorHAnsi" w:hAnsiTheme="minorHAnsi" w:cstheme="minorHAnsi"/>
          <w:szCs w:val="24"/>
        </w:rPr>
        <w:tab/>
        <w:t xml:space="preserve">Collard, J.P.; McKenna, M.K.; Noothi, S.K.; Alhakeem, S.S.; Rivas, J.R.; Rangnekar, V.M.; Muthusamy, N.; Bondada, S. Role of the Splenic Microenvironment in Chronic Lymphocytic Leukemia Development in Eµ-TCL1 Transgenic Mice. </w:t>
      </w:r>
      <w:r w:rsidRPr="00902913">
        <w:rPr>
          <w:rFonts w:asciiTheme="minorHAnsi" w:hAnsiTheme="minorHAnsi" w:cstheme="minorHAnsi"/>
          <w:i/>
          <w:iCs/>
          <w:szCs w:val="24"/>
        </w:rPr>
        <w:t>Leuk. Lymphoma</w:t>
      </w:r>
      <w:r w:rsidRPr="00902913">
        <w:rPr>
          <w:rFonts w:asciiTheme="minorHAnsi" w:hAnsiTheme="minorHAnsi" w:cstheme="minorHAnsi"/>
          <w:szCs w:val="24"/>
        </w:rPr>
        <w:t xml:space="preserve"> </w:t>
      </w:r>
      <w:r w:rsidRPr="00902913">
        <w:rPr>
          <w:rFonts w:asciiTheme="minorHAnsi" w:hAnsiTheme="minorHAnsi" w:cstheme="minorHAnsi"/>
          <w:b/>
          <w:bCs/>
          <w:szCs w:val="24"/>
        </w:rPr>
        <w:t>2022</w:t>
      </w:r>
      <w:r w:rsidRPr="00902913">
        <w:rPr>
          <w:rFonts w:asciiTheme="minorHAnsi" w:hAnsiTheme="minorHAnsi" w:cstheme="minorHAnsi"/>
          <w:szCs w:val="24"/>
        </w:rPr>
        <w:t>, doi:10.1080/10428194.2022.2045596/SUPPL_FILE/ILAL_A_2045596_SM5739.DOCX.</w:t>
      </w:r>
    </w:p>
    <w:p w14:paraId="638AA457" w14:textId="77777777" w:rsidR="00D85873" w:rsidRPr="00902913" w:rsidRDefault="00D85873" w:rsidP="00D85873">
      <w:pPr>
        <w:widowControl w:val="0"/>
        <w:autoSpaceDE w:val="0"/>
        <w:autoSpaceDN w:val="0"/>
        <w:adjustRightInd w:val="0"/>
        <w:spacing w:line="240" w:lineRule="atLeast"/>
        <w:ind w:left="640" w:hanging="640"/>
        <w:rPr>
          <w:rFonts w:asciiTheme="minorHAnsi" w:hAnsiTheme="minorHAnsi" w:cstheme="minorHAnsi"/>
        </w:rPr>
      </w:pPr>
      <w:r w:rsidRPr="00902913">
        <w:rPr>
          <w:rFonts w:asciiTheme="minorHAnsi" w:hAnsiTheme="minorHAnsi" w:cstheme="minorHAnsi"/>
          <w:szCs w:val="24"/>
        </w:rPr>
        <w:t xml:space="preserve">32. </w:t>
      </w:r>
      <w:r w:rsidRPr="00902913">
        <w:rPr>
          <w:rFonts w:asciiTheme="minorHAnsi" w:hAnsiTheme="minorHAnsi" w:cstheme="minorHAnsi"/>
          <w:szCs w:val="24"/>
        </w:rPr>
        <w:tab/>
        <w:t xml:space="preserve">Kater, A.P.; Slinger, E.; Cretenet, G.; Martens, A.W.J.; Balasubramanian, S.; Leverson, J.; Eldering, E. Combined Ibrutinib and Venetoclax Treatment vs Single Agents in the TCL1 Mouse Model for Chronic Lymphocytic Leukemia. </w:t>
      </w:r>
      <w:r w:rsidRPr="00902913">
        <w:rPr>
          <w:rFonts w:asciiTheme="minorHAnsi" w:hAnsiTheme="minorHAnsi" w:cstheme="minorHAnsi"/>
          <w:i/>
          <w:iCs/>
          <w:szCs w:val="24"/>
        </w:rPr>
        <w:t>Blood Adv.</w:t>
      </w:r>
      <w:r w:rsidRPr="00902913">
        <w:rPr>
          <w:rFonts w:asciiTheme="minorHAnsi" w:hAnsiTheme="minorHAnsi" w:cstheme="minorHAnsi"/>
          <w:szCs w:val="24"/>
        </w:rPr>
        <w:t xml:space="preserve"> </w:t>
      </w:r>
      <w:r w:rsidRPr="00902913">
        <w:rPr>
          <w:rFonts w:asciiTheme="minorHAnsi" w:hAnsiTheme="minorHAnsi" w:cstheme="minorHAnsi"/>
          <w:b/>
          <w:bCs/>
          <w:szCs w:val="24"/>
        </w:rPr>
        <w:t>2021</w:t>
      </w:r>
      <w:r w:rsidRPr="00902913">
        <w:rPr>
          <w:rFonts w:asciiTheme="minorHAnsi" w:hAnsiTheme="minorHAnsi" w:cstheme="minorHAnsi"/>
          <w:szCs w:val="24"/>
        </w:rPr>
        <w:t>, doi:10.1182/bloodadvances.2021004861.</w:t>
      </w:r>
    </w:p>
    <w:p w14:paraId="4BFD3577" w14:textId="3176C532" w:rsidR="006D1734" w:rsidRPr="00902913" w:rsidRDefault="00D85873">
      <w:pPr>
        <w:rPr>
          <w:rFonts w:asciiTheme="minorHAnsi" w:hAnsiTheme="minorHAnsi" w:cstheme="minorHAnsi"/>
        </w:rPr>
      </w:pPr>
      <w:r w:rsidRPr="00902913">
        <w:rPr>
          <w:rFonts w:asciiTheme="minorHAnsi" w:hAnsiTheme="minorHAnsi" w:cstheme="minorHAnsi"/>
        </w:rPr>
        <w:fldChar w:fldCharType="end"/>
      </w:r>
    </w:p>
    <w:sectPr w:rsidR="006D1734" w:rsidRPr="00902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369"/>
    <w:rsid w:val="000C5525"/>
    <w:rsid w:val="00101369"/>
    <w:rsid w:val="00104DB1"/>
    <w:rsid w:val="003C6F6F"/>
    <w:rsid w:val="00436D18"/>
    <w:rsid w:val="004746F9"/>
    <w:rsid w:val="006D1734"/>
    <w:rsid w:val="00902913"/>
    <w:rsid w:val="00D85873"/>
    <w:rsid w:val="00DF7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4652"/>
  <w15:chartTrackingRefBased/>
  <w15:docId w15:val="{1B12E64A-A6BA-4A9A-81FF-C6C038CE5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369"/>
    <w:pPr>
      <w:spacing w:after="0" w:line="260" w:lineRule="atLeast"/>
      <w:jc w:val="both"/>
    </w:pPr>
    <w:rPr>
      <w:rFonts w:ascii="Palatino Linotype" w:eastAsia="SimSun" w:hAnsi="Palatino Linotype" w:cs="Times New Roman"/>
      <w:noProof/>
      <w:color w:val="000000"/>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1369"/>
    <w:pPr>
      <w:spacing w:after="0"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10136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42tablebody">
    <w:name w:val="MDPI_4.2_table_body"/>
    <w:qFormat/>
    <w:rsid w:val="00101369"/>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52figure">
    <w:name w:val="MDPI_5.2_figure"/>
    <w:qFormat/>
    <w:rsid w:val="00101369"/>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character" w:customStyle="1" w:styleId="apple-converted-space">
    <w:name w:val="apple-converted-space"/>
    <w:rsid w:val="00101369"/>
  </w:style>
  <w:style w:type="character" w:styleId="Emphasis">
    <w:name w:val="Emphasis"/>
    <w:basedOn w:val="DefaultParagraphFont"/>
    <w:uiPriority w:val="20"/>
    <w:qFormat/>
    <w:rsid w:val="00101369"/>
    <w:rPr>
      <w:i/>
      <w:iCs/>
    </w:rPr>
  </w:style>
  <w:style w:type="character" w:styleId="Strong">
    <w:name w:val="Strong"/>
    <w:basedOn w:val="DefaultParagraphFont"/>
    <w:uiPriority w:val="22"/>
    <w:qFormat/>
    <w:rsid w:val="003C6F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D39F065B05E947A3CF5130D40AFF3A" ma:contentTypeVersion="11" ma:contentTypeDescription="Create a new document." ma:contentTypeScope="" ma:versionID="ec9cb581bb53a2e6fb2da587b0a23d1f">
  <xsd:schema xmlns:xsd="http://www.w3.org/2001/XMLSchema" xmlns:xs="http://www.w3.org/2001/XMLSchema" xmlns:p="http://schemas.microsoft.com/office/2006/metadata/properties" xmlns:ns3="5cb6f740-00d5-4629-8b86-9788253a1b3a" xmlns:ns4="06b45493-eb96-4a18-b455-5c9817320831" targetNamespace="http://schemas.microsoft.com/office/2006/metadata/properties" ma:root="true" ma:fieldsID="4556a131368e61b55cc3ccde94ec5705" ns3:_="" ns4:_="">
    <xsd:import namespace="5cb6f740-00d5-4629-8b86-9788253a1b3a"/>
    <xsd:import namespace="06b45493-eb96-4a18-b455-5c981732083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6f740-00d5-4629-8b86-9788253a1b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b45493-eb96-4a18-b455-5c98173208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580AB-9333-412A-BF25-7B6A50BA3A6F}">
  <ds:schemaRefs>
    <ds:schemaRef ds:uri="http://schemas.microsoft.com/sharepoint/v3/contenttype/forms"/>
  </ds:schemaRefs>
</ds:datastoreItem>
</file>

<file path=customXml/itemProps2.xml><?xml version="1.0" encoding="utf-8"?>
<ds:datastoreItem xmlns:ds="http://schemas.openxmlformats.org/officeDocument/2006/customXml" ds:itemID="{63CC30F8-FA41-4B6B-81D0-5C02C4126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6f740-00d5-4629-8b86-9788253a1b3a"/>
    <ds:schemaRef ds:uri="06b45493-eb96-4a18-b455-5c9817320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6C3112-BFED-431E-8D21-58A8B593D0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8D7D6C-6920-4451-AF92-2462EF84C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19751</Words>
  <Characters>112583</Characters>
  <Application>Microsoft Office Word</Application>
  <DocSecurity>0</DocSecurity>
  <Lines>938</Lines>
  <Paragraphs>264</Paragraphs>
  <ScaleCrop>false</ScaleCrop>
  <Company>University of Cincinnati</Company>
  <LinksUpToDate>false</LinksUpToDate>
  <CharactersWithSpaces>132070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Sharpe, Chia (sharpeci)</dc:creator>
  <cp:keywords/>
  <dc:description/>
  <cp:lastModifiedBy>Sharpe, Chia (sharpeci)</cp:lastModifiedBy>
  <cp:revision>7</cp:revision>
  <dcterms:created xsi:type="dcterms:W3CDTF">2022-08-05T22:22:00Z</dcterms:created>
  <dcterms:modified xsi:type="dcterms:W3CDTF">2022-09-23T02:33:00Z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0x010100D0D39F065B05E947A3CF5130D40AFF3A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http://www.zotero.org/styles/cancers</vt:lpwstr>
  </property>
  <property fmtid="{D5CDD505-2E9C-101B-9397-08002B2CF9AE}" pid="10" name="Mendeley Recent Style Name 3_1">
    <vt:lpwstr>Cancers</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5c462dc7-1c5c-3291-9e96-02f97cb975e9</vt:lpwstr>
  </property>
  <property fmtid="{D5CDD505-2E9C-101B-9397-08002B2CF9AE}" pid="25" name="Mendeley Citation Style_1">
    <vt:lpwstr>http://www.zotero.org/styles/cancers</vt:lpwstr>
  </property>
</Properties>
</file>