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6D3FB" w14:textId="63ABF633" w:rsidR="00484859" w:rsidRPr="00484859" w:rsidRDefault="00484859" w:rsidP="00484859">
      <w:pPr>
        <w:spacing w:after="0" w:line="360" w:lineRule="auto"/>
        <w:jc w:val="center"/>
        <w:rPr>
          <w:rFonts w:ascii="Arial" w:hAnsi="Arial" w:cs="Arial"/>
          <w:b/>
          <w:bCs/>
          <w:sz w:val="28"/>
          <w:szCs w:val="28"/>
        </w:rPr>
      </w:pPr>
      <w:r w:rsidRPr="00484859">
        <w:rPr>
          <w:rFonts w:ascii="Arial" w:hAnsi="Arial" w:cs="Arial"/>
          <w:b/>
          <w:bCs/>
          <w:sz w:val="28"/>
          <w:szCs w:val="28"/>
        </w:rPr>
        <w:t>Supplementary Information</w:t>
      </w:r>
    </w:p>
    <w:p w14:paraId="5710F850" w14:textId="77777777" w:rsidR="00484859" w:rsidRPr="00484859" w:rsidRDefault="00484859" w:rsidP="00484859">
      <w:pPr>
        <w:spacing w:after="0" w:line="360" w:lineRule="auto"/>
        <w:jc w:val="center"/>
        <w:rPr>
          <w:rFonts w:ascii="Arial" w:hAnsi="Arial" w:cs="Arial"/>
          <w:b/>
          <w:bCs/>
          <w:sz w:val="28"/>
          <w:szCs w:val="28"/>
        </w:rPr>
      </w:pPr>
    </w:p>
    <w:p w14:paraId="1B4D79EA" w14:textId="77777777" w:rsidR="00E1690D" w:rsidRDefault="00E1690D" w:rsidP="000B0CFF">
      <w:pPr>
        <w:spacing w:after="0" w:line="480" w:lineRule="auto"/>
        <w:jc w:val="center"/>
        <w:rPr>
          <w:rFonts w:ascii="Arial" w:hAnsi="Arial" w:cs="Arial"/>
          <w:b/>
          <w:sz w:val="28"/>
          <w:szCs w:val="28"/>
        </w:rPr>
      </w:pPr>
      <w:r w:rsidRPr="00E1690D">
        <w:rPr>
          <w:rFonts w:ascii="Arial" w:hAnsi="Arial" w:cs="Arial"/>
          <w:b/>
          <w:sz w:val="28"/>
          <w:szCs w:val="28"/>
        </w:rPr>
        <w:t>Novel surface nanoengineering technology for the removal of sulfur compounds associated with negative attributes in wines</w:t>
      </w:r>
    </w:p>
    <w:p w14:paraId="4B1F1CA3" w14:textId="47BAACDE" w:rsidR="00484859" w:rsidRPr="00484859" w:rsidRDefault="00484859" w:rsidP="000B0CFF">
      <w:pPr>
        <w:spacing w:after="0" w:line="480" w:lineRule="auto"/>
        <w:jc w:val="center"/>
        <w:rPr>
          <w:rFonts w:ascii="Arial" w:hAnsi="Arial" w:cs="Arial"/>
          <w:sz w:val="24"/>
          <w:szCs w:val="24"/>
          <w:vertAlign w:val="superscript"/>
        </w:rPr>
      </w:pPr>
      <w:r w:rsidRPr="00484859">
        <w:rPr>
          <w:rFonts w:ascii="Arial" w:hAnsi="Arial" w:cs="Arial"/>
          <w:sz w:val="24"/>
          <w:szCs w:val="24"/>
        </w:rPr>
        <w:t>Agnieszka M. Mierczynska-Vasilev</w:t>
      </w:r>
      <w:r w:rsidRPr="00484859">
        <w:rPr>
          <w:rFonts w:ascii="Arial" w:hAnsi="Arial" w:cs="Arial"/>
          <w:sz w:val="24"/>
          <w:szCs w:val="24"/>
          <w:vertAlign w:val="superscript"/>
        </w:rPr>
        <w:t>1</w:t>
      </w:r>
      <w:r w:rsidRPr="00484859">
        <w:rPr>
          <w:rFonts w:ascii="Arial" w:hAnsi="Arial" w:cs="Arial"/>
          <w:sz w:val="24"/>
          <w:szCs w:val="24"/>
        </w:rPr>
        <w:t>*, Allie</w:t>
      </w:r>
      <w:r w:rsidR="00860345">
        <w:rPr>
          <w:rFonts w:ascii="Arial" w:hAnsi="Arial" w:cs="Arial"/>
          <w:sz w:val="24"/>
          <w:szCs w:val="24"/>
        </w:rPr>
        <w:t xml:space="preserve"> C.</w:t>
      </w:r>
      <w:r w:rsidRPr="00484859">
        <w:rPr>
          <w:rFonts w:ascii="Arial" w:hAnsi="Arial" w:cs="Arial"/>
          <w:sz w:val="24"/>
          <w:szCs w:val="24"/>
        </w:rPr>
        <w:t xml:space="preserve"> Kulcsar</w:t>
      </w:r>
      <w:r w:rsidRPr="00484859">
        <w:rPr>
          <w:rFonts w:ascii="Arial" w:hAnsi="Arial" w:cs="Arial"/>
          <w:sz w:val="24"/>
          <w:szCs w:val="24"/>
          <w:vertAlign w:val="superscript"/>
        </w:rPr>
        <w:t>1</w:t>
      </w:r>
      <w:r w:rsidRPr="00484859">
        <w:rPr>
          <w:rFonts w:ascii="Arial" w:hAnsi="Arial" w:cs="Arial"/>
          <w:sz w:val="24"/>
          <w:szCs w:val="24"/>
        </w:rPr>
        <w:t>, Panthihage Ruvini L. Dabare</w:t>
      </w:r>
      <w:r w:rsidRPr="00484859">
        <w:rPr>
          <w:rFonts w:ascii="Arial" w:hAnsi="Arial" w:cs="Arial"/>
          <w:sz w:val="24"/>
          <w:szCs w:val="24"/>
          <w:vertAlign w:val="superscript"/>
        </w:rPr>
        <w:t>2</w:t>
      </w:r>
      <w:r w:rsidRPr="00484859">
        <w:rPr>
          <w:rFonts w:ascii="Arial" w:hAnsi="Arial" w:cs="Arial"/>
          <w:sz w:val="24"/>
          <w:szCs w:val="24"/>
        </w:rPr>
        <w:t>, Krasimir</w:t>
      </w:r>
      <w:r w:rsidR="00860345">
        <w:rPr>
          <w:rFonts w:ascii="Arial" w:hAnsi="Arial" w:cs="Arial"/>
          <w:sz w:val="24"/>
          <w:szCs w:val="24"/>
        </w:rPr>
        <w:t xml:space="preserve"> A.</w:t>
      </w:r>
      <w:r w:rsidRPr="00484859">
        <w:rPr>
          <w:rFonts w:ascii="Arial" w:hAnsi="Arial" w:cs="Arial"/>
          <w:sz w:val="24"/>
          <w:szCs w:val="24"/>
        </w:rPr>
        <w:t xml:space="preserve"> Vasilev</w:t>
      </w:r>
      <w:r w:rsidRPr="00484859">
        <w:rPr>
          <w:rFonts w:ascii="Arial" w:hAnsi="Arial" w:cs="Arial"/>
          <w:sz w:val="24"/>
          <w:szCs w:val="24"/>
          <w:vertAlign w:val="superscript"/>
        </w:rPr>
        <w:t>2</w:t>
      </w:r>
      <w:r w:rsidRPr="00484859">
        <w:rPr>
          <w:rFonts w:ascii="Arial" w:hAnsi="Arial" w:cs="Arial"/>
          <w:sz w:val="24"/>
          <w:szCs w:val="24"/>
        </w:rPr>
        <w:t xml:space="preserve"> &amp; Marlize </w:t>
      </w:r>
      <w:r w:rsidR="00860345">
        <w:rPr>
          <w:rFonts w:ascii="Arial" w:hAnsi="Arial" w:cs="Arial"/>
          <w:sz w:val="24"/>
          <w:szCs w:val="24"/>
        </w:rPr>
        <w:t xml:space="preserve">Z. </w:t>
      </w:r>
      <w:r w:rsidRPr="00484859">
        <w:rPr>
          <w:rFonts w:ascii="Arial" w:hAnsi="Arial" w:cs="Arial"/>
          <w:sz w:val="24"/>
          <w:szCs w:val="24"/>
        </w:rPr>
        <w:t>Bekker</w:t>
      </w:r>
      <w:r w:rsidRPr="00484859">
        <w:rPr>
          <w:rFonts w:ascii="Arial" w:hAnsi="Arial" w:cs="Arial"/>
          <w:sz w:val="24"/>
          <w:szCs w:val="24"/>
          <w:vertAlign w:val="superscript"/>
        </w:rPr>
        <w:t>1</w:t>
      </w:r>
      <w:r w:rsidRPr="00484859">
        <w:rPr>
          <w:rFonts w:ascii="Arial" w:hAnsi="Arial" w:cs="Arial"/>
          <w:sz w:val="24"/>
          <w:szCs w:val="24"/>
        </w:rPr>
        <w:t>*</w:t>
      </w:r>
    </w:p>
    <w:p w14:paraId="039A65A6" w14:textId="77777777" w:rsidR="00484859" w:rsidRPr="00484859" w:rsidRDefault="00484859" w:rsidP="00484859">
      <w:pPr>
        <w:spacing w:after="0" w:line="480" w:lineRule="auto"/>
        <w:rPr>
          <w:rFonts w:ascii="Arial" w:hAnsi="Arial" w:cs="Arial"/>
          <w:sz w:val="24"/>
          <w:szCs w:val="24"/>
          <w:vertAlign w:val="superscript"/>
        </w:rPr>
      </w:pPr>
    </w:p>
    <w:p w14:paraId="553A345F" w14:textId="77777777" w:rsidR="00484859" w:rsidRPr="00484859" w:rsidRDefault="00484859" w:rsidP="00484859">
      <w:pPr>
        <w:pStyle w:val="BCAuthorAddress"/>
        <w:spacing w:after="0"/>
        <w:jc w:val="left"/>
        <w:rPr>
          <w:rFonts w:ascii="Arial" w:hAnsi="Arial" w:cs="Arial"/>
          <w:i/>
          <w:iCs/>
          <w:sz w:val="22"/>
          <w:szCs w:val="22"/>
        </w:rPr>
      </w:pPr>
      <w:r w:rsidRPr="00484859">
        <w:rPr>
          <w:rFonts w:ascii="Arial" w:hAnsi="Arial" w:cs="Arial"/>
          <w:i/>
          <w:iCs/>
          <w:sz w:val="22"/>
          <w:szCs w:val="22"/>
          <w:vertAlign w:val="superscript"/>
        </w:rPr>
        <w:t>1</w:t>
      </w:r>
      <w:r w:rsidRPr="00484859">
        <w:rPr>
          <w:rFonts w:ascii="Arial" w:hAnsi="Arial" w:cs="Arial"/>
          <w:i/>
          <w:iCs/>
          <w:sz w:val="22"/>
          <w:szCs w:val="22"/>
        </w:rPr>
        <w:t xml:space="preserve"> The Australian Wine Research Institute, Waite Precinct, Hartley Grove </w:t>
      </w:r>
      <w:proofErr w:type="spellStart"/>
      <w:r w:rsidRPr="00484859">
        <w:rPr>
          <w:rFonts w:ascii="Arial" w:hAnsi="Arial" w:cs="Arial"/>
          <w:i/>
          <w:iCs/>
          <w:sz w:val="22"/>
          <w:szCs w:val="22"/>
        </w:rPr>
        <w:t>cnr</w:t>
      </w:r>
      <w:proofErr w:type="spellEnd"/>
      <w:r w:rsidRPr="00484859">
        <w:rPr>
          <w:rFonts w:ascii="Arial" w:hAnsi="Arial" w:cs="Arial"/>
          <w:i/>
          <w:iCs/>
          <w:sz w:val="22"/>
          <w:szCs w:val="22"/>
        </w:rPr>
        <w:t xml:space="preserve"> Paratoo Road, </w:t>
      </w:r>
      <w:proofErr w:type="spellStart"/>
      <w:r w:rsidRPr="00484859">
        <w:rPr>
          <w:rFonts w:ascii="Arial" w:hAnsi="Arial" w:cs="Arial"/>
          <w:i/>
          <w:iCs/>
          <w:sz w:val="22"/>
          <w:szCs w:val="22"/>
        </w:rPr>
        <w:t>Urrbrae</w:t>
      </w:r>
      <w:proofErr w:type="spellEnd"/>
      <w:r w:rsidRPr="00484859">
        <w:rPr>
          <w:rFonts w:ascii="Arial" w:hAnsi="Arial" w:cs="Arial"/>
          <w:i/>
          <w:iCs/>
          <w:sz w:val="22"/>
          <w:szCs w:val="22"/>
        </w:rPr>
        <w:t xml:space="preserve"> (Adelaide) SA 5064, Australia</w:t>
      </w:r>
    </w:p>
    <w:p w14:paraId="34F7FAA7" w14:textId="77777777" w:rsidR="00484859" w:rsidRPr="00484859" w:rsidRDefault="00484859" w:rsidP="00484859">
      <w:pPr>
        <w:pStyle w:val="BCAuthorAddress"/>
        <w:spacing w:after="0"/>
        <w:jc w:val="left"/>
        <w:rPr>
          <w:rFonts w:ascii="Arial" w:hAnsi="Arial" w:cs="Arial"/>
          <w:i/>
          <w:iCs/>
          <w:sz w:val="22"/>
          <w:szCs w:val="22"/>
        </w:rPr>
      </w:pPr>
      <w:r w:rsidRPr="00484859">
        <w:rPr>
          <w:rFonts w:ascii="Arial" w:hAnsi="Arial" w:cs="Arial"/>
          <w:i/>
          <w:iCs/>
          <w:sz w:val="22"/>
          <w:szCs w:val="22"/>
          <w:vertAlign w:val="superscript"/>
        </w:rPr>
        <w:t>2</w:t>
      </w:r>
      <w:r w:rsidRPr="00484859">
        <w:rPr>
          <w:rFonts w:ascii="Arial" w:hAnsi="Arial" w:cs="Arial"/>
          <w:sz w:val="22"/>
          <w:szCs w:val="22"/>
        </w:rPr>
        <w:t xml:space="preserve"> </w:t>
      </w:r>
      <w:r w:rsidRPr="00484859">
        <w:rPr>
          <w:rFonts w:ascii="Arial" w:hAnsi="Arial" w:cs="Arial"/>
          <w:i/>
          <w:iCs/>
          <w:sz w:val="22"/>
          <w:szCs w:val="22"/>
        </w:rPr>
        <w:t>College of Medicine and Public Health, Flinders University, Sturt Road, Bedford Park, SA 5042, Australia</w:t>
      </w:r>
    </w:p>
    <w:p w14:paraId="28579FDA" w14:textId="77777777" w:rsidR="00484859" w:rsidRPr="00484859" w:rsidRDefault="00484859" w:rsidP="00484859">
      <w:pPr>
        <w:spacing w:after="0" w:line="480" w:lineRule="auto"/>
        <w:rPr>
          <w:rFonts w:ascii="Arial" w:hAnsi="Arial" w:cs="Arial"/>
          <w:sz w:val="24"/>
          <w:szCs w:val="24"/>
          <w:lang w:val="en-US"/>
        </w:rPr>
      </w:pPr>
      <w:r w:rsidRPr="00484859">
        <w:rPr>
          <w:rFonts w:ascii="Arial" w:hAnsi="Arial" w:cs="Arial"/>
          <w:sz w:val="24"/>
          <w:szCs w:val="24"/>
          <w:lang w:val="en-US"/>
        </w:rPr>
        <w:t xml:space="preserve"> * Corresponding authors</w:t>
      </w:r>
    </w:p>
    <w:p w14:paraId="0A1B7B96" w14:textId="12937EE9" w:rsidR="00484859" w:rsidRDefault="00484859" w:rsidP="00484859">
      <w:pPr>
        <w:spacing w:after="0" w:line="360" w:lineRule="auto"/>
        <w:jc w:val="center"/>
        <w:rPr>
          <w:rFonts w:ascii="Times New Roman" w:hAnsi="Times New Roman" w:cs="Times New Roman"/>
          <w:b/>
          <w:bCs/>
          <w:sz w:val="28"/>
          <w:szCs w:val="28"/>
        </w:rPr>
      </w:pPr>
    </w:p>
    <w:p w14:paraId="08EAC7D5" w14:textId="77777777" w:rsidR="00484859" w:rsidRPr="00484859" w:rsidRDefault="00484859" w:rsidP="00484859">
      <w:pPr>
        <w:spacing w:after="0" w:line="360" w:lineRule="auto"/>
        <w:rPr>
          <w:rFonts w:ascii="Arial" w:hAnsi="Arial" w:cs="Arial"/>
          <w:sz w:val="24"/>
          <w:szCs w:val="24"/>
        </w:rPr>
      </w:pPr>
      <w:r w:rsidRPr="00484859">
        <w:rPr>
          <w:rFonts w:ascii="Arial" w:hAnsi="Arial" w:cs="Arial"/>
          <w:sz w:val="24"/>
          <w:szCs w:val="24"/>
        </w:rPr>
        <w:t>We chose gold nanoparticles because they can be easily synthesized in a controlled manner and are chemically stable in the size range used in this study</w:t>
      </w:r>
      <w:r w:rsidRPr="00484859">
        <w:rPr>
          <w:rFonts w:ascii="Arial" w:hAnsi="Arial" w:cs="Arial"/>
          <w:sz w:val="24"/>
          <w:szCs w:val="24"/>
        </w:rPr>
        <w:fldChar w:fldCharType="begin"/>
      </w:r>
      <w:r w:rsidRPr="00484859">
        <w:rPr>
          <w:rFonts w:ascii="Arial" w:hAnsi="Arial" w:cs="Arial"/>
          <w:sz w:val="24"/>
          <w:szCs w:val="24"/>
        </w:rPr>
        <w:instrText xml:space="preserve"> ADDIN EN.CITE &lt;EndNote&gt;&lt;Cite&gt;&lt;Author&gt;Zhu&lt;/Author&gt;&lt;Year&gt;2003&lt;/Year&gt;&lt;RecNum&gt;369&lt;/RecNum&gt;&lt;DisplayText&gt;&lt;style face="superscript"&gt;1&lt;/style&gt;&lt;/DisplayText&gt;&lt;record&gt;&lt;rec-number&gt;369&lt;/rec-number&gt;&lt;foreign-keys&gt;&lt;key app="EN" db-id="0xverrw5v99p0dez0sp5d5txwvpxx9v0fezp" timestamp="1654222154"&gt;369&lt;/key&gt;&lt;/foreign-keys&gt;&lt;ref-type name="Journal Article"&gt;17&lt;/ref-type&gt;&lt;contributors&gt;&lt;authors&gt;&lt;author&gt;Zhu, T.&lt;/author&gt;&lt;author&gt;Vasilev, K.&lt;/author&gt;&lt;author&gt;Kreiter, M.&lt;/author&gt;&lt;author&gt;Mittler, S.&lt;/author&gt;&lt;author&gt;Knoll, W.&lt;/author&gt;&lt;/authors&gt;&lt;/contributors&gt;&lt;auth-address&gt;Max Planck Inst Polymer Res, D-55128 Mainz, Germany&amp;#xD;Peking Univ, Coll Chem, Beijing 100871, Peoples R China&lt;/auth-address&gt;&lt;titles&gt;&lt;title&gt;Surface modification of citrate-reduced colloidal gold nanoparticles with 2-mercaptosuccinic acid&lt;/title&gt;&lt;secondary-title&gt;Langmuir&lt;/secondary-title&gt;&lt;alt-title&gt;Langmuir&lt;/alt-title&gt;&lt;/titles&gt;&lt;periodical&gt;&lt;full-title&gt;Langmuir&lt;/full-title&gt;&lt;/periodical&gt;&lt;alt-periodical&gt;&lt;full-title&gt;Langmuir&lt;/full-title&gt;&lt;/alt-periodical&gt;&lt;pages&gt;9518-9525&lt;/pages&gt;&lt;volume&gt;19&lt;/volume&gt;&lt;number&gt;22&lt;/number&gt;&lt;section&gt;9518&lt;/section&gt;&lt;keywords&gt;&lt;keyword&gt;cluster molecules&lt;/keyword&gt;&lt;keyword&gt;particle-size&lt;/keyword&gt;&lt;keyword&gt;monolayers&lt;/keyword&gt;&lt;keyword&gt;growth&lt;/keyword&gt;&lt;keyword&gt;adsorption&lt;/keyword&gt;&lt;keyword&gt;interface&lt;/keyword&gt;&lt;keyword&gt;silver&lt;/keyword&gt;&lt;keyword&gt;sers&lt;/keyword&gt;&lt;keyword&gt;nm&lt;/keyword&gt;&lt;/keywords&gt;&lt;dates&gt;&lt;year&gt;2003&lt;/year&gt;&lt;pub-dates&gt;&lt;date&gt;Oct 28&lt;/date&gt;&lt;/pub-dates&gt;&lt;/dates&gt;&lt;isbn&gt;0743-7463&lt;/isbn&gt;&lt;accession-num&gt;WOS:000186177200063&lt;/accession-num&gt;&lt;urls&gt;&lt;related-urls&gt;&lt;url&gt;&lt;style face="underline" font="default" size="100%"&gt;&amp;lt;Go to ISI&amp;gt;://WOS:000186177200063&lt;/style&gt;&lt;/url&gt;&lt;/related-urls&gt;&lt;/urls&gt;&lt;electronic-resource-num&gt;10.1021/la035157u&lt;/electronic-resource-num&gt;&lt;language&gt;English&lt;/language&gt;&lt;/record&gt;&lt;/Cite&gt;&lt;/EndNote&gt;</w:instrText>
      </w:r>
      <w:r w:rsidRPr="00484859">
        <w:rPr>
          <w:rFonts w:ascii="Arial" w:hAnsi="Arial" w:cs="Arial"/>
          <w:sz w:val="24"/>
          <w:szCs w:val="24"/>
        </w:rPr>
        <w:fldChar w:fldCharType="separate"/>
      </w:r>
      <w:r w:rsidRPr="00484859">
        <w:rPr>
          <w:rFonts w:ascii="Arial" w:hAnsi="Arial" w:cs="Arial"/>
          <w:noProof/>
          <w:sz w:val="24"/>
          <w:szCs w:val="24"/>
          <w:vertAlign w:val="superscript"/>
        </w:rPr>
        <w:t>1</w:t>
      </w:r>
      <w:r w:rsidRPr="00484859">
        <w:rPr>
          <w:rFonts w:ascii="Arial" w:hAnsi="Arial" w:cs="Arial"/>
          <w:sz w:val="24"/>
          <w:szCs w:val="24"/>
        </w:rPr>
        <w:fldChar w:fldCharType="end"/>
      </w:r>
      <w:r w:rsidRPr="00484859">
        <w:rPr>
          <w:rFonts w:ascii="Arial" w:hAnsi="Arial" w:cs="Arial"/>
          <w:sz w:val="24"/>
          <w:szCs w:val="24"/>
        </w:rPr>
        <w:t xml:space="preserve">. In addition, silver-based processing aids are typically not permitted to be used in winemaking. Furthermore, an advantage of using gold nanoparticles over, for example, silver nanoparticles is that the leaching </w:t>
      </w:r>
      <w:proofErr w:type="spellStart"/>
      <w:r w:rsidRPr="00484859">
        <w:rPr>
          <w:rFonts w:ascii="Arial" w:hAnsi="Arial" w:cs="Arial"/>
          <w:sz w:val="24"/>
          <w:szCs w:val="24"/>
        </w:rPr>
        <w:t>behavior</w:t>
      </w:r>
      <w:proofErr w:type="spellEnd"/>
      <w:r w:rsidRPr="00484859">
        <w:rPr>
          <w:rFonts w:ascii="Arial" w:hAnsi="Arial" w:cs="Arial"/>
          <w:sz w:val="24"/>
          <w:szCs w:val="24"/>
        </w:rPr>
        <w:t xml:space="preserve"> of silver and gold are significantly different. Silver leaching occurs quite rapidly due to oxidation and dissolution of silver atom at the surface, while the chemical stability of the gold nanoparticles above 10 nm in diameter prevents such processes from occurring</w:t>
      </w:r>
      <w:r w:rsidRPr="00484859">
        <w:rPr>
          <w:rFonts w:ascii="Arial" w:hAnsi="Arial" w:cs="Arial"/>
          <w:sz w:val="24"/>
          <w:szCs w:val="24"/>
        </w:rPr>
        <w:fldChar w:fldCharType="begin"/>
      </w:r>
      <w:r w:rsidRPr="00484859">
        <w:rPr>
          <w:rFonts w:ascii="Arial" w:hAnsi="Arial" w:cs="Arial"/>
          <w:sz w:val="24"/>
          <w:szCs w:val="24"/>
        </w:rPr>
        <w:instrText xml:space="preserve"> ADDIN EN.CITE &lt;EndNote&gt;&lt;Cite&gt;&lt;Author&gt;Jeffrey&lt;/Author&gt;&lt;Year&gt;2001&lt;/Year&gt;&lt;RecNum&gt;367&lt;/RecNum&gt;&lt;DisplayText&gt;&lt;style face="superscript"&gt;2&lt;/style&gt;&lt;/DisplayText&gt;&lt;record&gt;&lt;rec-number&gt;367&lt;/rec-number&gt;&lt;foreign-keys&gt;&lt;key app="EN" db-id="0xverrw5v99p0dez0sp5d5txwvpxx9v0fezp" timestamp="1653446463"&gt;367&lt;/key&gt;&lt;/foreign-keys&gt;&lt;ref-type name="Journal Article"&gt;17&lt;/ref-type&gt;&lt;contributors&gt;&lt;authors&gt;&lt;author&gt;Jeffrey, M. I.&lt;/author&gt;&lt;/authors&gt;&lt;/contributors&gt;&lt;auth-address&gt;Monash Univ, Dept Chem Engn, Clayton, Vic 3800, Australia&lt;/auth-address&gt;&lt;titles&gt;&lt;title&gt;Kinetic aspects of gold and silver leaching in ammonia-thiosulfate solutions&lt;/title&gt;&lt;secondary-title&gt;Hydrometallurgy&lt;/secondary-title&gt;&lt;alt-title&gt;Hydrometallurgy&lt;/alt-title&gt;&lt;/titles&gt;&lt;periodical&gt;&lt;full-title&gt;Hydrometallurgy&lt;/full-title&gt;&lt;/periodical&gt;&lt;alt-periodical&gt;&lt;full-title&gt;Hydrometallurgy&lt;/full-title&gt;&lt;/alt-periodical&gt;&lt;pages&gt;7-16&lt;/pages&gt;&lt;volume&gt;60&lt;/volume&gt;&lt;number&gt;1&lt;/number&gt;&lt;keywords&gt;&lt;keyword&gt;leaching&lt;/keyword&gt;&lt;keyword&gt;ammonia-thiosulfate solutions&lt;/keyword&gt;&lt;keyword&gt;reqcm&lt;/keyword&gt;&lt;/keywords&gt;&lt;dates&gt;&lt;year&gt;2001&lt;/year&gt;&lt;pub-dates&gt;&lt;date&gt;Mar&lt;/date&gt;&lt;/pub-dates&gt;&lt;/dates&gt;&lt;isbn&gt;0304-386x&lt;/isbn&gt;&lt;accession-num&gt;WOS:000166809900002&lt;/accession-num&gt;&lt;urls&gt;&lt;related-urls&gt;&lt;url&gt;&lt;style face="underline" font="default" size="100%"&gt;&amp;lt;Go to ISI&amp;gt;://WOS:000166809900002&lt;/style&gt;&lt;/url&gt;&lt;/related-urls&gt;&lt;/urls&gt;&lt;electronic-resource-num&gt;Doi 10.1016/S0304-386x(00)00151-1&lt;/electronic-resource-num&gt;&lt;language&gt;English&lt;/language&gt;&lt;/record&gt;&lt;/Cite&gt;&lt;/EndNote&gt;</w:instrText>
      </w:r>
      <w:r w:rsidRPr="00484859">
        <w:rPr>
          <w:rFonts w:ascii="Arial" w:hAnsi="Arial" w:cs="Arial"/>
          <w:sz w:val="24"/>
          <w:szCs w:val="24"/>
        </w:rPr>
        <w:fldChar w:fldCharType="separate"/>
      </w:r>
      <w:r w:rsidRPr="00484859">
        <w:rPr>
          <w:rFonts w:ascii="Arial" w:hAnsi="Arial" w:cs="Arial"/>
          <w:noProof/>
          <w:sz w:val="24"/>
          <w:szCs w:val="24"/>
          <w:vertAlign w:val="superscript"/>
        </w:rPr>
        <w:t>2</w:t>
      </w:r>
      <w:r w:rsidRPr="00484859">
        <w:rPr>
          <w:rFonts w:ascii="Arial" w:hAnsi="Arial" w:cs="Arial"/>
          <w:sz w:val="24"/>
          <w:szCs w:val="24"/>
        </w:rPr>
        <w:fldChar w:fldCharType="end"/>
      </w:r>
      <w:r w:rsidRPr="00484859">
        <w:rPr>
          <w:rFonts w:ascii="Arial" w:hAnsi="Arial" w:cs="Arial"/>
          <w:sz w:val="24"/>
          <w:szCs w:val="24"/>
        </w:rPr>
        <w:t>.</w:t>
      </w:r>
    </w:p>
    <w:p w14:paraId="3200F997" w14:textId="3BB0254B" w:rsidR="00484859" w:rsidRPr="00484859" w:rsidRDefault="00484859" w:rsidP="00484859">
      <w:pPr>
        <w:widowControl w:val="0"/>
        <w:autoSpaceDE w:val="0"/>
        <w:autoSpaceDN w:val="0"/>
        <w:adjustRightInd w:val="0"/>
        <w:spacing w:after="0" w:line="360" w:lineRule="auto"/>
        <w:rPr>
          <w:rFonts w:ascii="Arial" w:hAnsi="Arial" w:cs="Arial"/>
          <w:sz w:val="24"/>
          <w:szCs w:val="24"/>
        </w:rPr>
      </w:pPr>
      <w:r w:rsidRPr="00484859">
        <w:rPr>
          <w:rFonts w:ascii="Arial" w:hAnsi="Arial" w:cs="Arial"/>
          <w:sz w:val="24"/>
          <w:szCs w:val="24"/>
        </w:rPr>
        <w:t xml:space="preserve">We started with microscope glass slides as model substrates </w:t>
      </w:r>
      <w:r>
        <w:rPr>
          <w:rFonts w:ascii="Arial" w:hAnsi="Arial" w:cs="Arial"/>
          <w:sz w:val="24"/>
          <w:szCs w:val="24"/>
        </w:rPr>
        <w:t xml:space="preserve">for </w:t>
      </w:r>
      <w:r w:rsidRPr="00484859">
        <w:rPr>
          <w:rFonts w:ascii="Arial" w:hAnsi="Arial" w:cs="Arial"/>
          <w:sz w:val="24"/>
          <w:szCs w:val="24"/>
        </w:rPr>
        <w:t>a proof</w:t>
      </w:r>
      <w:r>
        <w:rPr>
          <w:rFonts w:ascii="Arial" w:hAnsi="Arial" w:cs="Arial"/>
          <w:sz w:val="24"/>
          <w:szCs w:val="24"/>
        </w:rPr>
        <w:t>-</w:t>
      </w:r>
      <w:r w:rsidRPr="00484859">
        <w:rPr>
          <w:rFonts w:ascii="Arial" w:hAnsi="Arial" w:cs="Arial"/>
          <w:sz w:val="24"/>
          <w:szCs w:val="24"/>
        </w:rPr>
        <w:t>of</w:t>
      </w:r>
      <w:r>
        <w:rPr>
          <w:rFonts w:ascii="Arial" w:hAnsi="Arial" w:cs="Arial"/>
          <w:sz w:val="24"/>
          <w:szCs w:val="24"/>
        </w:rPr>
        <w:t>-</w:t>
      </w:r>
      <w:r w:rsidRPr="00484859">
        <w:rPr>
          <w:rFonts w:ascii="Arial" w:hAnsi="Arial" w:cs="Arial"/>
          <w:sz w:val="24"/>
          <w:szCs w:val="24"/>
        </w:rPr>
        <w:t>concept demonstration. The surfaces were coated in a custom-built plasma reactor</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EN.CITE &lt;EndNote&gt;&lt;Cite&gt;&lt;Author&gt;Vasilev&lt;/Author&gt;&lt;Year&gt;2010&lt;/Year&gt;&lt;RecNum&gt;163&lt;/RecNum&gt;&lt;DisplayText&gt;&lt;style face="superscript"&gt;3&lt;/style&gt;&lt;/DisplayText&gt;&lt;record&gt;&lt;rec-number&gt;163&lt;/rec-number&gt;&lt;foreign-keys&gt;&lt;key app="EN" db-id="0xverrw5v99p0dez0sp5d5txwvpxx9v0fezp" timestamp="0"&gt;163&lt;/key&gt;&lt;/foreign-keys&gt;&lt;ref-type name="Journal Article"&gt;17&lt;/ref-type&gt;&lt;contributors&gt;&lt;authors&gt;&lt;author&gt;Vasilev, K.&lt;/author&gt;&lt;author&gt;Michelmore, A.&lt;/author&gt;&lt;author&gt;Martinek, P.&lt;/author&gt;&lt;author&gt;Chan, J.&lt;/author&gt;&lt;author&gt;Sah, V.&lt;/author&gt;&lt;author&gt;Griesser, H. J.&lt;/author&gt;&lt;author&gt;Short, R. D.&lt;/author&gt;&lt;/authors&gt;&lt;/contributors&gt;&lt;titles&gt;&lt;title&gt;Early stages of growth of plasma polymer coatings deposited from nitrogen</w:instrText>
      </w:r>
      <w:r>
        <w:rPr>
          <w:rFonts w:ascii="Cambria Math" w:hAnsi="Cambria Math" w:cs="Cambria Math"/>
          <w:sz w:val="24"/>
          <w:szCs w:val="24"/>
        </w:rPr>
        <w:instrText>‐</w:instrText>
      </w:r>
      <w:r>
        <w:rPr>
          <w:rFonts w:ascii="Arial" w:hAnsi="Arial" w:cs="Arial"/>
          <w:sz w:val="24"/>
          <w:szCs w:val="24"/>
        </w:rPr>
        <w:instrText>and oxygen</w:instrText>
      </w:r>
      <w:r>
        <w:rPr>
          <w:rFonts w:ascii="Cambria Math" w:hAnsi="Cambria Math" w:cs="Cambria Math"/>
          <w:sz w:val="24"/>
          <w:szCs w:val="24"/>
        </w:rPr>
        <w:instrText>‐</w:instrText>
      </w:r>
      <w:r>
        <w:rPr>
          <w:rFonts w:ascii="Arial" w:hAnsi="Arial" w:cs="Arial"/>
          <w:sz w:val="24"/>
          <w:szCs w:val="24"/>
        </w:rPr>
        <w:instrText>containing monomers&lt;/title&gt;&lt;secondary-title&gt;Plasma Processes and Polymers &lt;/secondary-title&gt;&lt;/titles&gt;&lt;pages&gt;824-835&lt;/pages&gt;&lt;volume&gt;7&lt;/volume&gt;&lt;dates&gt;&lt;year&gt;2010&lt;/year&gt;&lt;/dates&gt;&lt;urls&gt;&lt;/urls&gt;&lt;/record&gt;&lt;/Cite&gt;&lt;/EndNote&gt;</w:instrText>
      </w:r>
      <w:r>
        <w:rPr>
          <w:rFonts w:ascii="Arial" w:hAnsi="Arial" w:cs="Arial"/>
          <w:sz w:val="24"/>
          <w:szCs w:val="24"/>
        </w:rPr>
        <w:fldChar w:fldCharType="separate"/>
      </w:r>
      <w:r w:rsidRPr="00484859">
        <w:rPr>
          <w:rFonts w:ascii="Arial" w:hAnsi="Arial" w:cs="Arial"/>
          <w:noProof/>
          <w:sz w:val="24"/>
          <w:szCs w:val="24"/>
          <w:vertAlign w:val="superscript"/>
        </w:rPr>
        <w:t>3</w:t>
      </w:r>
      <w:r>
        <w:rPr>
          <w:rFonts w:ascii="Arial" w:hAnsi="Arial" w:cs="Arial"/>
          <w:sz w:val="24"/>
          <w:szCs w:val="24"/>
        </w:rPr>
        <w:fldChar w:fldCharType="end"/>
      </w:r>
      <w:r w:rsidRPr="00484859">
        <w:rPr>
          <w:rFonts w:ascii="Arial" w:hAnsi="Arial" w:cs="Arial"/>
          <w:sz w:val="24"/>
          <w:szCs w:val="24"/>
        </w:rPr>
        <w:t xml:space="preserve"> with a thin layer of plasma polymerized allylamine (AA) or 2-methyl-2-oxazoline (</w:t>
      </w:r>
      <w:proofErr w:type="spellStart"/>
      <w:r w:rsidRPr="00484859">
        <w:rPr>
          <w:rFonts w:ascii="Arial" w:hAnsi="Arial" w:cs="Arial"/>
          <w:sz w:val="24"/>
          <w:szCs w:val="24"/>
        </w:rPr>
        <w:t>POx</w:t>
      </w:r>
      <w:proofErr w:type="spellEnd"/>
      <w:r w:rsidRPr="00484859">
        <w:rPr>
          <w:rFonts w:ascii="Arial" w:hAnsi="Arial" w:cs="Arial"/>
          <w:sz w:val="24"/>
          <w:szCs w:val="24"/>
        </w:rPr>
        <w:t xml:space="preserve">). The AA and </w:t>
      </w:r>
      <w:proofErr w:type="spellStart"/>
      <w:r w:rsidRPr="00484859">
        <w:rPr>
          <w:rFonts w:ascii="Arial" w:hAnsi="Arial" w:cs="Arial"/>
          <w:sz w:val="24"/>
          <w:szCs w:val="24"/>
        </w:rPr>
        <w:t>POx</w:t>
      </w:r>
      <w:proofErr w:type="spellEnd"/>
      <w:r w:rsidRPr="00484859">
        <w:rPr>
          <w:rFonts w:ascii="Arial" w:hAnsi="Arial" w:cs="Arial"/>
          <w:sz w:val="24"/>
          <w:szCs w:val="24"/>
        </w:rPr>
        <w:t xml:space="preserve"> contained a population of amine functional groups, which were positively charged in an aqueous medium under a  pH of eight </w:t>
      </w:r>
      <w:r w:rsidRPr="00484859">
        <w:rPr>
          <w:rFonts w:ascii="Arial" w:hAnsi="Arial" w:cs="Arial"/>
          <w:sz w:val="24"/>
          <w:szCs w:val="24"/>
        </w:rPr>
        <w:fldChar w:fldCharType="begin"/>
      </w:r>
      <w:r>
        <w:rPr>
          <w:rFonts w:ascii="Arial" w:hAnsi="Arial" w:cs="Arial"/>
          <w:sz w:val="24"/>
          <w:szCs w:val="24"/>
        </w:rPr>
        <w:instrText xml:space="preserve"> ADDIN EN.CITE &lt;EndNote&gt;&lt;Cite&gt;&lt;Author&gt;Mierczynska&lt;/Author&gt;&lt;Year&gt;2012&lt;/Year&gt;&lt;RecNum&gt;26&lt;/RecNum&gt;&lt;DisplayText&gt;&lt;style face="superscript"&gt;4&lt;/style&gt;&lt;/DisplayText&gt;&lt;record&gt;&lt;rec-number&gt;26&lt;/rec-number&gt;&lt;foreign-keys&gt;&lt;key app="EN" db-id="0xverrw5v99p0dez0sp5d5txwvpxx9v0fezp" timestamp="0"&gt;26&lt;/key&gt;&lt;/foreign-keys&gt;&lt;ref-type name="Journal Article"&gt;17&lt;/ref-type&gt;&lt;contributors&gt;&lt;authors&gt;&lt;author&gt;Mierczynska, A.&lt;/author&gt;&lt;author&gt;Michelmore, A.&lt;/author&gt;&lt;author&gt;Tripathi, A.&lt;/author&gt;&lt;author&gt;Goreham, R. V.&lt;/author&gt;&lt;author&gt;Sedev, R.&lt;/author&gt;&lt;author&gt;Vasilev, K.&lt;/author&gt;&lt;/authors&gt;&lt;/contributors&gt;&lt;titles&gt;&lt;title&gt;pH-tunable gradients of wettability and surface potential&lt;/title&gt;&lt;secondary-title&gt;Soft Matter&lt;/secondary-title&gt;&lt;/titles&gt;&lt;pages&gt;8399-8404&lt;/pages&gt;&lt;volume&gt;8&lt;/volume&gt;&lt;number&gt;32&lt;/number&gt;&lt;dates&gt;&lt;year&gt;2012&lt;/year&gt;&lt;/dates&gt;&lt;isbn&gt;1744-683X&lt;/isbn&gt;&lt;accession-num&gt;WOS:000306855000018&lt;/accession-num&gt;&lt;urls&gt;&lt;related-urls&gt;&lt;url&gt;&amp;lt;Go to ISI&amp;gt;://WOS:000306855000018 &lt;/url&gt;&lt;/related-urls&gt;&lt;/urls&gt;&lt;electronic-resource-num&gt;10.1039/c2sm25221j&lt;/electronic-resource-num&gt;&lt;/record&gt;&lt;/Cite&gt;&lt;/EndNote&gt;</w:instrText>
      </w:r>
      <w:r w:rsidRPr="00484859">
        <w:rPr>
          <w:rFonts w:ascii="Arial" w:hAnsi="Arial" w:cs="Arial"/>
          <w:sz w:val="24"/>
          <w:szCs w:val="24"/>
        </w:rPr>
        <w:fldChar w:fldCharType="separate"/>
      </w:r>
      <w:r w:rsidRPr="00484859">
        <w:rPr>
          <w:rFonts w:ascii="Arial" w:hAnsi="Arial" w:cs="Arial"/>
          <w:noProof/>
          <w:sz w:val="24"/>
          <w:szCs w:val="24"/>
          <w:vertAlign w:val="superscript"/>
        </w:rPr>
        <w:t>4</w:t>
      </w:r>
      <w:r w:rsidRPr="00484859">
        <w:rPr>
          <w:rFonts w:ascii="Arial" w:hAnsi="Arial" w:cs="Arial"/>
          <w:sz w:val="24"/>
          <w:szCs w:val="24"/>
        </w:rPr>
        <w:fldChar w:fldCharType="end"/>
      </w:r>
      <w:r w:rsidRPr="00484859">
        <w:rPr>
          <w:rFonts w:ascii="Arial" w:hAnsi="Arial" w:cs="Arial"/>
          <w:sz w:val="24"/>
          <w:szCs w:val="24"/>
        </w:rPr>
        <w:t xml:space="preserve">. Colloidal gold nanoparticles of 38 and 68 nm in diameter were synthesized by the citrate reduction method </w:t>
      </w:r>
      <w:r w:rsidRPr="00484859">
        <w:rPr>
          <w:rFonts w:ascii="Arial" w:hAnsi="Arial" w:cs="Arial"/>
          <w:sz w:val="24"/>
          <w:szCs w:val="24"/>
        </w:rPr>
        <w:fldChar w:fldCharType="begin"/>
      </w:r>
      <w:r>
        <w:rPr>
          <w:rFonts w:ascii="Arial" w:hAnsi="Arial" w:cs="Arial"/>
          <w:sz w:val="24"/>
          <w:szCs w:val="24"/>
        </w:rPr>
        <w:instrText xml:space="preserve"> ADDIN EN.CITE &lt;EndNote&gt;&lt;Cite&gt;&lt;Author&gt;Turkevich&lt;/Author&gt;&lt;Year&gt;1951&lt;/Year&gt;&lt;RecNum&gt;368&lt;/RecNum&gt;&lt;DisplayText&gt;&lt;style face="superscript"&gt;5&lt;/style&gt;&lt;/DisplayText&gt;&lt;record&gt;&lt;rec-number&gt;368&lt;/rec-number&gt;&lt;foreign-keys&gt;&lt;key app="EN" db-id="0xverrw5v99p0dez0sp5d5txwvpxx9v0fezp" timestamp="1653446648"&gt;368&lt;/key&gt;&lt;/foreign-keys&gt;&lt;ref-type name="Journal Article"&gt;17&lt;/ref-type&gt;&lt;contributors&gt;&lt;authors&gt;&lt;author&gt;Turkevich, J.&lt;/author&gt;&lt;author&gt;Stevenson, P. C.&lt;/author&gt;&lt;author&gt;Hillier, J.&lt;/author&gt;&lt;/authors&gt;&lt;/contributors&gt;&lt;titles&gt;&lt;title&gt;A Study of the Nucleation and Growth Processes in the Synthesis of Colloidal Gold&lt;/title&gt;&lt;secondary-title&gt;Discussions of the Faraday Society&lt;/secondary-title&gt;&lt;alt-title&gt;Discuss Faraday Soc&lt;/alt-title&gt;&lt;/titles&gt;&lt;periodical&gt;&lt;full-title&gt;Discussions of the Faraday Society&lt;/full-title&gt;&lt;abbr-1&gt;Discuss Faraday Soc&lt;/abbr-1&gt;&lt;/periodical&gt;&lt;alt-periodical&gt;&lt;full-title&gt;Discussions of the Faraday Society&lt;/full-title&gt;&lt;abbr-1&gt;Discuss Faraday Soc&lt;/abbr-1&gt;&lt;/alt-periodical&gt;&lt;pages&gt;55-75&lt;/pages&gt;&lt;number&gt;11&lt;/number&gt;&lt;dates&gt;&lt;year&gt;1951&lt;/year&gt;&lt;/dates&gt;&lt;accession-num&gt;WOS:A1951UL20200007&lt;/accession-num&gt;&lt;urls&gt;&lt;related-urls&gt;&lt;url&gt;&lt;style face="underline" font="default" size="100%"&gt;&amp;lt;Go to ISI&amp;gt;://WOS:A1951UL20200007&lt;/style&gt;&lt;/url&gt;&lt;/related-urls&gt;&lt;/urls&gt;&lt;electronic-resource-num&gt;DOI 10.1039/df9511100055&lt;/electronic-resource-num&gt;&lt;language&gt;English&lt;/language&gt;&lt;/record&gt;&lt;/Cite&gt;&lt;/EndNote&gt;</w:instrText>
      </w:r>
      <w:r w:rsidRPr="00484859">
        <w:rPr>
          <w:rFonts w:ascii="Arial" w:hAnsi="Arial" w:cs="Arial"/>
          <w:sz w:val="24"/>
          <w:szCs w:val="24"/>
        </w:rPr>
        <w:fldChar w:fldCharType="separate"/>
      </w:r>
      <w:r w:rsidRPr="00484859">
        <w:rPr>
          <w:rFonts w:ascii="Arial" w:hAnsi="Arial" w:cs="Arial"/>
          <w:noProof/>
          <w:sz w:val="24"/>
          <w:szCs w:val="24"/>
          <w:vertAlign w:val="superscript"/>
        </w:rPr>
        <w:t>5</w:t>
      </w:r>
      <w:r w:rsidRPr="00484859">
        <w:rPr>
          <w:rFonts w:ascii="Arial" w:hAnsi="Arial" w:cs="Arial"/>
          <w:sz w:val="24"/>
          <w:szCs w:val="24"/>
        </w:rPr>
        <w:fldChar w:fldCharType="end"/>
      </w:r>
      <w:r w:rsidRPr="00484859">
        <w:rPr>
          <w:rFonts w:ascii="Arial" w:hAnsi="Arial" w:cs="Arial"/>
          <w:sz w:val="24"/>
          <w:szCs w:val="24"/>
        </w:rPr>
        <w:t xml:space="preserve">. </w:t>
      </w:r>
      <w:r>
        <w:rPr>
          <w:rFonts w:ascii="Arial" w:hAnsi="Arial" w:cs="Arial"/>
          <w:sz w:val="24"/>
          <w:szCs w:val="24"/>
        </w:rPr>
        <w:t>G</w:t>
      </w:r>
      <w:r w:rsidRPr="00484859">
        <w:rPr>
          <w:rFonts w:ascii="Arial" w:hAnsi="Arial" w:cs="Arial"/>
          <w:sz w:val="24"/>
          <w:szCs w:val="24"/>
        </w:rPr>
        <w:t>old nanoparticles synthesised via this method are covered by unreacted citrate molecule and products of the reduction, and carry a negative surface charge</w:t>
      </w:r>
      <w:r w:rsidRPr="00484859">
        <w:rPr>
          <w:rFonts w:ascii="Arial" w:hAnsi="Arial" w:cs="Arial"/>
          <w:sz w:val="24"/>
          <w:szCs w:val="24"/>
        </w:rPr>
        <w:fldChar w:fldCharType="begin"/>
      </w:r>
      <w:r w:rsidRPr="00484859">
        <w:rPr>
          <w:rFonts w:ascii="Arial" w:hAnsi="Arial" w:cs="Arial"/>
          <w:sz w:val="24"/>
          <w:szCs w:val="24"/>
        </w:rPr>
        <w:instrText xml:space="preserve"> ADDIN EN.CITE &lt;EndNote&gt;&lt;Cite&gt;&lt;Author&gt;Zhu&lt;/Author&gt;&lt;Year&gt;2003&lt;/Year&gt;&lt;RecNum&gt;369&lt;/RecNum&gt;&lt;DisplayText&gt;&lt;style face="superscript"&gt;1&lt;/style&gt;&lt;/DisplayText&gt;&lt;record&gt;&lt;rec-number&gt;369&lt;/rec-number&gt;&lt;foreign-keys&gt;&lt;key app="EN" db-id="0xverrw5v99p0dez0sp5d5txwvpxx9v0fezp" timestamp="1654222154"&gt;369&lt;/key&gt;&lt;/foreign-keys&gt;&lt;ref-type name="Journal Article"&gt;17&lt;/ref-type&gt;&lt;contributors&gt;&lt;authors&gt;&lt;author&gt;Zhu, T.&lt;/author&gt;&lt;author&gt;Vasilev, K.&lt;/author&gt;&lt;author&gt;Kreiter, M.&lt;/author&gt;&lt;author&gt;Mittler, S.&lt;/author&gt;&lt;author&gt;Knoll, W.&lt;/author&gt;&lt;/authors&gt;&lt;/contributors&gt;&lt;auth-address&gt;Max Planck Inst Polymer Res, D-55128 Mainz, Germany&amp;#xD;Peking Univ, Coll Chem, Beijing 100871, Peoples R China&lt;/auth-address&gt;&lt;titles&gt;&lt;title&gt;Surface modification of citrate-reduced colloidal gold nanoparticles with 2-mercaptosuccinic acid&lt;/title&gt;&lt;secondary-title&gt;Langmuir&lt;/secondary-title&gt;&lt;alt-title&gt;Langmuir&lt;/alt-title&gt;&lt;/titles&gt;&lt;periodical&gt;&lt;full-title&gt;Langmuir&lt;/full-title&gt;&lt;/periodical&gt;&lt;alt-periodical&gt;&lt;full-title&gt;Langmuir&lt;/full-title&gt;&lt;/alt-periodical&gt;&lt;pages&gt;9518-9525&lt;/pages&gt;&lt;volume&gt;19&lt;/volume&gt;&lt;number&gt;22&lt;/number&gt;&lt;section&gt;9518&lt;/section&gt;&lt;keywords&gt;&lt;keyword&gt;cluster molecules&lt;/keyword&gt;&lt;keyword&gt;particle-size&lt;/keyword&gt;&lt;keyword&gt;monolayers&lt;/keyword&gt;&lt;keyword&gt;growth&lt;/keyword&gt;&lt;keyword&gt;adsorption&lt;/keyword&gt;&lt;keyword&gt;interface&lt;/keyword&gt;&lt;keyword&gt;silver&lt;/keyword&gt;&lt;keyword&gt;sers&lt;/keyword&gt;&lt;keyword&gt;nm&lt;/keyword&gt;&lt;/keywords&gt;&lt;dates&gt;&lt;year&gt;2003&lt;/year&gt;&lt;pub-dates&gt;&lt;date&gt;Oct 28&lt;/date&gt;&lt;/pub-dates&gt;&lt;/dates&gt;&lt;isbn&gt;0743-7463&lt;/isbn&gt;&lt;accession-num&gt;WOS:000186177200063&lt;/accession-num&gt;&lt;urls&gt;&lt;related-urls&gt;&lt;url&gt;&lt;style face="underline" font="default" size="100%"&gt;&amp;lt;Go to ISI&amp;gt;://WOS:000186177200063&lt;/style&gt;&lt;/url&gt;&lt;/related-urls&gt;&lt;/urls&gt;&lt;electronic-resource-num&gt;10.1021/la035157u&lt;/electronic-resource-num&gt;&lt;language&gt;English&lt;/language&gt;&lt;/record&gt;&lt;/Cite&gt;&lt;/EndNote&gt;</w:instrText>
      </w:r>
      <w:r w:rsidRPr="00484859">
        <w:rPr>
          <w:rFonts w:ascii="Arial" w:hAnsi="Arial" w:cs="Arial"/>
          <w:sz w:val="24"/>
          <w:szCs w:val="24"/>
        </w:rPr>
        <w:fldChar w:fldCharType="separate"/>
      </w:r>
      <w:r w:rsidRPr="00484859">
        <w:rPr>
          <w:rFonts w:ascii="Arial" w:hAnsi="Arial" w:cs="Arial"/>
          <w:noProof/>
          <w:sz w:val="24"/>
          <w:szCs w:val="24"/>
          <w:vertAlign w:val="superscript"/>
        </w:rPr>
        <w:t>1</w:t>
      </w:r>
      <w:r w:rsidRPr="00484859">
        <w:rPr>
          <w:rFonts w:ascii="Arial" w:hAnsi="Arial" w:cs="Arial"/>
          <w:sz w:val="24"/>
          <w:szCs w:val="24"/>
        </w:rPr>
        <w:fldChar w:fldCharType="end"/>
      </w:r>
      <w:r w:rsidRPr="00484859">
        <w:rPr>
          <w:rFonts w:ascii="Arial" w:hAnsi="Arial" w:cs="Arial"/>
          <w:sz w:val="24"/>
          <w:szCs w:val="24"/>
        </w:rPr>
        <w:t xml:space="preserve">. Therefore, immobilization of gold nanoparticles on plasma-polymerized AA surfaces </w:t>
      </w:r>
      <w:r w:rsidRPr="00484859">
        <w:rPr>
          <w:rFonts w:ascii="Arial" w:hAnsi="Arial" w:cs="Arial"/>
          <w:sz w:val="24"/>
          <w:szCs w:val="24"/>
        </w:rPr>
        <w:lastRenderedPageBreak/>
        <w:t xml:space="preserve">took place via electrostatic interaction. </w:t>
      </w:r>
      <w:proofErr w:type="spellStart"/>
      <w:r w:rsidRPr="00484859">
        <w:rPr>
          <w:rFonts w:ascii="Arial" w:hAnsi="Arial" w:cs="Arial"/>
          <w:sz w:val="24"/>
          <w:szCs w:val="24"/>
        </w:rPr>
        <w:t>POx</w:t>
      </w:r>
      <w:proofErr w:type="spellEnd"/>
      <w:r w:rsidRPr="00484859">
        <w:rPr>
          <w:rFonts w:ascii="Arial" w:hAnsi="Arial" w:cs="Arial"/>
          <w:sz w:val="24"/>
          <w:szCs w:val="24"/>
        </w:rPr>
        <w:t xml:space="preserve"> chemistry facilitated covalent reaction (covalent amide bonds) with carboxylic acid groups of sodium citrate.</w:t>
      </w:r>
    </w:p>
    <w:p w14:paraId="6A73ED12" w14:textId="4AE9C7D8" w:rsidR="00484859" w:rsidRPr="00484859" w:rsidRDefault="00484859" w:rsidP="00484859">
      <w:pPr>
        <w:widowControl w:val="0"/>
        <w:autoSpaceDE w:val="0"/>
        <w:autoSpaceDN w:val="0"/>
        <w:adjustRightInd w:val="0"/>
        <w:spacing w:after="0" w:line="360" w:lineRule="auto"/>
        <w:rPr>
          <w:rFonts w:ascii="Arial" w:hAnsi="Arial" w:cs="Arial"/>
          <w:sz w:val="24"/>
          <w:szCs w:val="24"/>
        </w:rPr>
      </w:pPr>
      <w:r w:rsidRPr="00484859">
        <w:rPr>
          <w:rFonts w:ascii="Arial" w:hAnsi="Arial" w:cs="Arial"/>
          <w:sz w:val="24"/>
          <w:szCs w:val="24"/>
        </w:rPr>
        <w:t xml:space="preserve">Figure </w:t>
      </w:r>
      <w:r>
        <w:rPr>
          <w:rFonts w:ascii="Arial" w:hAnsi="Arial" w:cs="Arial"/>
          <w:sz w:val="24"/>
          <w:szCs w:val="24"/>
        </w:rPr>
        <w:t>S</w:t>
      </w:r>
      <w:r w:rsidRPr="00484859">
        <w:rPr>
          <w:rFonts w:ascii="Arial" w:hAnsi="Arial" w:cs="Arial"/>
          <w:sz w:val="24"/>
          <w:szCs w:val="24"/>
        </w:rPr>
        <w:t xml:space="preserve">1 summarizes the physicochemical properties of allylamine and 2-methyl-2-oxazoline coatings deposited on glass slides. The thickness of the plasma polymers was in the range of 20 to 30 nm. Both coatings were hydrophilic. </w:t>
      </w:r>
      <w:r>
        <w:rPr>
          <w:rFonts w:ascii="Arial" w:hAnsi="Arial" w:cs="Arial"/>
          <w:sz w:val="24"/>
          <w:szCs w:val="24"/>
        </w:rPr>
        <w:t>The</w:t>
      </w:r>
      <w:r w:rsidRPr="00484859">
        <w:rPr>
          <w:rFonts w:ascii="Arial" w:hAnsi="Arial" w:cs="Arial"/>
          <w:sz w:val="24"/>
          <w:szCs w:val="24"/>
        </w:rPr>
        <w:t xml:space="preserve"> IR and C1s high-resolution spectra revealing the complex chemistry of a typical plasma deposited </w:t>
      </w:r>
      <w:proofErr w:type="spellStart"/>
      <w:r w:rsidRPr="00484859">
        <w:rPr>
          <w:rFonts w:ascii="Arial" w:hAnsi="Arial" w:cs="Arial"/>
          <w:sz w:val="24"/>
          <w:szCs w:val="24"/>
        </w:rPr>
        <w:t>POx</w:t>
      </w:r>
      <w:proofErr w:type="spellEnd"/>
      <w:r w:rsidRPr="00484859">
        <w:rPr>
          <w:rFonts w:ascii="Arial" w:hAnsi="Arial" w:cs="Arial"/>
          <w:sz w:val="24"/>
          <w:szCs w:val="24"/>
        </w:rPr>
        <w:t xml:space="preserve"> and AA films are shown in Figure S1. The elemental composition and atomic concentration of the chemical elements after immobilization of gold nanoparticles on those coatings are also given in Figure S1I. The gold atomic concentration was higher for the larger nanoparticles and was around 9 at. % </w:t>
      </w:r>
      <w:proofErr w:type="gramStart"/>
      <w:r w:rsidRPr="00484859">
        <w:rPr>
          <w:rFonts w:ascii="Arial" w:hAnsi="Arial" w:cs="Arial"/>
          <w:sz w:val="24"/>
          <w:szCs w:val="24"/>
        </w:rPr>
        <w:t>on</w:t>
      </w:r>
      <w:proofErr w:type="gramEnd"/>
      <w:r w:rsidRPr="00484859">
        <w:rPr>
          <w:rFonts w:ascii="Arial" w:hAnsi="Arial" w:cs="Arial"/>
          <w:sz w:val="24"/>
          <w:szCs w:val="24"/>
        </w:rPr>
        <w:t xml:space="preserve"> both </w:t>
      </w:r>
      <w:proofErr w:type="spellStart"/>
      <w:r w:rsidRPr="00484859">
        <w:rPr>
          <w:rFonts w:ascii="Arial" w:hAnsi="Arial" w:cs="Arial"/>
          <w:sz w:val="24"/>
          <w:szCs w:val="24"/>
        </w:rPr>
        <w:t>POx</w:t>
      </w:r>
      <w:proofErr w:type="spellEnd"/>
      <w:r w:rsidRPr="00484859">
        <w:rPr>
          <w:rFonts w:ascii="Arial" w:hAnsi="Arial" w:cs="Arial"/>
          <w:sz w:val="24"/>
          <w:szCs w:val="24"/>
        </w:rPr>
        <w:t xml:space="preserve"> and AA</w:t>
      </w:r>
      <w:r>
        <w:rPr>
          <w:rFonts w:ascii="Arial" w:hAnsi="Arial" w:cs="Arial"/>
          <w:sz w:val="24"/>
          <w:szCs w:val="24"/>
        </w:rPr>
        <w:t xml:space="preserve"> base layers</w:t>
      </w:r>
      <w:r w:rsidRPr="00484859">
        <w:rPr>
          <w:rFonts w:ascii="Arial" w:hAnsi="Arial" w:cs="Arial"/>
          <w:sz w:val="24"/>
          <w:szCs w:val="24"/>
        </w:rPr>
        <w:t xml:space="preserve">.  </w:t>
      </w:r>
    </w:p>
    <w:p w14:paraId="3F7865EB" w14:textId="77777777" w:rsidR="00484859" w:rsidRPr="00484859" w:rsidRDefault="00484859" w:rsidP="00484859">
      <w:pPr>
        <w:spacing w:after="0" w:line="360" w:lineRule="auto"/>
        <w:rPr>
          <w:rFonts w:ascii="Times New Roman" w:hAnsi="Times New Roman" w:cs="Times New Roman"/>
          <w:sz w:val="28"/>
          <w:szCs w:val="28"/>
        </w:rPr>
      </w:pPr>
    </w:p>
    <w:p w14:paraId="2BE7C057" w14:textId="733E2156" w:rsidR="00484859" w:rsidRDefault="00484859" w:rsidP="00484859">
      <w:pPr>
        <w:spacing w:after="0" w:line="360" w:lineRule="auto"/>
        <w:jc w:val="center"/>
        <w:rPr>
          <w:rFonts w:ascii="Times New Roman" w:hAnsi="Times New Roman" w:cs="Times New Roman"/>
          <w:b/>
          <w:bCs/>
          <w:sz w:val="28"/>
          <w:szCs w:val="28"/>
        </w:rPr>
      </w:pPr>
      <w:r>
        <w:rPr>
          <w:rFonts w:ascii="Arial" w:hAnsi="Arial" w:cs="Arial"/>
          <w:noProof/>
          <w:sz w:val="24"/>
          <w:szCs w:val="24"/>
        </w:rPr>
        <w:lastRenderedPageBreak/>
        <w:drawing>
          <wp:anchor distT="0" distB="0" distL="114300" distR="114300" simplePos="0" relativeHeight="251659264" behindDoc="0" locked="0" layoutInCell="1" allowOverlap="1" wp14:anchorId="0A151415" wp14:editId="0F1FAF2B">
            <wp:simplePos x="0" y="0"/>
            <wp:positionH relativeFrom="margin">
              <wp:align>left</wp:align>
            </wp:positionH>
            <wp:positionV relativeFrom="paragraph">
              <wp:posOffset>218</wp:posOffset>
            </wp:positionV>
            <wp:extent cx="5607136" cy="9495574"/>
            <wp:effectExtent l="0" t="0" r="0" b="0"/>
            <wp:wrapTight wrapText="bothSides">
              <wp:wrapPolygon edited="0">
                <wp:start x="0" y="0"/>
                <wp:lineTo x="0" y="21538"/>
                <wp:lineTo x="21502" y="21538"/>
                <wp:lineTo x="21502" y="0"/>
                <wp:lineTo x="0" y="0"/>
              </wp:wrapPolygon>
            </wp:wrapTight>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7136" cy="9495574"/>
                    </a:xfrm>
                    <a:prstGeom prst="rect">
                      <a:avLst/>
                    </a:prstGeom>
                  </pic:spPr>
                </pic:pic>
              </a:graphicData>
            </a:graphic>
            <wp14:sizeRelH relativeFrom="margin">
              <wp14:pctWidth>0</wp14:pctWidth>
            </wp14:sizeRelH>
            <wp14:sizeRelV relativeFrom="margin">
              <wp14:pctHeight>0</wp14:pctHeight>
            </wp14:sizeRelV>
          </wp:anchor>
        </w:drawing>
      </w:r>
    </w:p>
    <w:p w14:paraId="7C897FAE" w14:textId="77777777" w:rsidR="00484859" w:rsidRPr="00484859" w:rsidRDefault="00484859" w:rsidP="00484859">
      <w:pPr>
        <w:spacing w:after="0" w:line="360" w:lineRule="auto"/>
        <w:rPr>
          <w:rFonts w:ascii="Arial" w:hAnsi="Arial" w:cs="Arial"/>
          <w:b/>
          <w:bCs/>
        </w:rPr>
      </w:pPr>
      <w:r w:rsidRPr="00484859">
        <w:rPr>
          <w:rFonts w:ascii="Arial" w:hAnsi="Arial" w:cs="Arial"/>
          <w:b/>
          <w:bCs/>
        </w:rPr>
        <w:lastRenderedPageBreak/>
        <w:t xml:space="preserve">Figure S1. A </w:t>
      </w:r>
      <w:r w:rsidRPr="00484859">
        <w:rPr>
          <w:rFonts w:ascii="Arial" w:hAnsi="Arial" w:cs="Arial"/>
        </w:rPr>
        <w:t xml:space="preserve">Plasma deposited </w:t>
      </w:r>
      <w:bookmarkStart w:id="0" w:name="_Hlk97624936"/>
      <w:r w:rsidRPr="00484859">
        <w:rPr>
          <w:rFonts w:ascii="Arial" w:hAnsi="Arial" w:cs="Arial"/>
        </w:rPr>
        <w:t>2-methyl-2-oxazoline</w:t>
      </w:r>
      <w:bookmarkEnd w:id="0"/>
      <w:r w:rsidRPr="00484859">
        <w:rPr>
          <w:rFonts w:ascii="Arial" w:hAnsi="Arial" w:cs="Arial"/>
        </w:rPr>
        <w:t xml:space="preserve"> and allylamine coatings thicknesses determined by Ellipsometry and advancing water contact angles. </w:t>
      </w:r>
      <w:r w:rsidRPr="00484859">
        <w:rPr>
          <w:rFonts w:ascii="Arial" w:hAnsi="Arial" w:cs="Arial"/>
          <w:b/>
          <w:bCs/>
        </w:rPr>
        <w:t>B</w:t>
      </w:r>
      <w:r w:rsidRPr="00484859">
        <w:rPr>
          <w:rFonts w:ascii="Arial" w:hAnsi="Arial" w:cs="Arial"/>
        </w:rPr>
        <w:t xml:space="preserve"> FTIR spectra of 2-methyl-2-oxazoline (pink) and allylamine (blue) coatings deposited on KBr. </w:t>
      </w:r>
      <w:r w:rsidRPr="00484859">
        <w:rPr>
          <w:rFonts w:ascii="Arial" w:hAnsi="Arial" w:cs="Arial"/>
          <w:b/>
          <w:bCs/>
        </w:rPr>
        <w:t>C</w:t>
      </w:r>
      <w:r w:rsidRPr="00484859">
        <w:rPr>
          <w:rFonts w:ascii="Arial" w:hAnsi="Arial" w:cs="Arial"/>
        </w:rPr>
        <w:t xml:space="preserve"> High-resolution C1s spectrum of 2-methyl-2-oxazoline coating. </w:t>
      </w:r>
      <w:r w:rsidRPr="00484859">
        <w:rPr>
          <w:rFonts w:ascii="Arial" w:hAnsi="Arial" w:cs="Arial"/>
          <w:b/>
          <w:bCs/>
        </w:rPr>
        <w:t>D</w:t>
      </w:r>
      <w:r w:rsidRPr="00484859">
        <w:rPr>
          <w:rFonts w:ascii="Arial" w:hAnsi="Arial" w:cs="Arial"/>
        </w:rPr>
        <w:t xml:space="preserve"> High-resolution C1s spectrum of allylamine coating. </w:t>
      </w:r>
      <w:r w:rsidRPr="00484859">
        <w:rPr>
          <w:rFonts w:ascii="Arial" w:hAnsi="Arial" w:cs="Arial"/>
          <w:b/>
          <w:bCs/>
        </w:rPr>
        <w:t>E</w:t>
      </w:r>
      <w:r w:rsidRPr="00484859">
        <w:t xml:space="preserve"> </w:t>
      </w:r>
      <w:r w:rsidRPr="00484859">
        <w:rPr>
          <w:rFonts w:ascii="Arial" w:hAnsi="Arial" w:cs="Arial"/>
        </w:rPr>
        <w:t xml:space="preserve">XPS high-resolution N1s spectrum of 2-methyl-2-oxazoline coating and </w:t>
      </w:r>
      <w:r w:rsidRPr="00484859">
        <w:rPr>
          <w:rFonts w:ascii="Arial" w:hAnsi="Arial" w:cs="Arial"/>
          <w:b/>
          <w:bCs/>
        </w:rPr>
        <w:t xml:space="preserve">F </w:t>
      </w:r>
      <w:r w:rsidRPr="00484859">
        <w:rPr>
          <w:rFonts w:ascii="Arial" w:hAnsi="Arial" w:cs="Arial"/>
        </w:rPr>
        <w:t>XPS high-resolution N1s spectrum of allylamine coating.</w:t>
      </w:r>
    </w:p>
    <w:p w14:paraId="41F43716" w14:textId="77777777" w:rsidR="00484859" w:rsidRPr="00484859" w:rsidRDefault="00484859" w:rsidP="00484859">
      <w:pPr>
        <w:spacing w:after="0" w:line="360" w:lineRule="auto"/>
        <w:rPr>
          <w:rFonts w:ascii="Arial" w:hAnsi="Arial" w:cs="Arial"/>
        </w:rPr>
      </w:pPr>
      <w:r w:rsidRPr="00484859">
        <w:rPr>
          <w:rFonts w:ascii="Arial" w:hAnsi="Arial" w:cs="Arial"/>
          <w:b/>
          <w:bCs/>
        </w:rPr>
        <w:t>G</w:t>
      </w:r>
      <w:r w:rsidRPr="00484859">
        <w:rPr>
          <w:rFonts w:ascii="Arial" w:hAnsi="Arial" w:cs="Arial"/>
        </w:rPr>
        <w:t xml:space="preserve"> XPS survey spectra showing the surface chemical composition of 2-methyl-2-oxazoline coated surface and surface modified with 38 and 68 nm Au nanoparticles </w:t>
      </w:r>
      <w:r w:rsidRPr="00484859">
        <w:rPr>
          <w:rFonts w:ascii="Arial" w:hAnsi="Arial" w:cs="Arial"/>
          <w:b/>
          <w:bCs/>
        </w:rPr>
        <w:t>H</w:t>
      </w:r>
      <w:r w:rsidRPr="00484859">
        <w:rPr>
          <w:rFonts w:ascii="Arial" w:hAnsi="Arial" w:cs="Arial"/>
        </w:rPr>
        <w:t xml:space="preserve"> XPS survey spectra showing the surface chemical composition of allylamine coated surface and surface modified with 38 and 68 nm Au nanoparticles. </w:t>
      </w:r>
      <w:r w:rsidRPr="00484859">
        <w:rPr>
          <w:rFonts w:ascii="Arial" w:hAnsi="Arial" w:cs="Arial"/>
          <w:b/>
          <w:bCs/>
        </w:rPr>
        <w:t xml:space="preserve">I </w:t>
      </w:r>
      <w:r w:rsidRPr="00484859">
        <w:rPr>
          <w:rFonts w:ascii="Arial" w:hAnsi="Arial" w:cs="Arial"/>
        </w:rPr>
        <w:t>Elemental composition</w:t>
      </w:r>
      <w:r w:rsidRPr="00484859">
        <w:rPr>
          <w:rFonts w:ascii="Arial" w:hAnsi="Arial" w:cs="Arial"/>
          <w:b/>
          <w:bCs/>
        </w:rPr>
        <w:t xml:space="preserve"> </w:t>
      </w:r>
      <w:r w:rsidRPr="00484859">
        <w:rPr>
          <w:rFonts w:ascii="Arial" w:hAnsi="Arial" w:cs="Arial"/>
        </w:rPr>
        <w:t>of the allylamine coating before and after AuNPs immobilization.</w:t>
      </w:r>
      <w:r w:rsidRPr="00484859">
        <w:rPr>
          <w:rFonts w:ascii="Arial" w:hAnsi="Arial" w:cs="Arial"/>
          <w:b/>
          <w:bCs/>
        </w:rPr>
        <w:t xml:space="preserve">  J </w:t>
      </w:r>
      <w:r w:rsidRPr="00484859">
        <w:rPr>
          <w:rFonts w:ascii="Arial" w:hAnsi="Arial" w:cs="Arial"/>
        </w:rPr>
        <w:t>Elemental composition</w:t>
      </w:r>
      <w:r w:rsidRPr="00484859">
        <w:rPr>
          <w:rFonts w:ascii="Arial" w:hAnsi="Arial" w:cs="Arial"/>
          <w:b/>
          <w:bCs/>
        </w:rPr>
        <w:t xml:space="preserve"> </w:t>
      </w:r>
      <w:r w:rsidRPr="00484859">
        <w:rPr>
          <w:rFonts w:ascii="Arial" w:hAnsi="Arial" w:cs="Arial"/>
        </w:rPr>
        <w:t xml:space="preserve">of the 2-methyl-2-oxazoline coating before and after AuNPs immobilization. </w:t>
      </w:r>
      <w:r w:rsidRPr="00484859">
        <w:rPr>
          <w:rFonts w:ascii="Arial" w:hAnsi="Arial" w:cs="Arial"/>
          <w:b/>
          <w:bCs/>
        </w:rPr>
        <w:t xml:space="preserve"> </w:t>
      </w:r>
    </w:p>
    <w:p w14:paraId="1977C5EC" w14:textId="22F0A536" w:rsidR="00484859" w:rsidRDefault="00484859" w:rsidP="00484859">
      <w:pPr>
        <w:spacing w:after="0" w:line="360" w:lineRule="auto"/>
        <w:jc w:val="center"/>
        <w:rPr>
          <w:rFonts w:ascii="Times New Roman" w:hAnsi="Times New Roman" w:cs="Times New Roman"/>
          <w:b/>
          <w:bCs/>
          <w:sz w:val="28"/>
          <w:szCs w:val="28"/>
        </w:rPr>
      </w:pPr>
    </w:p>
    <w:p w14:paraId="023172E8" w14:textId="10BA6445" w:rsidR="001E6DF2" w:rsidRPr="00577B7C" w:rsidRDefault="001E6DF2" w:rsidP="008D38B3">
      <w:pPr>
        <w:rPr>
          <w:rFonts w:ascii="Arial" w:hAnsi="Arial" w:cs="Arial"/>
          <w:b/>
          <w:bCs/>
          <w:i/>
          <w:iCs/>
          <w:sz w:val="24"/>
          <w:szCs w:val="24"/>
        </w:rPr>
      </w:pPr>
      <w:r w:rsidRPr="00577B7C">
        <w:rPr>
          <w:rFonts w:ascii="Arial" w:hAnsi="Arial" w:cs="Arial"/>
          <w:b/>
          <w:bCs/>
          <w:i/>
          <w:iCs/>
          <w:sz w:val="24"/>
          <w:szCs w:val="24"/>
        </w:rPr>
        <w:t>Thickness measurements and contact angle</w:t>
      </w:r>
    </w:p>
    <w:p w14:paraId="3E11E14F" w14:textId="4385DA59" w:rsidR="001E6DF2" w:rsidRPr="00577B7C" w:rsidRDefault="001E6DF2" w:rsidP="008D38B3">
      <w:pPr>
        <w:spacing w:after="0" w:line="360" w:lineRule="auto"/>
        <w:rPr>
          <w:rFonts w:ascii="Arial" w:hAnsi="Arial" w:cs="Arial"/>
          <w:sz w:val="24"/>
          <w:szCs w:val="24"/>
          <w:lang w:val="en-US"/>
        </w:rPr>
      </w:pPr>
      <w:r w:rsidRPr="00577B7C">
        <w:rPr>
          <w:rFonts w:ascii="Arial" w:hAnsi="Arial" w:cs="Arial"/>
          <w:sz w:val="24"/>
          <w:szCs w:val="24"/>
          <w:lang w:val="en-US"/>
        </w:rPr>
        <w:t xml:space="preserve">The thickness of the deposited plasma polymers was determined using an ellipsometer. Sample coatings' thicknesses are shown in Figure S1A. For the plasma deposition conditions given in </w:t>
      </w:r>
      <w:r w:rsidR="0049151C" w:rsidRPr="00577B7C">
        <w:rPr>
          <w:rFonts w:ascii="Arial" w:hAnsi="Arial" w:cs="Arial"/>
          <w:sz w:val="24"/>
          <w:szCs w:val="24"/>
          <w:lang w:val="en-US"/>
        </w:rPr>
        <w:t xml:space="preserve">the </w:t>
      </w:r>
      <w:r w:rsidRPr="00577B7C">
        <w:rPr>
          <w:rFonts w:ascii="Arial" w:hAnsi="Arial" w:cs="Arial"/>
          <w:sz w:val="24"/>
          <w:szCs w:val="24"/>
          <w:lang w:val="en-US"/>
        </w:rPr>
        <w:t>Materials and Methods section, the thickness of the 2-methyl-2-oxazoline coating was 2</w:t>
      </w:r>
      <w:r w:rsidR="00AB6F04" w:rsidRPr="00577B7C">
        <w:rPr>
          <w:rFonts w:ascii="Arial" w:hAnsi="Arial" w:cs="Arial"/>
          <w:sz w:val="24"/>
          <w:szCs w:val="24"/>
          <w:lang w:val="en-US"/>
        </w:rPr>
        <w:t>5</w:t>
      </w:r>
      <w:r w:rsidRPr="00577B7C">
        <w:rPr>
          <w:rFonts w:ascii="Arial" w:hAnsi="Arial" w:cs="Arial"/>
          <w:sz w:val="24"/>
          <w:szCs w:val="24"/>
          <w:lang w:val="en-US"/>
        </w:rPr>
        <w:t xml:space="preserve"> nm, whereas </w:t>
      </w:r>
      <w:r w:rsidR="0049151C" w:rsidRPr="00577B7C">
        <w:rPr>
          <w:rFonts w:ascii="Arial" w:hAnsi="Arial" w:cs="Arial"/>
          <w:sz w:val="24"/>
          <w:szCs w:val="24"/>
          <w:lang w:val="en-US"/>
        </w:rPr>
        <w:t xml:space="preserve">the thickness </w:t>
      </w:r>
      <w:r w:rsidR="004D72D5" w:rsidRPr="00577B7C">
        <w:rPr>
          <w:rFonts w:ascii="Arial" w:hAnsi="Arial" w:cs="Arial"/>
          <w:sz w:val="24"/>
          <w:szCs w:val="24"/>
          <w:lang w:val="en-US"/>
        </w:rPr>
        <w:t>of</w:t>
      </w:r>
      <w:r w:rsidRPr="00577B7C">
        <w:rPr>
          <w:rFonts w:ascii="Arial" w:hAnsi="Arial" w:cs="Arial"/>
          <w:sz w:val="24"/>
          <w:szCs w:val="24"/>
          <w:lang w:val="en-US"/>
        </w:rPr>
        <w:t xml:space="preserve"> the allylamine was 3</w:t>
      </w:r>
      <w:r w:rsidR="00AB6F04" w:rsidRPr="00577B7C">
        <w:rPr>
          <w:rFonts w:ascii="Arial" w:hAnsi="Arial" w:cs="Arial"/>
          <w:sz w:val="24"/>
          <w:szCs w:val="24"/>
          <w:lang w:val="en-US"/>
        </w:rPr>
        <w:t>0</w:t>
      </w:r>
      <w:r w:rsidRPr="00577B7C">
        <w:rPr>
          <w:rFonts w:ascii="Arial" w:hAnsi="Arial" w:cs="Arial"/>
          <w:sz w:val="24"/>
          <w:szCs w:val="24"/>
          <w:lang w:val="en-US"/>
        </w:rPr>
        <w:t xml:space="preserve"> nm.</w:t>
      </w:r>
    </w:p>
    <w:p w14:paraId="4EFD61ED" w14:textId="560ED219" w:rsidR="001E6DF2" w:rsidRPr="00577B7C" w:rsidRDefault="001E6DF2" w:rsidP="008D38B3">
      <w:pPr>
        <w:spacing w:after="0" w:line="360" w:lineRule="auto"/>
        <w:rPr>
          <w:rFonts w:ascii="Arial" w:hAnsi="Arial" w:cs="Arial"/>
          <w:sz w:val="24"/>
          <w:szCs w:val="24"/>
          <w:lang w:val="en-US"/>
        </w:rPr>
      </w:pPr>
      <w:r w:rsidRPr="00577B7C">
        <w:rPr>
          <w:rFonts w:ascii="Arial" w:hAnsi="Arial" w:cs="Arial"/>
          <w:sz w:val="24"/>
          <w:szCs w:val="24"/>
          <w:lang w:val="en-US"/>
        </w:rPr>
        <w:t xml:space="preserve">The wettability of investigated coatings was assessed by measuring the advancing contact angle of water on the 2-methyl-2-oxazoline and allylamine coatings. </w:t>
      </w:r>
      <w:r w:rsidR="004D72D5" w:rsidRPr="00577B7C">
        <w:rPr>
          <w:rFonts w:ascii="Arial" w:hAnsi="Arial" w:cs="Arial"/>
          <w:sz w:val="24"/>
          <w:szCs w:val="24"/>
          <w:lang w:val="en-US"/>
        </w:rPr>
        <w:t>Both</w:t>
      </w:r>
      <w:r w:rsidRPr="00577B7C">
        <w:rPr>
          <w:rFonts w:ascii="Arial" w:hAnsi="Arial" w:cs="Arial"/>
          <w:sz w:val="24"/>
          <w:szCs w:val="24"/>
          <w:lang w:val="en-US"/>
        </w:rPr>
        <w:t xml:space="preserve"> coatings were hydrophilic with water contact angles of 53</w:t>
      </w:r>
      <w:r w:rsidR="00AE323F" w:rsidRPr="00577B7C">
        <w:rPr>
          <w:rFonts w:ascii="Arial" w:hAnsi="Arial" w:cs="Arial"/>
          <w:sz w:val="24"/>
          <w:szCs w:val="24"/>
          <w:vertAlign w:val="superscript"/>
          <w:lang w:val="en-US"/>
        </w:rPr>
        <w:t xml:space="preserve">o </w:t>
      </w:r>
      <w:r w:rsidRPr="00577B7C">
        <w:rPr>
          <w:rFonts w:ascii="Arial" w:hAnsi="Arial" w:cs="Arial"/>
          <w:sz w:val="24"/>
          <w:szCs w:val="24"/>
          <w:lang w:val="en-US"/>
        </w:rPr>
        <w:t>and 62</w:t>
      </w:r>
      <w:r w:rsidR="00AE323F" w:rsidRPr="00577B7C">
        <w:rPr>
          <w:rFonts w:ascii="Arial" w:hAnsi="Arial" w:cs="Arial"/>
          <w:sz w:val="24"/>
          <w:szCs w:val="24"/>
          <w:vertAlign w:val="superscript"/>
          <w:lang w:val="en-US"/>
        </w:rPr>
        <w:t>o</w:t>
      </w:r>
      <w:r w:rsidRPr="00577B7C">
        <w:rPr>
          <w:rFonts w:ascii="Arial" w:hAnsi="Arial" w:cs="Arial"/>
          <w:sz w:val="24"/>
          <w:szCs w:val="24"/>
          <w:lang w:val="en-US"/>
        </w:rPr>
        <w:t xml:space="preserve">, as shown in Figure </w:t>
      </w:r>
      <w:r w:rsidR="004D72D5" w:rsidRPr="00577B7C">
        <w:rPr>
          <w:rFonts w:ascii="Arial" w:hAnsi="Arial" w:cs="Arial"/>
          <w:sz w:val="24"/>
          <w:szCs w:val="24"/>
          <w:lang w:val="en-US"/>
        </w:rPr>
        <w:t>S</w:t>
      </w:r>
      <w:r w:rsidRPr="00577B7C">
        <w:rPr>
          <w:rFonts w:ascii="Arial" w:hAnsi="Arial" w:cs="Arial"/>
          <w:sz w:val="24"/>
          <w:szCs w:val="24"/>
          <w:lang w:val="en-US"/>
        </w:rPr>
        <w:t>1</w:t>
      </w:r>
      <w:r w:rsidR="004D72D5" w:rsidRPr="00577B7C">
        <w:rPr>
          <w:rFonts w:ascii="Arial" w:hAnsi="Arial" w:cs="Arial"/>
          <w:sz w:val="24"/>
          <w:szCs w:val="24"/>
          <w:lang w:val="en-US"/>
        </w:rPr>
        <w:t>A</w:t>
      </w:r>
      <w:r w:rsidRPr="00577B7C">
        <w:rPr>
          <w:rFonts w:ascii="Arial" w:hAnsi="Arial" w:cs="Arial"/>
          <w:sz w:val="24"/>
          <w:szCs w:val="24"/>
          <w:lang w:val="en-US"/>
        </w:rPr>
        <w:t>. The measured contact angles align with previously published data</w:t>
      </w:r>
      <w:r w:rsidR="00CC3A33" w:rsidRPr="00577B7C">
        <w:rPr>
          <w:rFonts w:ascii="Arial" w:hAnsi="Arial" w:cs="Arial"/>
          <w:sz w:val="24"/>
          <w:szCs w:val="24"/>
          <w:lang w:val="en-US"/>
        </w:rPr>
        <w:t xml:space="preserve"> </w:t>
      </w:r>
      <w:r w:rsidR="00AE323F" w:rsidRPr="00577B7C">
        <w:rPr>
          <w:rFonts w:ascii="Arial" w:hAnsi="Arial" w:cs="Arial"/>
          <w:sz w:val="24"/>
          <w:szCs w:val="24"/>
          <w:lang w:val="en-US"/>
        </w:rPr>
        <w:fldChar w:fldCharType="begin">
          <w:fldData xml:space="preserve">PEVuZE5vdGU+PENpdGU+PEF1dGhvcj5NaWVyY3p5bnNrYS1WYXNpbGV2PC9BdXRob3I+PFllYXI+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</w:fldData>
        </w:fldChar>
      </w:r>
      <w:r w:rsidR="009335EF">
        <w:rPr>
          <w:rFonts w:ascii="Arial" w:hAnsi="Arial" w:cs="Arial"/>
          <w:sz w:val="24"/>
          <w:szCs w:val="24"/>
          <w:lang w:val="en-US"/>
        </w:rPr>
        <w:instrText xml:space="preserve"> ADDIN EN.CITE </w:instrText>
      </w:r>
      <w:r w:rsidR="009335EF">
        <w:rPr>
          <w:rFonts w:ascii="Arial" w:hAnsi="Arial" w:cs="Arial"/>
          <w:sz w:val="24"/>
          <w:szCs w:val="24"/>
          <w:lang w:val="en-US"/>
        </w:rPr>
        <w:fldChar w:fldCharType="begin">
          <w:fldData xml:space="preserve">PEVuZE5vdGU+PENpdGU+PEF1dGhvcj5NaWVyY3p5bnNrYS1WYXNpbGV2PC9BdXRob3I+PFllYXI+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</w:fldData>
        </w:fldChar>
      </w:r>
      <w:r w:rsidR="009335EF">
        <w:rPr>
          <w:rFonts w:ascii="Arial" w:hAnsi="Arial" w:cs="Arial"/>
          <w:sz w:val="24"/>
          <w:szCs w:val="24"/>
          <w:lang w:val="en-US"/>
        </w:rPr>
        <w:instrText xml:space="preserve"> ADDIN EN.CITE.DATA </w:instrText>
      </w:r>
      <w:r w:rsidR="009335EF">
        <w:rPr>
          <w:rFonts w:ascii="Arial" w:hAnsi="Arial" w:cs="Arial"/>
          <w:sz w:val="24"/>
          <w:szCs w:val="24"/>
          <w:lang w:val="en-US"/>
        </w:rPr>
      </w:r>
      <w:r w:rsidR="009335EF">
        <w:rPr>
          <w:rFonts w:ascii="Arial" w:hAnsi="Arial" w:cs="Arial"/>
          <w:sz w:val="24"/>
          <w:szCs w:val="24"/>
          <w:lang w:val="en-US"/>
        </w:rPr>
        <w:fldChar w:fldCharType="end"/>
      </w:r>
      <w:r w:rsidR="00AE323F" w:rsidRPr="00577B7C">
        <w:rPr>
          <w:rFonts w:ascii="Arial" w:hAnsi="Arial" w:cs="Arial"/>
          <w:sz w:val="24"/>
          <w:szCs w:val="24"/>
          <w:lang w:val="en-US"/>
        </w:rPr>
        <w:fldChar w:fldCharType="separate"/>
      </w:r>
      <w:r w:rsidR="00484859" w:rsidRPr="00577B7C">
        <w:rPr>
          <w:rFonts w:ascii="Arial" w:hAnsi="Arial" w:cs="Arial"/>
          <w:noProof/>
          <w:sz w:val="24"/>
          <w:szCs w:val="24"/>
          <w:vertAlign w:val="superscript"/>
          <w:lang w:val="en-US"/>
        </w:rPr>
        <w:t>6</w:t>
      </w:r>
      <w:r w:rsidR="00AE323F" w:rsidRPr="00577B7C">
        <w:rPr>
          <w:rFonts w:ascii="Arial" w:hAnsi="Arial" w:cs="Arial"/>
          <w:sz w:val="24"/>
          <w:szCs w:val="24"/>
          <w:lang w:val="en-US"/>
        </w:rPr>
        <w:fldChar w:fldCharType="end"/>
      </w:r>
      <w:r w:rsidRPr="00577B7C">
        <w:rPr>
          <w:rFonts w:ascii="Arial" w:hAnsi="Arial" w:cs="Arial"/>
          <w:sz w:val="24"/>
          <w:szCs w:val="24"/>
          <w:lang w:val="en-US"/>
        </w:rPr>
        <w:t>. Furthermore, they are evidence that the changes in surface chemical composition influence the wettability of the coatings and thus strongly correlate with the interfacial interactions.</w:t>
      </w:r>
    </w:p>
    <w:p w14:paraId="69A2A3DA" w14:textId="77777777" w:rsidR="001E6DF2" w:rsidRPr="00577B7C" w:rsidRDefault="001E6DF2" w:rsidP="008D38B3">
      <w:pPr>
        <w:spacing w:after="0" w:line="360" w:lineRule="auto"/>
        <w:rPr>
          <w:rFonts w:ascii="Arial" w:hAnsi="Arial" w:cs="Arial"/>
          <w:b/>
          <w:bCs/>
          <w:sz w:val="24"/>
          <w:szCs w:val="24"/>
          <w:lang w:val="en-US"/>
        </w:rPr>
      </w:pPr>
      <w:r w:rsidRPr="00577B7C">
        <w:rPr>
          <w:rFonts w:ascii="Arial" w:hAnsi="Arial" w:cs="Arial"/>
          <w:b/>
          <w:bCs/>
          <w:i/>
          <w:iCs/>
          <w:sz w:val="24"/>
          <w:szCs w:val="24"/>
        </w:rPr>
        <w:t>FTIR analysis</w:t>
      </w:r>
    </w:p>
    <w:p w14:paraId="5EAE9C4C" w14:textId="4ECA0F42" w:rsidR="001E6DF2" w:rsidRPr="00577B7C" w:rsidRDefault="001E6DF2" w:rsidP="008D38B3">
      <w:pPr>
        <w:spacing w:after="0" w:line="360" w:lineRule="auto"/>
        <w:rPr>
          <w:rFonts w:ascii="Arial" w:hAnsi="Arial" w:cs="Arial"/>
          <w:sz w:val="24"/>
          <w:szCs w:val="24"/>
        </w:rPr>
      </w:pPr>
      <w:r w:rsidRPr="00577B7C">
        <w:rPr>
          <w:rFonts w:ascii="Arial" w:hAnsi="Arial" w:cs="Arial"/>
          <w:sz w:val="24"/>
          <w:szCs w:val="24"/>
        </w:rPr>
        <w:t xml:space="preserve">Fourier transform infrared spectroscopy was used to identify the chemical functionalities present in the 2-methyl-2-oxazoline and allylamine coatings. The spectra of the investigated coatings are shown in Figure </w:t>
      </w:r>
      <w:r w:rsidR="004D72D5" w:rsidRPr="00577B7C">
        <w:rPr>
          <w:rFonts w:ascii="Arial" w:hAnsi="Arial" w:cs="Arial"/>
          <w:sz w:val="24"/>
          <w:szCs w:val="24"/>
        </w:rPr>
        <w:t>S</w:t>
      </w:r>
      <w:r w:rsidRPr="00577B7C">
        <w:rPr>
          <w:rFonts w:ascii="Arial" w:hAnsi="Arial" w:cs="Arial"/>
          <w:sz w:val="24"/>
          <w:szCs w:val="24"/>
        </w:rPr>
        <w:t>1</w:t>
      </w:r>
      <w:r w:rsidR="004D72D5" w:rsidRPr="00577B7C">
        <w:rPr>
          <w:rFonts w:ascii="Arial" w:hAnsi="Arial" w:cs="Arial"/>
          <w:sz w:val="24"/>
          <w:szCs w:val="24"/>
        </w:rPr>
        <w:t>B</w:t>
      </w:r>
      <w:r w:rsidRPr="00577B7C">
        <w:rPr>
          <w:rFonts w:ascii="Arial" w:hAnsi="Arial" w:cs="Arial"/>
          <w:sz w:val="24"/>
          <w:szCs w:val="24"/>
        </w:rPr>
        <w:t>. A typical infrared spectrum of</w:t>
      </w:r>
      <w:r w:rsidR="004D72D5" w:rsidRPr="00577B7C">
        <w:rPr>
          <w:rFonts w:ascii="Arial" w:hAnsi="Arial" w:cs="Arial"/>
          <w:sz w:val="24"/>
          <w:szCs w:val="24"/>
        </w:rPr>
        <w:t xml:space="preserve"> </w:t>
      </w:r>
      <w:r w:rsidRPr="00577B7C">
        <w:rPr>
          <w:rFonts w:ascii="Arial" w:hAnsi="Arial" w:cs="Arial"/>
          <w:sz w:val="24"/>
          <w:szCs w:val="24"/>
        </w:rPr>
        <w:t xml:space="preserve">2-methyl-2-oxazoline plasma coating is shown in Figure </w:t>
      </w:r>
      <w:r w:rsidR="004D72D5" w:rsidRPr="00577B7C">
        <w:rPr>
          <w:rFonts w:ascii="Arial" w:hAnsi="Arial" w:cs="Arial"/>
          <w:sz w:val="24"/>
          <w:szCs w:val="24"/>
        </w:rPr>
        <w:t>S</w:t>
      </w:r>
      <w:r w:rsidRPr="00577B7C">
        <w:rPr>
          <w:rFonts w:ascii="Arial" w:hAnsi="Arial" w:cs="Arial"/>
          <w:sz w:val="24"/>
          <w:szCs w:val="24"/>
        </w:rPr>
        <w:t>1</w:t>
      </w:r>
      <w:r w:rsidR="004D72D5" w:rsidRPr="00577B7C">
        <w:rPr>
          <w:rFonts w:ascii="Arial" w:hAnsi="Arial" w:cs="Arial"/>
          <w:sz w:val="24"/>
          <w:szCs w:val="24"/>
        </w:rPr>
        <w:t>B</w:t>
      </w:r>
      <w:r w:rsidRPr="00577B7C">
        <w:rPr>
          <w:rFonts w:ascii="Arial" w:hAnsi="Arial" w:cs="Arial"/>
          <w:sz w:val="24"/>
          <w:szCs w:val="24"/>
        </w:rPr>
        <w:t xml:space="preserve"> in </w:t>
      </w:r>
      <w:r w:rsidR="004D72D5" w:rsidRPr="00577B7C">
        <w:rPr>
          <w:rFonts w:ascii="Arial" w:hAnsi="Arial" w:cs="Arial"/>
          <w:sz w:val="24"/>
          <w:szCs w:val="24"/>
        </w:rPr>
        <w:t>pink</w:t>
      </w:r>
      <w:r w:rsidRPr="00577B7C">
        <w:rPr>
          <w:rFonts w:ascii="Arial" w:hAnsi="Arial" w:cs="Arial"/>
          <w:sz w:val="24"/>
          <w:szCs w:val="24"/>
        </w:rPr>
        <w:t>. The coating contains many chemical functionalities, including C-O (1130 cm</w:t>
      </w:r>
      <w:r w:rsidRPr="00577B7C">
        <w:rPr>
          <w:rFonts w:ascii="Arial" w:hAnsi="Arial" w:cs="Arial"/>
          <w:sz w:val="24"/>
          <w:szCs w:val="24"/>
          <w:vertAlign w:val="superscript"/>
        </w:rPr>
        <w:t>-1</w:t>
      </w:r>
      <w:r w:rsidRPr="00577B7C">
        <w:rPr>
          <w:rFonts w:ascii="Arial" w:hAnsi="Arial" w:cs="Arial"/>
          <w:sz w:val="24"/>
          <w:szCs w:val="24"/>
        </w:rPr>
        <w:t>) and C=N stretching (1650 cm</w:t>
      </w:r>
      <w:r w:rsidRPr="00577B7C">
        <w:rPr>
          <w:rFonts w:ascii="Arial" w:hAnsi="Arial" w:cs="Arial"/>
          <w:sz w:val="24"/>
          <w:szCs w:val="24"/>
          <w:vertAlign w:val="superscript"/>
        </w:rPr>
        <w:t>-1</w:t>
      </w:r>
      <w:r w:rsidRPr="00577B7C">
        <w:rPr>
          <w:rFonts w:ascii="Arial" w:hAnsi="Arial" w:cs="Arial"/>
          <w:sz w:val="24"/>
          <w:szCs w:val="24"/>
        </w:rPr>
        <w:t xml:space="preserve">), both bonds present in the closed oxazoline ring. Since the C=N peak is quite broad, it likely overlaps with the C=O band, a function present </w:t>
      </w:r>
      <w:r w:rsidRPr="00577B7C">
        <w:rPr>
          <w:rFonts w:ascii="Arial" w:hAnsi="Arial" w:cs="Arial"/>
          <w:sz w:val="24"/>
          <w:szCs w:val="24"/>
        </w:rPr>
        <w:lastRenderedPageBreak/>
        <w:t xml:space="preserve">in the open ring configuration of </w:t>
      </w:r>
      <w:proofErr w:type="spellStart"/>
      <w:r w:rsidRPr="00577B7C">
        <w:rPr>
          <w:rFonts w:ascii="Arial" w:hAnsi="Arial" w:cs="Arial"/>
          <w:sz w:val="24"/>
          <w:szCs w:val="24"/>
        </w:rPr>
        <w:t>POx</w:t>
      </w:r>
      <w:proofErr w:type="spellEnd"/>
      <w:r w:rsidRPr="00577B7C">
        <w:rPr>
          <w:rFonts w:ascii="Arial" w:hAnsi="Arial" w:cs="Arial"/>
          <w:sz w:val="24"/>
          <w:szCs w:val="24"/>
        </w:rPr>
        <w:t xml:space="preserve">. In addition, the bands at </w:t>
      </w:r>
      <w:r w:rsidRPr="00577B7C">
        <w:rPr>
          <w:rFonts w:ascii="Arial" w:hAnsi="Arial" w:cs="Arial"/>
          <w:sz w:val="24"/>
          <w:szCs w:val="24"/>
        </w:rPr>
        <w:sym w:font="Symbol" w:char="F07E"/>
      </w:r>
      <w:r w:rsidRPr="00577B7C">
        <w:rPr>
          <w:rFonts w:ascii="Arial" w:hAnsi="Arial" w:cs="Arial"/>
          <w:sz w:val="24"/>
          <w:szCs w:val="24"/>
        </w:rPr>
        <w:t>2200 cm</w:t>
      </w:r>
      <w:r w:rsidRPr="00577B7C">
        <w:rPr>
          <w:rFonts w:ascii="Arial" w:hAnsi="Arial" w:cs="Arial"/>
          <w:sz w:val="24"/>
          <w:szCs w:val="24"/>
          <w:vertAlign w:val="superscript"/>
        </w:rPr>
        <w:t>-1</w:t>
      </w:r>
      <w:r w:rsidRPr="00577B7C">
        <w:rPr>
          <w:rFonts w:ascii="Arial" w:hAnsi="Arial" w:cs="Arial"/>
          <w:sz w:val="24"/>
          <w:szCs w:val="24"/>
        </w:rPr>
        <w:t xml:space="preserve"> indicate the presence of alkyne or isocyanate and nitrile functionality, which are specific to </w:t>
      </w:r>
      <w:proofErr w:type="spellStart"/>
      <w:r w:rsidRPr="00577B7C">
        <w:rPr>
          <w:rFonts w:ascii="Arial" w:hAnsi="Arial" w:cs="Arial"/>
          <w:sz w:val="24"/>
          <w:szCs w:val="24"/>
        </w:rPr>
        <w:t>POx</w:t>
      </w:r>
      <w:proofErr w:type="spellEnd"/>
      <w:r w:rsidRPr="00577B7C">
        <w:rPr>
          <w:rFonts w:ascii="Arial" w:hAnsi="Arial" w:cs="Arial"/>
          <w:sz w:val="24"/>
          <w:szCs w:val="24"/>
        </w:rPr>
        <w:t xml:space="preserve"> coatings. </w:t>
      </w:r>
    </w:p>
    <w:p w14:paraId="008B2A37" w14:textId="4C7C6F98" w:rsidR="00484859" w:rsidRPr="00577B7C" w:rsidRDefault="001E6DF2" w:rsidP="00484859">
      <w:pPr>
        <w:spacing w:after="0" w:line="360" w:lineRule="auto"/>
        <w:rPr>
          <w:rFonts w:ascii="Arial" w:hAnsi="Arial" w:cs="Arial"/>
          <w:sz w:val="24"/>
          <w:szCs w:val="24"/>
        </w:rPr>
      </w:pPr>
      <w:r w:rsidRPr="00577B7C">
        <w:rPr>
          <w:rFonts w:ascii="Arial" w:hAnsi="Arial" w:cs="Arial"/>
          <w:sz w:val="24"/>
          <w:szCs w:val="24"/>
        </w:rPr>
        <w:t xml:space="preserve">The FTIR spectrum of allylamine is given in Figure </w:t>
      </w:r>
      <w:r w:rsidR="002238E8" w:rsidRPr="00577B7C">
        <w:rPr>
          <w:rFonts w:ascii="Arial" w:hAnsi="Arial" w:cs="Arial"/>
          <w:sz w:val="24"/>
          <w:szCs w:val="24"/>
        </w:rPr>
        <w:t>S</w:t>
      </w:r>
      <w:r w:rsidRPr="00577B7C">
        <w:rPr>
          <w:rFonts w:ascii="Arial" w:hAnsi="Arial" w:cs="Arial"/>
          <w:sz w:val="24"/>
          <w:szCs w:val="24"/>
        </w:rPr>
        <w:t>1</w:t>
      </w:r>
      <w:r w:rsidR="002238E8" w:rsidRPr="00577B7C">
        <w:rPr>
          <w:rFonts w:ascii="Arial" w:hAnsi="Arial" w:cs="Arial"/>
          <w:sz w:val="24"/>
          <w:szCs w:val="24"/>
        </w:rPr>
        <w:t>B</w:t>
      </w:r>
      <w:r w:rsidRPr="00577B7C">
        <w:rPr>
          <w:rFonts w:ascii="Arial" w:hAnsi="Arial" w:cs="Arial"/>
          <w:sz w:val="24"/>
          <w:szCs w:val="24"/>
        </w:rPr>
        <w:t xml:space="preserve"> in </w:t>
      </w:r>
      <w:r w:rsidR="002238E8" w:rsidRPr="00577B7C">
        <w:rPr>
          <w:rFonts w:ascii="Arial" w:hAnsi="Arial" w:cs="Arial"/>
          <w:sz w:val="24"/>
          <w:szCs w:val="24"/>
        </w:rPr>
        <w:t>navy-blue</w:t>
      </w:r>
      <w:r w:rsidRPr="00577B7C">
        <w:rPr>
          <w:rFonts w:ascii="Arial" w:hAnsi="Arial" w:cs="Arial"/>
          <w:sz w:val="24"/>
          <w:szCs w:val="24"/>
        </w:rPr>
        <w:t>. According to the spectrum, the basic features of the monomer allylamine are preserved. The symmetric/asymmetric stretching vibrations of -CH</w:t>
      </w:r>
      <w:r w:rsidRPr="00577B7C">
        <w:rPr>
          <w:rFonts w:ascii="Arial" w:hAnsi="Arial" w:cs="Arial"/>
          <w:sz w:val="24"/>
          <w:szCs w:val="24"/>
          <w:vertAlign w:val="subscript"/>
        </w:rPr>
        <w:t>2</w:t>
      </w:r>
      <w:r w:rsidRPr="00577B7C">
        <w:rPr>
          <w:rFonts w:ascii="Arial" w:hAnsi="Arial" w:cs="Arial"/>
          <w:sz w:val="24"/>
          <w:szCs w:val="24"/>
        </w:rPr>
        <w:t xml:space="preserve"> and -CH</w:t>
      </w:r>
      <w:r w:rsidRPr="00577B7C">
        <w:rPr>
          <w:rFonts w:ascii="Arial" w:hAnsi="Arial" w:cs="Arial"/>
          <w:sz w:val="24"/>
          <w:szCs w:val="24"/>
          <w:vertAlign w:val="subscript"/>
        </w:rPr>
        <w:t>3</w:t>
      </w:r>
      <w:r w:rsidRPr="00577B7C">
        <w:rPr>
          <w:rFonts w:ascii="Arial" w:hAnsi="Arial" w:cs="Arial"/>
          <w:sz w:val="24"/>
          <w:szCs w:val="24"/>
        </w:rPr>
        <w:t xml:space="preserve"> at 2980-2880 cm</w:t>
      </w:r>
      <w:r w:rsidRPr="00577B7C">
        <w:rPr>
          <w:rFonts w:ascii="Arial" w:hAnsi="Arial" w:cs="Arial"/>
          <w:sz w:val="24"/>
          <w:szCs w:val="24"/>
          <w:vertAlign w:val="superscript"/>
        </w:rPr>
        <w:t>-1</w:t>
      </w:r>
      <w:r w:rsidRPr="00577B7C">
        <w:rPr>
          <w:rFonts w:ascii="Arial" w:hAnsi="Arial" w:cs="Arial"/>
          <w:sz w:val="24"/>
          <w:szCs w:val="24"/>
        </w:rPr>
        <w:t xml:space="preserve"> and the deformation vibrations of these groups at 1456-1374 cm</w:t>
      </w:r>
      <w:r w:rsidRPr="00577B7C">
        <w:rPr>
          <w:rFonts w:ascii="Arial" w:hAnsi="Arial" w:cs="Arial"/>
          <w:sz w:val="24"/>
          <w:szCs w:val="24"/>
          <w:vertAlign w:val="superscript"/>
        </w:rPr>
        <w:t>-1</w:t>
      </w:r>
      <w:r w:rsidRPr="00577B7C">
        <w:rPr>
          <w:rFonts w:ascii="Arial" w:hAnsi="Arial" w:cs="Arial"/>
          <w:sz w:val="24"/>
          <w:szCs w:val="24"/>
        </w:rPr>
        <w:t xml:space="preserve"> are evidence of the radical chain-growth polymerization. The stretching vibrations of -NH at 3363 cm</w:t>
      </w:r>
      <w:r w:rsidRPr="00577B7C">
        <w:rPr>
          <w:rFonts w:ascii="Arial" w:hAnsi="Arial" w:cs="Arial"/>
          <w:sz w:val="24"/>
          <w:szCs w:val="24"/>
          <w:vertAlign w:val="superscript"/>
        </w:rPr>
        <w:t>-1</w:t>
      </w:r>
      <w:r w:rsidRPr="00577B7C">
        <w:rPr>
          <w:rFonts w:ascii="Arial" w:hAnsi="Arial" w:cs="Arial"/>
          <w:sz w:val="24"/>
          <w:szCs w:val="24"/>
        </w:rPr>
        <w:t xml:space="preserve"> and the deformation vibrations of amines at 1635 cm</w:t>
      </w:r>
      <w:r w:rsidRPr="00577B7C">
        <w:rPr>
          <w:rFonts w:ascii="Arial" w:hAnsi="Arial" w:cs="Arial"/>
          <w:sz w:val="24"/>
          <w:szCs w:val="24"/>
          <w:vertAlign w:val="superscript"/>
        </w:rPr>
        <w:t>-1</w:t>
      </w:r>
      <w:r w:rsidRPr="00577B7C">
        <w:rPr>
          <w:rFonts w:ascii="Arial" w:hAnsi="Arial" w:cs="Arial"/>
          <w:sz w:val="24"/>
          <w:szCs w:val="24"/>
        </w:rPr>
        <w:t xml:space="preserve"> indicate good retention of the amine groups. A new band of 2182 cm</w:t>
      </w:r>
      <w:r w:rsidRPr="00577B7C">
        <w:rPr>
          <w:rFonts w:ascii="Arial" w:hAnsi="Arial" w:cs="Arial"/>
          <w:sz w:val="24"/>
          <w:szCs w:val="24"/>
          <w:vertAlign w:val="superscript"/>
        </w:rPr>
        <w:t>-1</w:t>
      </w:r>
      <w:r w:rsidRPr="00577B7C">
        <w:rPr>
          <w:rFonts w:ascii="Arial" w:hAnsi="Arial" w:cs="Arial"/>
          <w:sz w:val="24"/>
          <w:szCs w:val="24"/>
        </w:rPr>
        <w:t xml:space="preserve"> associated with stretching vibrations of nitrile groups and the imine group and ethene group at about 1635 cm</w:t>
      </w:r>
      <w:r w:rsidRPr="00577B7C">
        <w:rPr>
          <w:rFonts w:ascii="Arial" w:hAnsi="Arial" w:cs="Arial"/>
          <w:sz w:val="24"/>
          <w:szCs w:val="24"/>
          <w:vertAlign w:val="superscript"/>
        </w:rPr>
        <w:t>-1</w:t>
      </w:r>
      <w:r w:rsidRPr="00577B7C">
        <w:rPr>
          <w:rFonts w:ascii="Arial" w:hAnsi="Arial" w:cs="Arial"/>
          <w:sz w:val="24"/>
          <w:szCs w:val="24"/>
        </w:rPr>
        <w:t xml:space="preserve"> suggests that the amino groups of the precursor were partially transformed into amide, imine, or nitrile functional groups during the process of plasma deposition.</w:t>
      </w:r>
    </w:p>
    <w:p w14:paraId="7956BF35" w14:textId="31776E3C" w:rsidR="001E6DF2" w:rsidRPr="00577B7C" w:rsidRDefault="001E6DF2" w:rsidP="008D38B3">
      <w:pPr>
        <w:spacing w:after="0" w:line="360" w:lineRule="auto"/>
        <w:rPr>
          <w:rFonts w:ascii="Arial" w:hAnsi="Arial" w:cs="Arial"/>
          <w:b/>
          <w:bCs/>
          <w:i/>
          <w:iCs/>
          <w:sz w:val="24"/>
          <w:szCs w:val="24"/>
        </w:rPr>
      </w:pPr>
      <w:r w:rsidRPr="00577B7C">
        <w:rPr>
          <w:rFonts w:ascii="Arial" w:hAnsi="Arial" w:cs="Arial"/>
          <w:b/>
          <w:bCs/>
          <w:i/>
          <w:iCs/>
          <w:sz w:val="24"/>
          <w:szCs w:val="24"/>
        </w:rPr>
        <w:t>XPS analysis</w:t>
      </w:r>
    </w:p>
    <w:p w14:paraId="5AED28DF" w14:textId="1360BD2E" w:rsidR="001E6DF2" w:rsidRPr="00577B7C" w:rsidRDefault="001E6DF2" w:rsidP="008D38B3">
      <w:pPr>
        <w:spacing w:after="0" w:line="360" w:lineRule="auto"/>
        <w:rPr>
          <w:rFonts w:ascii="Arial" w:hAnsi="Arial" w:cs="Arial"/>
          <w:sz w:val="24"/>
          <w:szCs w:val="24"/>
        </w:rPr>
      </w:pPr>
      <w:r w:rsidRPr="00577B7C">
        <w:rPr>
          <w:rFonts w:ascii="Arial" w:hAnsi="Arial" w:cs="Arial"/>
          <w:sz w:val="24"/>
          <w:szCs w:val="24"/>
        </w:rPr>
        <w:t xml:space="preserve">In agreement with the precursor formula, the representative XPS survey spectrum of </w:t>
      </w:r>
      <w:proofErr w:type="spellStart"/>
      <w:r w:rsidRPr="00577B7C">
        <w:rPr>
          <w:rFonts w:ascii="Arial" w:hAnsi="Arial" w:cs="Arial"/>
          <w:sz w:val="24"/>
          <w:szCs w:val="24"/>
        </w:rPr>
        <w:t>POx</w:t>
      </w:r>
      <w:proofErr w:type="spellEnd"/>
      <w:r w:rsidRPr="00577B7C">
        <w:rPr>
          <w:rFonts w:ascii="Arial" w:hAnsi="Arial" w:cs="Arial"/>
          <w:sz w:val="24"/>
          <w:szCs w:val="24"/>
        </w:rPr>
        <w:t xml:space="preserve"> coating revealed that coating contains carbon</w:t>
      </w:r>
      <w:r w:rsidR="00354170" w:rsidRPr="00577B7C">
        <w:rPr>
          <w:rFonts w:ascii="Arial" w:hAnsi="Arial" w:cs="Arial"/>
          <w:sz w:val="24"/>
          <w:szCs w:val="24"/>
        </w:rPr>
        <w:t xml:space="preserve"> (68%)</w:t>
      </w:r>
      <w:r w:rsidRPr="00577B7C">
        <w:rPr>
          <w:rFonts w:ascii="Arial" w:hAnsi="Arial" w:cs="Arial"/>
          <w:sz w:val="24"/>
          <w:szCs w:val="24"/>
        </w:rPr>
        <w:t>, oxygen</w:t>
      </w:r>
      <w:r w:rsidR="00354170" w:rsidRPr="00577B7C">
        <w:rPr>
          <w:rFonts w:ascii="Arial" w:hAnsi="Arial" w:cs="Arial"/>
          <w:sz w:val="24"/>
          <w:szCs w:val="24"/>
        </w:rPr>
        <w:t xml:space="preserve"> (18%)</w:t>
      </w:r>
      <w:r w:rsidRPr="00577B7C">
        <w:rPr>
          <w:rFonts w:ascii="Arial" w:hAnsi="Arial" w:cs="Arial"/>
          <w:sz w:val="24"/>
          <w:szCs w:val="24"/>
        </w:rPr>
        <w:t>, and nitrogen</w:t>
      </w:r>
      <w:r w:rsidR="00354170" w:rsidRPr="00577B7C">
        <w:rPr>
          <w:rFonts w:ascii="Arial" w:hAnsi="Arial" w:cs="Arial"/>
          <w:sz w:val="24"/>
          <w:szCs w:val="24"/>
        </w:rPr>
        <w:t xml:space="preserve"> (14%) (Figure S1Ga)</w:t>
      </w:r>
      <w:r w:rsidRPr="00577B7C">
        <w:rPr>
          <w:rFonts w:ascii="Arial" w:hAnsi="Arial" w:cs="Arial"/>
          <w:sz w:val="24"/>
          <w:szCs w:val="24"/>
        </w:rPr>
        <w:t xml:space="preserve">. Both the carbon and nitrogen environments are complex. The nitrogen peak in </w:t>
      </w:r>
      <w:bookmarkStart w:id="1" w:name="_Hlk97624867"/>
      <w:r w:rsidRPr="00577B7C">
        <w:rPr>
          <w:rFonts w:ascii="Arial" w:hAnsi="Arial" w:cs="Arial"/>
          <w:sz w:val="24"/>
          <w:szCs w:val="24"/>
        </w:rPr>
        <w:t xml:space="preserve">XPS high-resolution N1s spectrum </w:t>
      </w:r>
      <w:bookmarkEnd w:id="1"/>
      <w:r w:rsidRPr="00577B7C">
        <w:rPr>
          <w:rFonts w:ascii="Arial" w:hAnsi="Arial" w:cs="Arial"/>
          <w:sz w:val="24"/>
          <w:szCs w:val="24"/>
        </w:rPr>
        <w:t xml:space="preserve">for </w:t>
      </w:r>
      <w:proofErr w:type="spellStart"/>
      <w:r w:rsidRPr="00577B7C">
        <w:rPr>
          <w:rFonts w:ascii="Arial" w:hAnsi="Arial" w:cs="Arial"/>
          <w:sz w:val="24"/>
          <w:szCs w:val="24"/>
        </w:rPr>
        <w:t>POx</w:t>
      </w:r>
      <w:proofErr w:type="spellEnd"/>
      <w:r w:rsidRPr="00577B7C">
        <w:rPr>
          <w:rFonts w:ascii="Arial" w:hAnsi="Arial" w:cs="Arial"/>
          <w:sz w:val="24"/>
          <w:szCs w:val="24"/>
        </w:rPr>
        <w:t xml:space="preserve"> mainly has amine (399.2 eV) bonds and amide (400.1 eV), and imine functionality below the amine because of an increase in electron density due to conjunction (S</w:t>
      </w:r>
      <w:r w:rsidR="002238E8" w:rsidRPr="00577B7C">
        <w:rPr>
          <w:rFonts w:ascii="Arial" w:hAnsi="Arial" w:cs="Arial"/>
          <w:sz w:val="24"/>
          <w:szCs w:val="24"/>
        </w:rPr>
        <w:t>1</w:t>
      </w:r>
      <w:r w:rsidR="00354170" w:rsidRPr="00577B7C">
        <w:rPr>
          <w:rFonts w:ascii="Arial" w:hAnsi="Arial" w:cs="Arial"/>
          <w:sz w:val="24"/>
          <w:szCs w:val="24"/>
        </w:rPr>
        <w:t>E</w:t>
      </w:r>
      <w:r w:rsidRPr="00577B7C">
        <w:rPr>
          <w:rFonts w:ascii="Arial" w:hAnsi="Arial" w:cs="Arial"/>
          <w:sz w:val="24"/>
          <w:szCs w:val="24"/>
        </w:rPr>
        <w:t>). As presented in Figure</w:t>
      </w:r>
      <w:r w:rsidR="00354170" w:rsidRPr="00577B7C">
        <w:rPr>
          <w:rFonts w:ascii="Arial" w:hAnsi="Arial" w:cs="Arial"/>
          <w:sz w:val="24"/>
          <w:szCs w:val="24"/>
        </w:rPr>
        <w:t xml:space="preserve"> S1C</w:t>
      </w:r>
      <w:r w:rsidRPr="00577B7C">
        <w:rPr>
          <w:rFonts w:ascii="Arial" w:hAnsi="Arial" w:cs="Arial"/>
          <w:sz w:val="24"/>
          <w:szCs w:val="24"/>
        </w:rPr>
        <w:t xml:space="preserve">, five distinct components were fitted in the high-resolution C1s spectrum, namely C-H/C-C (285 eV), COOH/R (289.7 eV with a </w:t>
      </w:r>
      <w:r w:rsidRPr="00577B7C">
        <w:rPr>
          <w:rFonts w:ascii="Arial" w:hAnsi="Arial" w:cs="Arial"/>
          <w:sz w:val="24"/>
          <w:szCs w:val="24"/>
        </w:rPr>
        <w:sym w:font="Symbol" w:char="F062"/>
      </w:r>
      <w:r w:rsidRPr="00577B7C">
        <w:rPr>
          <w:rFonts w:ascii="Arial" w:hAnsi="Arial" w:cs="Arial"/>
          <w:sz w:val="24"/>
          <w:szCs w:val="24"/>
        </w:rPr>
        <w:t>-shift peak at 285.9 eV), C-N/C-O, and C=O/C=N/NCO. The binding energies of these last two components were not set arbitrarily as slight differences are expected between the amide structure and the oxazoline ring.</w:t>
      </w:r>
    </w:p>
    <w:p w14:paraId="5745E773" w14:textId="5D52119D" w:rsidR="001E6DF2" w:rsidRPr="00577B7C" w:rsidRDefault="001E6DF2" w:rsidP="008D38B3">
      <w:pPr>
        <w:spacing w:after="0" w:line="360" w:lineRule="auto"/>
        <w:rPr>
          <w:rFonts w:ascii="Arial" w:hAnsi="Arial" w:cs="Arial"/>
          <w:sz w:val="24"/>
          <w:szCs w:val="24"/>
        </w:rPr>
      </w:pPr>
      <w:r w:rsidRPr="00577B7C">
        <w:rPr>
          <w:rFonts w:ascii="Arial" w:hAnsi="Arial" w:cs="Arial"/>
          <w:sz w:val="24"/>
          <w:szCs w:val="24"/>
        </w:rPr>
        <w:t>The XPS survey scans were made of the coating prepared from allylamine</w:t>
      </w:r>
      <w:r w:rsidR="00526563" w:rsidRPr="00577B7C">
        <w:rPr>
          <w:rFonts w:ascii="Arial" w:hAnsi="Arial" w:cs="Arial"/>
          <w:sz w:val="24"/>
          <w:szCs w:val="24"/>
        </w:rPr>
        <w:t xml:space="preserve"> (S1Fa)</w:t>
      </w:r>
      <w:r w:rsidRPr="00577B7C">
        <w:rPr>
          <w:rFonts w:ascii="Arial" w:hAnsi="Arial" w:cs="Arial"/>
          <w:sz w:val="24"/>
          <w:szCs w:val="24"/>
        </w:rPr>
        <w:t>. Those deposits contained carbon (7</w:t>
      </w:r>
      <w:r w:rsidR="00354170" w:rsidRPr="00577B7C">
        <w:rPr>
          <w:rFonts w:ascii="Arial" w:hAnsi="Arial" w:cs="Arial"/>
          <w:sz w:val="24"/>
          <w:szCs w:val="24"/>
        </w:rPr>
        <w:t>5</w:t>
      </w:r>
      <w:r w:rsidRPr="00577B7C">
        <w:rPr>
          <w:rFonts w:ascii="Arial" w:hAnsi="Arial" w:cs="Arial"/>
          <w:sz w:val="24"/>
          <w:szCs w:val="24"/>
        </w:rPr>
        <w:t>%), nitrogen (1</w:t>
      </w:r>
      <w:r w:rsidR="00526563" w:rsidRPr="00577B7C">
        <w:rPr>
          <w:rFonts w:ascii="Arial" w:hAnsi="Arial" w:cs="Arial"/>
          <w:sz w:val="24"/>
          <w:szCs w:val="24"/>
        </w:rPr>
        <w:t>5</w:t>
      </w:r>
      <w:r w:rsidRPr="00577B7C">
        <w:rPr>
          <w:rFonts w:ascii="Arial" w:hAnsi="Arial" w:cs="Arial"/>
          <w:sz w:val="24"/>
          <w:szCs w:val="24"/>
        </w:rPr>
        <w:t>%) and oxygen (</w:t>
      </w:r>
      <w:r w:rsidR="00526563" w:rsidRPr="00577B7C">
        <w:rPr>
          <w:rFonts w:ascii="Arial" w:hAnsi="Arial" w:cs="Arial"/>
          <w:sz w:val="24"/>
          <w:szCs w:val="24"/>
        </w:rPr>
        <w:t>1</w:t>
      </w:r>
      <w:r w:rsidR="00354170" w:rsidRPr="00577B7C">
        <w:rPr>
          <w:rFonts w:ascii="Arial" w:hAnsi="Arial" w:cs="Arial"/>
          <w:sz w:val="24"/>
          <w:szCs w:val="24"/>
        </w:rPr>
        <w:t>0</w:t>
      </w:r>
      <w:r w:rsidRPr="00577B7C">
        <w:rPr>
          <w:rFonts w:ascii="Arial" w:hAnsi="Arial" w:cs="Arial"/>
          <w:sz w:val="24"/>
          <w:szCs w:val="24"/>
        </w:rPr>
        <w:t xml:space="preserve">%). The C1s spectrum of allylamine modified substrates is shown in Figure </w:t>
      </w:r>
      <w:r w:rsidR="00526563" w:rsidRPr="00577B7C">
        <w:rPr>
          <w:rFonts w:ascii="Arial" w:hAnsi="Arial" w:cs="Arial"/>
          <w:sz w:val="24"/>
          <w:szCs w:val="24"/>
        </w:rPr>
        <w:t>S</w:t>
      </w:r>
      <w:r w:rsidRPr="00577B7C">
        <w:rPr>
          <w:rFonts w:ascii="Arial" w:hAnsi="Arial" w:cs="Arial"/>
          <w:sz w:val="24"/>
          <w:szCs w:val="24"/>
        </w:rPr>
        <w:t>1</w:t>
      </w:r>
      <w:r w:rsidR="00526563" w:rsidRPr="00577B7C">
        <w:rPr>
          <w:rFonts w:ascii="Arial" w:hAnsi="Arial" w:cs="Arial"/>
          <w:sz w:val="24"/>
          <w:szCs w:val="24"/>
        </w:rPr>
        <w:t>D</w:t>
      </w:r>
      <w:r w:rsidRPr="00577B7C">
        <w:rPr>
          <w:rFonts w:ascii="Arial" w:hAnsi="Arial" w:cs="Arial"/>
          <w:sz w:val="24"/>
          <w:szCs w:val="24"/>
        </w:rPr>
        <w:t xml:space="preserve">. The C1s core level spectrum of the coating was peak fitted for nitrogen-containing functionalities. The C1s peak accommodated four components: one at 285 eV, second at 285.9 eV, third at 286.7 eV, and fourth at 288 eV, which can be assigned to C−H or/and C−C, C−N, C=N, and CNO, respectively. The N1s spectrum showed a pronounced </w:t>
      </w:r>
      <w:r w:rsidRPr="00577B7C">
        <w:rPr>
          <w:rFonts w:ascii="Arial" w:hAnsi="Arial" w:cs="Arial"/>
          <w:sz w:val="24"/>
          <w:szCs w:val="24"/>
        </w:rPr>
        <w:lastRenderedPageBreak/>
        <w:t>nitrogen peak, which is characteristic of allylamine plasma polymers, as shown in S</w:t>
      </w:r>
      <w:r w:rsidR="00354170" w:rsidRPr="00577B7C">
        <w:rPr>
          <w:rFonts w:ascii="Arial" w:hAnsi="Arial" w:cs="Arial"/>
          <w:sz w:val="24"/>
          <w:szCs w:val="24"/>
        </w:rPr>
        <w:t>1F</w:t>
      </w:r>
      <w:r w:rsidRPr="00577B7C">
        <w:rPr>
          <w:rFonts w:ascii="Arial" w:hAnsi="Arial" w:cs="Arial"/>
          <w:sz w:val="24"/>
          <w:szCs w:val="24"/>
        </w:rPr>
        <w:t>.</w:t>
      </w:r>
    </w:p>
    <w:p w14:paraId="5A1D940F" w14:textId="77777777" w:rsidR="00C72E58" w:rsidRPr="00577B7C" w:rsidRDefault="00C72E58" w:rsidP="00C72E58">
      <w:pPr>
        <w:spacing w:after="0" w:line="360" w:lineRule="auto"/>
        <w:rPr>
          <w:rFonts w:ascii="Arial" w:hAnsi="Arial" w:cs="Arial"/>
          <w:sz w:val="24"/>
          <w:szCs w:val="24"/>
        </w:rPr>
      </w:pPr>
      <w:r w:rsidRPr="00577B7C">
        <w:rPr>
          <w:rFonts w:ascii="Arial" w:hAnsi="Arial" w:cs="Arial"/>
          <w:sz w:val="24"/>
          <w:szCs w:val="24"/>
        </w:rPr>
        <w:t xml:space="preserve">Figure 1SG shows XPS survey spectra of </w:t>
      </w:r>
      <w:proofErr w:type="spellStart"/>
      <w:r w:rsidRPr="00577B7C">
        <w:rPr>
          <w:rFonts w:ascii="Arial" w:hAnsi="Arial" w:cs="Arial"/>
          <w:sz w:val="24"/>
          <w:szCs w:val="24"/>
        </w:rPr>
        <w:t>POx</w:t>
      </w:r>
      <w:proofErr w:type="spellEnd"/>
      <w:r w:rsidRPr="00577B7C">
        <w:rPr>
          <w:rFonts w:ascii="Arial" w:hAnsi="Arial" w:cs="Arial"/>
          <w:sz w:val="24"/>
          <w:szCs w:val="24"/>
        </w:rPr>
        <w:t xml:space="preserve"> coating and </w:t>
      </w:r>
      <w:proofErr w:type="spellStart"/>
      <w:r w:rsidRPr="00577B7C">
        <w:rPr>
          <w:rFonts w:ascii="Arial" w:hAnsi="Arial" w:cs="Arial"/>
          <w:sz w:val="24"/>
          <w:szCs w:val="24"/>
        </w:rPr>
        <w:t>POx</w:t>
      </w:r>
      <w:proofErr w:type="spellEnd"/>
      <w:r w:rsidRPr="00577B7C">
        <w:rPr>
          <w:rFonts w:ascii="Arial" w:hAnsi="Arial" w:cs="Arial"/>
          <w:sz w:val="24"/>
          <w:szCs w:val="24"/>
        </w:rPr>
        <w:t xml:space="preserve"> coating with immobilized 38 (1SGb) and 68 nm (1SGc) Au nanoparticles. Figure 1SH shows XPS survey spectra of allylamine coating and allylamine coating with immobilized 38 (1SHb) and 68 nm (1SHc) </w:t>
      </w:r>
    </w:p>
    <w:p w14:paraId="64BC089E" w14:textId="5CD208F6" w:rsidR="00AE323F" w:rsidRPr="00577B7C" w:rsidRDefault="00C72E58" w:rsidP="00C72E58">
      <w:pPr>
        <w:spacing w:after="0" w:line="360" w:lineRule="auto"/>
        <w:rPr>
          <w:rFonts w:ascii="Arial" w:hAnsi="Arial" w:cs="Arial"/>
          <w:sz w:val="24"/>
          <w:szCs w:val="24"/>
        </w:rPr>
      </w:pPr>
      <w:r w:rsidRPr="00577B7C">
        <w:rPr>
          <w:rFonts w:ascii="Arial" w:hAnsi="Arial" w:cs="Arial"/>
          <w:sz w:val="24"/>
          <w:szCs w:val="24"/>
        </w:rPr>
        <w:t xml:space="preserve">Au nanoparticles. The survey spectra of coatings without AuNPs (Figure 1SGa and 1SHa) show the presence of carbon (C1s), oxygen (O1s), and nitrogen (N1s) only which is consistent with the chemical composition of materials. After immobilizing gold nanoparticles of varying sizes to those surfaces, extra peaks appear corresponding to gold (Au) (Figures 1SG and H b and c). The presence of the Au peaks shows that the coatings were successfully modified with gold nanoparticles. In addition, the 68 nm AuNPs immobilised on plasma-modified surfaces exhibit a higher amount of gold than the 38 nm AuNPs as shown in Figures S1I and J. For the allylamine plasma-modified surface, the atomic % of gold increased from 3 to 9 </w:t>
      </w:r>
      <w:proofErr w:type="gramStart"/>
      <w:r w:rsidRPr="00577B7C">
        <w:rPr>
          <w:rFonts w:ascii="Arial" w:hAnsi="Arial" w:cs="Arial"/>
          <w:sz w:val="24"/>
          <w:szCs w:val="24"/>
        </w:rPr>
        <w:t>at.%</w:t>
      </w:r>
      <w:proofErr w:type="gramEnd"/>
      <w:r w:rsidRPr="00577B7C">
        <w:rPr>
          <w:rFonts w:ascii="Arial" w:hAnsi="Arial" w:cs="Arial"/>
          <w:sz w:val="24"/>
          <w:szCs w:val="24"/>
        </w:rPr>
        <w:t xml:space="preserve"> when the particle size of immobilized particles increased from 38 to 68 nm. For </w:t>
      </w:r>
      <w:proofErr w:type="spellStart"/>
      <w:r w:rsidRPr="00577B7C">
        <w:rPr>
          <w:rFonts w:ascii="Arial" w:hAnsi="Arial" w:cs="Arial"/>
          <w:sz w:val="24"/>
          <w:szCs w:val="24"/>
        </w:rPr>
        <w:t>POx</w:t>
      </w:r>
      <w:proofErr w:type="spellEnd"/>
      <w:r w:rsidRPr="00577B7C">
        <w:rPr>
          <w:rFonts w:ascii="Arial" w:hAnsi="Arial" w:cs="Arial"/>
          <w:sz w:val="24"/>
          <w:szCs w:val="24"/>
        </w:rPr>
        <w:t xml:space="preserve"> modified surface, the increase of gold </w:t>
      </w:r>
      <w:proofErr w:type="gramStart"/>
      <w:r w:rsidRPr="00577B7C">
        <w:rPr>
          <w:rFonts w:ascii="Arial" w:hAnsi="Arial" w:cs="Arial"/>
          <w:sz w:val="24"/>
          <w:szCs w:val="24"/>
        </w:rPr>
        <w:t>at.%</w:t>
      </w:r>
      <w:proofErr w:type="gramEnd"/>
      <w:r w:rsidRPr="00577B7C">
        <w:rPr>
          <w:rFonts w:ascii="Arial" w:hAnsi="Arial" w:cs="Arial"/>
          <w:sz w:val="24"/>
          <w:szCs w:val="24"/>
        </w:rPr>
        <w:t xml:space="preserve"> was 2</w:t>
      </w:r>
      <w:r w:rsidR="006146C3" w:rsidRPr="00577B7C">
        <w:rPr>
          <w:rFonts w:ascii="Arial" w:hAnsi="Arial" w:cs="Arial"/>
          <w:sz w:val="24"/>
          <w:szCs w:val="24"/>
        </w:rPr>
        <w:t>.5</w:t>
      </w:r>
      <w:r w:rsidRPr="00577B7C">
        <w:rPr>
          <w:rFonts w:ascii="Arial" w:hAnsi="Arial" w:cs="Arial"/>
          <w:sz w:val="24"/>
          <w:szCs w:val="24"/>
        </w:rPr>
        <w:t xml:space="preserve"> and 8</w:t>
      </w:r>
      <w:r w:rsidR="006146C3" w:rsidRPr="00577B7C">
        <w:rPr>
          <w:rFonts w:ascii="Arial" w:hAnsi="Arial" w:cs="Arial"/>
          <w:sz w:val="24"/>
          <w:szCs w:val="24"/>
        </w:rPr>
        <w:t>.5</w:t>
      </w:r>
      <w:r w:rsidRPr="00577B7C">
        <w:rPr>
          <w:rFonts w:ascii="Arial" w:hAnsi="Arial" w:cs="Arial"/>
          <w:sz w:val="24"/>
          <w:szCs w:val="24"/>
        </w:rPr>
        <w:t xml:space="preserve"> a</w:t>
      </w:r>
      <w:r w:rsidR="006146C3" w:rsidRPr="00577B7C">
        <w:rPr>
          <w:rFonts w:ascii="Arial" w:hAnsi="Arial" w:cs="Arial"/>
          <w:sz w:val="24"/>
          <w:szCs w:val="24"/>
        </w:rPr>
        <w:t>t</w:t>
      </w:r>
      <w:r w:rsidRPr="00577B7C">
        <w:rPr>
          <w:rFonts w:ascii="Arial" w:hAnsi="Arial" w:cs="Arial"/>
          <w:sz w:val="24"/>
          <w:szCs w:val="24"/>
        </w:rPr>
        <w:t>.% for 38 and 68 nm AuNPs, respectively.</w:t>
      </w:r>
    </w:p>
    <w:p w14:paraId="00AEB10B" w14:textId="7B12B4D2" w:rsidR="00577B7C" w:rsidRDefault="00577B7C" w:rsidP="00C72E58">
      <w:pPr>
        <w:spacing w:after="0" w:line="360" w:lineRule="auto"/>
        <w:rPr>
          <w:rFonts w:ascii="Times New Roman" w:hAnsi="Times New Roman" w:cs="Times New Roman"/>
          <w:sz w:val="24"/>
          <w:szCs w:val="24"/>
        </w:rPr>
      </w:pPr>
    </w:p>
    <w:p w14:paraId="17AFCC76" w14:textId="4E437B32" w:rsidR="00577B7C" w:rsidRDefault="00577B7C" w:rsidP="00C72E58">
      <w:pPr>
        <w:spacing w:after="0" w:line="360" w:lineRule="auto"/>
        <w:rPr>
          <w:rFonts w:ascii="Times New Roman" w:hAnsi="Times New Roman" w:cs="Times New Roman"/>
          <w:sz w:val="24"/>
          <w:szCs w:val="24"/>
        </w:rPr>
      </w:pPr>
    </w:p>
    <w:p w14:paraId="0DDA0D13" w14:textId="01345890" w:rsidR="00577B7C" w:rsidRDefault="00577B7C" w:rsidP="00C72E58">
      <w:pPr>
        <w:spacing w:after="0" w:line="360" w:lineRule="auto"/>
        <w:rPr>
          <w:rFonts w:ascii="Times New Roman" w:hAnsi="Times New Roman" w:cs="Times New Roman"/>
          <w:sz w:val="24"/>
          <w:szCs w:val="24"/>
        </w:rPr>
      </w:pPr>
    </w:p>
    <w:p w14:paraId="50364ACD" w14:textId="7645E19F" w:rsidR="00577B7C" w:rsidRDefault="00577B7C" w:rsidP="00C72E58">
      <w:pPr>
        <w:spacing w:after="0" w:line="360" w:lineRule="auto"/>
        <w:rPr>
          <w:rFonts w:ascii="Times New Roman" w:hAnsi="Times New Roman" w:cs="Times New Roman"/>
          <w:sz w:val="24"/>
          <w:szCs w:val="24"/>
        </w:rPr>
      </w:pPr>
      <w:r>
        <w:rPr>
          <w:rFonts w:ascii="Arial" w:hAnsi="Arial" w:cs="Arial"/>
          <w:b/>
          <w:bCs/>
          <w:noProof/>
          <w:sz w:val="24"/>
          <w:szCs w:val="24"/>
        </w:rPr>
        <w:lastRenderedPageBreak/>
        <w:drawing>
          <wp:anchor distT="0" distB="0" distL="114300" distR="114300" simplePos="0" relativeHeight="251661312" behindDoc="0" locked="0" layoutInCell="1" allowOverlap="1" wp14:anchorId="71ED7F5A" wp14:editId="3F3BA3CB">
            <wp:simplePos x="0" y="0"/>
            <wp:positionH relativeFrom="margin">
              <wp:posOffset>0</wp:posOffset>
            </wp:positionH>
            <wp:positionV relativeFrom="paragraph">
              <wp:posOffset>266065</wp:posOffset>
            </wp:positionV>
            <wp:extent cx="5698490" cy="6125845"/>
            <wp:effectExtent l="0" t="0" r="0" b="8255"/>
            <wp:wrapTight wrapText="bothSides">
              <wp:wrapPolygon edited="0">
                <wp:start x="0" y="0"/>
                <wp:lineTo x="0" y="21562"/>
                <wp:lineTo x="21518" y="21562"/>
                <wp:lineTo x="21518" y="0"/>
                <wp:lineTo x="0" y="0"/>
              </wp:wrapPolygon>
            </wp:wrapTight>
            <wp:docPr id="4" name="Picture 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engineering 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8490" cy="6125845"/>
                    </a:xfrm>
                    <a:prstGeom prst="rect">
                      <a:avLst/>
                    </a:prstGeom>
                  </pic:spPr>
                </pic:pic>
              </a:graphicData>
            </a:graphic>
            <wp14:sizeRelH relativeFrom="margin">
              <wp14:pctWidth>0</wp14:pctWidth>
            </wp14:sizeRelH>
            <wp14:sizeRelV relativeFrom="margin">
              <wp14:pctHeight>0</wp14:pctHeight>
            </wp14:sizeRelV>
          </wp:anchor>
        </w:drawing>
      </w:r>
    </w:p>
    <w:p w14:paraId="39A99DDE" w14:textId="3B1A2491" w:rsidR="00577B7C" w:rsidRDefault="00577B7C" w:rsidP="00C72E58">
      <w:pPr>
        <w:spacing w:after="0" w:line="360" w:lineRule="auto"/>
        <w:rPr>
          <w:rFonts w:ascii="Times New Roman" w:hAnsi="Times New Roman" w:cs="Times New Roman"/>
          <w:sz w:val="24"/>
          <w:szCs w:val="24"/>
        </w:rPr>
      </w:pPr>
    </w:p>
    <w:p w14:paraId="74F99D1F" w14:textId="270DB549" w:rsidR="00577B7C" w:rsidRDefault="00577B7C" w:rsidP="00C72E58">
      <w:pPr>
        <w:spacing w:after="0" w:line="360" w:lineRule="auto"/>
        <w:rPr>
          <w:rFonts w:ascii="Times New Roman" w:hAnsi="Times New Roman" w:cs="Times New Roman"/>
          <w:sz w:val="24"/>
          <w:szCs w:val="24"/>
        </w:rPr>
      </w:pPr>
    </w:p>
    <w:p w14:paraId="53F07148" w14:textId="4DBCC6AE" w:rsidR="00577B7C" w:rsidRPr="00577B7C" w:rsidRDefault="00577B7C" w:rsidP="00C72E58">
      <w:pPr>
        <w:spacing w:after="0" w:line="360" w:lineRule="auto"/>
        <w:rPr>
          <w:rFonts w:ascii="Times New Roman" w:hAnsi="Times New Roman" w:cs="Times New Roman"/>
        </w:rPr>
      </w:pPr>
      <w:r w:rsidRPr="00577B7C">
        <w:rPr>
          <w:rFonts w:ascii="Arial" w:hAnsi="Arial" w:cs="Arial"/>
          <w:b/>
          <w:bCs/>
        </w:rPr>
        <w:t>Figure S2.</w:t>
      </w:r>
      <w:r w:rsidRPr="00577B7C">
        <w:rPr>
          <w:rFonts w:ascii="Arial" w:hAnsi="Arial" w:cs="Arial"/>
        </w:rPr>
        <w:t xml:space="preserve">  </w:t>
      </w:r>
      <w:r w:rsidRPr="00577B7C">
        <w:rPr>
          <w:rFonts w:ascii="Arial" w:hAnsi="Arial" w:cs="Arial"/>
          <w:b/>
          <w:bCs/>
        </w:rPr>
        <w:t>A</w:t>
      </w:r>
      <w:r w:rsidRPr="00577B7C">
        <w:rPr>
          <w:rFonts w:ascii="Arial" w:hAnsi="Arial" w:cs="Arial"/>
        </w:rPr>
        <w:t xml:space="preserve"> Scanning electron microscopy (SEM) image of 68 nm gold nanoparticles on </w:t>
      </w:r>
      <w:proofErr w:type="spellStart"/>
      <w:r w:rsidRPr="00577B7C">
        <w:rPr>
          <w:rFonts w:ascii="Arial" w:hAnsi="Arial" w:cs="Arial"/>
        </w:rPr>
        <w:t>POx</w:t>
      </w:r>
      <w:proofErr w:type="spellEnd"/>
      <w:r w:rsidRPr="00577B7C">
        <w:rPr>
          <w:rFonts w:ascii="Arial" w:hAnsi="Arial" w:cs="Arial"/>
        </w:rPr>
        <w:t xml:space="preserve"> was deposited on a glass slide. </w:t>
      </w:r>
      <w:r w:rsidRPr="00577B7C">
        <w:rPr>
          <w:rFonts w:ascii="Arial" w:hAnsi="Arial" w:cs="Arial"/>
          <w:b/>
          <w:bCs/>
        </w:rPr>
        <w:t>B</w:t>
      </w:r>
      <w:r w:rsidRPr="00577B7C">
        <w:rPr>
          <w:rFonts w:ascii="Arial" w:hAnsi="Arial" w:cs="Arial"/>
        </w:rPr>
        <w:t xml:space="preserve"> SEM image of 68 nm gold nanoparticles on </w:t>
      </w:r>
      <w:proofErr w:type="spellStart"/>
      <w:r w:rsidRPr="00577B7C">
        <w:rPr>
          <w:rFonts w:ascii="Arial" w:hAnsi="Arial" w:cs="Arial"/>
        </w:rPr>
        <w:t>POx</w:t>
      </w:r>
      <w:proofErr w:type="spellEnd"/>
      <w:r w:rsidRPr="00577B7C">
        <w:rPr>
          <w:rFonts w:ascii="Arial" w:hAnsi="Arial" w:cs="Arial"/>
        </w:rPr>
        <w:t xml:space="preserve"> deposited on a mesh surface. </w:t>
      </w:r>
      <w:r w:rsidRPr="00577B7C">
        <w:rPr>
          <w:rFonts w:ascii="Arial" w:hAnsi="Arial" w:cs="Arial"/>
          <w:b/>
          <w:bCs/>
        </w:rPr>
        <w:t>C</w:t>
      </w:r>
      <w:r w:rsidRPr="00577B7C">
        <w:rPr>
          <w:rFonts w:ascii="Arial" w:hAnsi="Arial" w:cs="Arial"/>
        </w:rPr>
        <w:t xml:space="preserve"> Interparticle distance and number of particles calculated from SEM images by Image J software. </w:t>
      </w:r>
      <w:r w:rsidRPr="00577B7C">
        <w:rPr>
          <w:rFonts w:ascii="Arial" w:hAnsi="Arial" w:cs="Arial"/>
          <w:b/>
          <w:bCs/>
        </w:rPr>
        <w:t>D</w:t>
      </w:r>
      <w:r w:rsidRPr="00577B7C">
        <w:rPr>
          <w:rFonts w:ascii="Arial" w:hAnsi="Arial" w:cs="Arial"/>
        </w:rPr>
        <w:t xml:space="preserve"> % surface coverage with AuNPs and surface area of a glass slide and mesh surface. </w:t>
      </w:r>
      <w:r w:rsidRPr="00577B7C">
        <w:rPr>
          <w:rFonts w:ascii="Arial" w:hAnsi="Arial" w:cs="Arial"/>
          <w:b/>
          <w:bCs/>
        </w:rPr>
        <w:t>E</w:t>
      </w:r>
      <w:r w:rsidRPr="00577B7C">
        <w:rPr>
          <w:rFonts w:ascii="Arial" w:hAnsi="Arial" w:cs="Arial"/>
        </w:rPr>
        <w:t xml:space="preserve"> XPS survey spectra showing the surface chemical composition of bare mesh surface (a), mesh surfaces coated with </w:t>
      </w:r>
      <w:proofErr w:type="spellStart"/>
      <w:r w:rsidRPr="00577B7C">
        <w:rPr>
          <w:rFonts w:ascii="Arial" w:hAnsi="Arial" w:cs="Arial"/>
        </w:rPr>
        <w:t>POx</w:t>
      </w:r>
      <w:proofErr w:type="spellEnd"/>
      <w:r w:rsidRPr="00577B7C">
        <w:rPr>
          <w:rFonts w:ascii="Arial" w:hAnsi="Arial" w:cs="Arial"/>
        </w:rPr>
        <w:t xml:space="preserve"> (b), and mesh surfaces coated with </w:t>
      </w:r>
      <w:proofErr w:type="spellStart"/>
      <w:r w:rsidRPr="00577B7C">
        <w:rPr>
          <w:rFonts w:ascii="Arial" w:hAnsi="Arial" w:cs="Arial"/>
        </w:rPr>
        <w:t>POx</w:t>
      </w:r>
      <w:proofErr w:type="spellEnd"/>
      <w:r w:rsidRPr="00577B7C">
        <w:rPr>
          <w:rFonts w:ascii="Arial" w:hAnsi="Arial" w:cs="Arial"/>
        </w:rPr>
        <w:t xml:space="preserve"> and modified with 68 nm Au nanoparticles. </w:t>
      </w:r>
      <w:r w:rsidRPr="00577B7C">
        <w:rPr>
          <w:rFonts w:ascii="Arial" w:hAnsi="Arial" w:cs="Arial"/>
          <w:b/>
          <w:bCs/>
        </w:rPr>
        <w:t>F</w:t>
      </w:r>
      <w:r w:rsidRPr="00577B7C">
        <w:rPr>
          <w:rFonts w:ascii="Arial" w:hAnsi="Arial" w:cs="Arial"/>
        </w:rPr>
        <w:t xml:space="preserve"> Concentration of </w:t>
      </w:r>
      <w:r w:rsidRPr="00577B7C">
        <w:rPr>
          <w:rFonts w:ascii="Arial" w:hAnsi="Arial" w:cs="Arial"/>
          <w:color w:val="000000"/>
          <w:w w:val="105"/>
        </w:rPr>
        <w:lastRenderedPageBreak/>
        <w:t>hydrogen sulfide in white wine after treatment with 68 nm AuNPs/</w:t>
      </w:r>
      <w:proofErr w:type="spellStart"/>
      <w:r w:rsidRPr="00577B7C">
        <w:rPr>
          <w:rFonts w:ascii="Arial" w:hAnsi="Arial" w:cs="Arial"/>
          <w:color w:val="000000"/>
          <w:w w:val="105"/>
        </w:rPr>
        <w:t>POx</w:t>
      </w:r>
      <w:proofErr w:type="spellEnd"/>
      <w:r w:rsidRPr="00577B7C">
        <w:rPr>
          <w:rFonts w:ascii="Arial" w:hAnsi="Arial" w:cs="Arial"/>
          <w:color w:val="000000"/>
          <w:w w:val="105"/>
        </w:rPr>
        <w:t xml:space="preserve"> deposited on a glass slide and mesh surface.</w:t>
      </w:r>
    </w:p>
    <w:p w14:paraId="5767C96F" w14:textId="77777777" w:rsidR="00577B7C" w:rsidRDefault="00577B7C" w:rsidP="00C72E58">
      <w:pPr>
        <w:spacing w:after="0" w:line="360" w:lineRule="auto"/>
        <w:rPr>
          <w:rFonts w:ascii="Times New Roman" w:hAnsi="Times New Roman" w:cs="Times New Roman"/>
          <w:sz w:val="24"/>
          <w:szCs w:val="24"/>
        </w:rPr>
      </w:pPr>
    </w:p>
    <w:p w14:paraId="59495F23" w14:textId="66FA7139" w:rsidR="00577B7C" w:rsidRPr="00577B7C" w:rsidRDefault="00577B7C" w:rsidP="00577B7C">
      <w:pPr>
        <w:widowControl w:val="0"/>
        <w:autoSpaceDE w:val="0"/>
        <w:autoSpaceDN w:val="0"/>
        <w:adjustRightInd w:val="0"/>
        <w:spacing w:after="0" w:line="360" w:lineRule="auto"/>
        <w:rPr>
          <w:rStyle w:val="normaltextrun"/>
          <w:rFonts w:ascii="Arial" w:hAnsi="Arial" w:cs="Arial"/>
          <w:color w:val="000000"/>
          <w:sz w:val="24"/>
          <w:szCs w:val="24"/>
          <w:bdr w:val="none" w:sz="0" w:space="0" w:color="auto" w:frame="1"/>
        </w:rPr>
      </w:pPr>
      <w:r w:rsidRPr="00577B7C">
        <w:rPr>
          <w:rStyle w:val="normaltextrun"/>
          <w:rFonts w:ascii="Arial" w:hAnsi="Arial" w:cs="Arial"/>
          <w:color w:val="000000"/>
          <w:sz w:val="24"/>
          <w:szCs w:val="24"/>
          <w:bdr w:val="none" w:sz="0" w:space="0" w:color="auto" w:frame="1"/>
        </w:rPr>
        <w:t xml:space="preserve">In plasma deposition, film growth occurs independently of the substrate material used </w:t>
      </w:r>
      <w:r w:rsidRPr="00577B7C">
        <w:rPr>
          <w:rStyle w:val="normaltextrun"/>
          <w:rFonts w:ascii="Arial" w:hAnsi="Arial" w:cs="Arial"/>
          <w:color w:val="000000"/>
          <w:sz w:val="24"/>
          <w:szCs w:val="24"/>
          <w:bdr w:val="none" w:sz="0" w:space="0" w:color="auto" w:frame="1"/>
        </w:rPr>
        <w:fldChar w:fldCharType="begin"/>
      </w:r>
      <w:r w:rsidRPr="00577B7C">
        <w:rPr>
          <w:rStyle w:val="normaltextrun"/>
          <w:rFonts w:ascii="Arial" w:hAnsi="Arial" w:cs="Arial"/>
          <w:color w:val="000000"/>
          <w:sz w:val="24"/>
          <w:szCs w:val="24"/>
          <w:bdr w:val="none" w:sz="0" w:space="0" w:color="auto" w:frame="1"/>
        </w:rPr>
        <w:instrText xml:space="preserve"> ADDIN EN.CITE &lt;EndNote&gt;&lt;Cite&gt;&lt;Author&gt;Vasilev&lt;/Author&gt;&lt;Year&gt;2009&lt;/Year&gt;&lt;RecNum&gt;43&lt;/RecNum&gt;&lt;DisplayText&gt;&lt;style face="superscript"&gt;7&lt;/style&gt;&lt;/DisplayText&gt;&lt;record&gt;&lt;rec-number&gt;43&lt;/rec-number&gt;&lt;foreign-keys&gt;&lt;key app="EN" db-id="0xverrw5v99p0dez0sp5d5txwvpxx9v0fezp" timestamp="0"&gt;43&lt;/key&gt;&lt;/foreign-keys&gt;&lt;ref-type name="Journal Article"&gt;17&lt;/ref-type&gt;&lt;contributors&gt;&lt;authors&gt;&lt;author&gt;Vasilev, Krasimir&lt;/author&gt;&lt;author&gt;Michelmore, Andrew&lt;/author&gt;&lt;author&gt;Griesser, Hans J.&lt;/author&gt;&lt;author&gt;Short, Robert D.&lt;/author&gt;&lt;/authors&gt;&lt;/contributors&gt;&lt;titles&gt;&lt;title&gt;Substrate influence on the initial growth phase of plasma-deposited polymer films&lt;/title&gt;&lt;secondary-title&gt;Chemical Communications&lt;/secondary-title&gt;&lt;/titles&gt;&lt;pages&gt;3600-3602&lt;/pages&gt;&lt;number&gt;24&lt;/number&gt;&lt;dates&gt;&lt;year&gt;2009&lt;/year&gt;&lt;pub-dates&gt;&lt;date&gt;2009&lt;/date&gt;&lt;/pub-dates&gt;&lt;/dates&gt;&lt;isbn&gt;1359-7345&lt;/isbn&gt;&lt;accession-num&gt;WOS:000266913400029&lt;/accession-num&gt;&lt;urls&gt;&lt;related-urls&gt;&lt;url&gt;&amp;lt;Go to ISI&amp;gt;://WOS:000266913400029 &lt;/url&gt;&lt;/related-urls&gt;&lt;/urls&gt;&lt;electronic-resource-num&gt;10.1039/b904367e&lt;/electronic-resource-num&gt;&lt;/record&gt;&lt;/Cite&gt;&lt;/EndNote&gt;</w:instrText>
      </w:r>
      <w:r w:rsidRPr="00577B7C">
        <w:rPr>
          <w:rStyle w:val="normaltextrun"/>
          <w:rFonts w:ascii="Arial" w:hAnsi="Arial" w:cs="Arial"/>
          <w:color w:val="000000"/>
          <w:sz w:val="24"/>
          <w:szCs w:val="24"/>
          <w:bdr w:val="none" w:sz="0" w:space="0" w:color="auto" w:frame="1"/>
        </w:rPr>
        <w:fldChar w:fldCharType="separate"/>
      </w:r>
      <w:r w:rsidRPr="00577B7C">
        <w:rPr>
          <w:rStyle w:val="normaltextrun"/>
          <w:rFonts w:ascii="Arial" w:hAnsi="Arial" w:cs="Arial"/>
          <w:noProof/>
          <w:color w:val="000000"/>
          <w:sz w:val="24"/>
          <w:szCs w:val="24"/>
          <w:bdr w:val="none" w:sz="0" w:space="0" w:color="auto" w:frame="1"/>
          <w:vertAlign w:val="superscript"/>
        </w:rPr>
        <w:t>7</w:t>
      </w:r>
      <w:r w:rsidRPr="00577B7C">
        <w:rPr>
          <w:rStyle w:val="normaltextrun"/>
          <w:rFonts w:ascii="Arial" w:hAnsi="Arial" w:cs="Arial"/>
          <w:color w:val="000000"/>
          <w:sz w:val="24"/>
          <w:szCs w:val="24"/>
          <w:bdr w:val="none" w:sz="0" w:space="0" w:color="auto" w:frame="1"/>
        </w:rPr>
        <w:fldChar w:fldCharType="end"/>
      </w:r>
      <w:r w:rsidRPr="00577B7C">
        <w:rPr>
          <w:rStyle w:val="normaltextrun"/>
          <w:rFonts w:ascii="Arial" w:hAnsi="Arial" w:cs="Arial"/>
          <w:color w:val="000000"/>
          <w:sz w:val="24"/>
          <w:szCs w:val="24"/>
          <w:bdr w:val="none" w:sz="0" w:space="0" w:color="auto" w:frame="1"/>
        </w:rPr>
        <w:t>. For this reason, we could directly transfer the surface modification technology from model glass substrates to stainless steel mesh sheets. As presented in Figure S</w:t>
      </w:r>
      <w:r>
        <w:rPr>
          <w:rStyle w:val="normaltextrun"/>
          <w:rFonts w:ascii="Arial" w:hAnsi="Arial" w:cs="Arial"/>
          <w:color w:val="000000"/>
          <w:sz w:val="24"/>
          <w:szCs w:val="24"/>
          <w:bdr w:val="none" w:sz="0" w:space="0" w:color="auto" w:frame="1"/>
        </w:rPr>
        <w:t>2</w:t>
      </w:r>
      <w:r w:rsidRPr="00577B7C">
        <w:rPr>
          <w:rStyle w:val="normaltextrun"/>
          <w:rFonts w:ascii="Arial" w:hAnsi="Arial" w:cs="Arial"/>
          <w:color w:val="000000"/>
          <w:sz w:val="24"/>
          <w:szCs w:val="24"/>
          <w:bdr w:val="none" w:sz="0" w:space="0" w:color="auto" w:frame="1"/>
        </w:rPr>
        <w:t>, the mesh was more effective in removing H</w:t>
      </w:r>
      <w:r w:rsidRPr="00577B7C">
        <w:rPr>
          <w:rStyle w:val="normaltextrun"/>
          <w:rFonts w:ascii="Arial" w:hAnsi="Arial" w:cs="Arial"/>
          <w:color w:val="000000"/>
          <w:sz w:val="24"/>
          <w:szCs w:val="24"/>
          <w:bdr w:val="none" w:sz="0" w:space="0" w:color="auto" w:frame="1"/>
          <w:vertAlign w:val="subscript"/>
        </w:rPr>
        <w:t>2</w:t>
      </w:r>
      <w:r w:rsidRPr="00577B7C">
        <w:rPr>
          <w:rStyle w:val="normaltextrun"/>
          <w:rFonts w:ascii="Arial" w:hAnsi="Arial" w:cs="Arial"/>
          <w:color w:val="000000"/>
          <w:sz w:val="24"/>
          <w:szCs w:val="24"/>
          <w:bdr w:val="none" w:sz="0" w:space="0" w:color="auto" w:frame="1"/>
        </w:rPr>
        <w:t xml:space="preserve">S from wine. The reason for that was the significant increase (more than double) in the substrate available surface area. It was also possible to coat both sides of the mesh sheet, which increased the number of gold nanoparticles attached to the surface. In addition, from practical perspective, </w:t>
      </w:r>
      <w:r>
        <w:rPr>
          <w:rStyle w:val="normaltextrun"/>
          <w:rFonts w:ascii="Arial" w:hAnsi="Arial" w:cs="Arial"/>
          <w:color w:val="000000"/>
          <w:sz w:val="24"/>
          <w:szCs w:val="24"/>
          <w:bdr w:val="none" w:sz="0" w:space="0" w:color="auto" w:frame="1"/>
        </w:rPr>
        <w:t>using an adsorbent</w:t>
      </w:r>
      <w:r w:rsidRPr="00577B7C">
        <w:rPr>
          <w:rStyle w:val="normaltextrun"/>
          <w:rFonts w:ascii="Arial" w:hAnsi="Arial" w:cs="Arial"/>
          <w:color w:val="000000"/>
          <w:sz w:val="24"/>
          <w:szCs w:val="24"/>
          <w:bdr w:val="none" w:sz="0" w:space="0" w:color="auto" w:frame="1"/>
        </w:rPr>
        <w:t xml:space="preserve"> mesh is much more convenient, especially in industrial applications a</w:t>
      </w:r>
      <w:r>
        <w:rPr>
          <w:rStyle w:val="normaltextrun"/>
          <w:rFonts w:ascii="Arial" w:hAnsi="Arial" w:cs="Arial"/>
          <w:color w:val="000000"/>
          <w:sz w:val="24"/>
          <w:szCs w:val="24"/>
          <w:bdr w:val="none" w:sz="0" w:space="0" w:color="auto" w:frame="1"/>
        </w:rPr>
        <w:t>s</w:t>
      </w:r>
      <w:r w:rsidRPr="00577B7C">
        <w:rPr>
          <w:rStyle w:val="normaltextrun"/>
          <w:rFonts w:ascii="Arial" w:hAnsi="Arial" w:cs="Arial"/>
          <w:color w:val="000000"/>
          <w:sz w:val="24"/>
          <w:szCs w:val="24"/>
          <w:bdr w:val="none" w:sz="0" w:space="0" w:color="auto" w:frame="1"/>
        </w:rPr>
        <w:t xml:space="preserve"> this surface can be applied to in-line filtration systems. Surface analysis using scanning electron microscopy (SEM) were carried out </w:t>
      </w:r>
      <w:proofErr w:type="gramStart"/>
      <w:r w:rsidRPr="00577B7C">
        <w:rPr>
          <w:rStyle w:val="normaltextrun"/>
          <w:rFonts w:ascii="Arial" w:hAnsi="Arial" w:cs="Arial"/>
          <w:color w:val="000000"/>
          <w:sz w:val="24"/>
          <w:szCs w:val="24"/>
          <w:bdr w:val="none" w:sz="0" w:space="0" w:color="auto" w:frame="1"/>
        </w:rPr>
        <w:t>in order to</w:t>
      </w:r>
      <w:proofErr w:type="gramEnd"/>
      <w:r w:rsidRPr="00577B7C">
        <w:rPr>
          <w:rStyle w:val="normaltextrun"/>
          <w:rFonts w:ascii="Arial" w:hAnsi="Arial" w:cs="Arial"/>
          <w:color w:val="000000"/>
          <w:sz w:val="24"/>
          <w:szCs w:val="24"/>
          <w:bdr w:val="none" w:sz="0" w:space="0" w:color="auto" w:frame="1"/>
        </w:rPr>
        <w:t xml:space="preserve"> derive a comprehensive picture of the nanoengineered surfaces in terms of the number of nanoparticles per mm</w:t>
      </w:r>
      <w:r w:rsidRPr="00577B7C">
        <w:rPr>
          <w:rStyle w:val="normaltextrun"/>
          <w:rFonts w:ascii="Arial" w:hAnsi="Arial" w:cs="Arial"/>
          <w:color w:val="000000"/>
          <w:sz w:val="24"/>
          <w:szCs w:val="24"/>
          <w:bdr w:val="none" w:sz="0" w:space="0" w:color="auto" w:frame="1"/>
          <w:vertAlign w:val="superscript"/>
        </w:rPr>
        <w:t>2</w:t>
      </w:r>
      <w:r w:rsidRPr="00577B7C">
        <w:rPr>
          <w:rStyle w:val="normaltextrun"/>
          <w:rFonts w:ascii="Arial" w:hAnsi="Arial" w:cs="Arial"/>
          <w:color w:val="000000"/>
          <w:sz w:val="24"/>
          <w:szCs w:val="24"/>
          <w:bdr w:val="none" w:sz="0" w:space="0" w:color="auto" w:frame="1"/>
        </w:rPr>
        <w:t>, interparticle distance, surface coverage, and surface area.</w:t>
      </w:r>
      <w:r w:rsidRPr="00577B7C">
        <w:rPr>
          <w:rFonts w:ascii="Arial" w:hAnsi="Arial" w:cs="Arial"/>
        </w:rPr>
        <w:t xml:space="preserve"> </w:t>
      </w:r>
      <w:r w:rsidRPr="00577B7C">
        <w:rPr>
          <w:rStyle w:val="normaltextrun"/>
          <w:rFonts w:ascii="Arial" w:hAnsi="Arial" w:cs="Arial"/>
          <w:color w:val="000000"/>
          <w:sz w:val="24"/>
          <w:szCs w:val="24"/>
          <w:bdr w:val="none" w:sz="0" w:space="0" w:color="auto" w:frame="1"/>
        </w:rPr>
        <w:t>The number of nanoparticles per mm</w:t>
      </w:r>
      <w:r w:rsidRPr="00577B7C">
        <w:rPr>
          <w:rStyle w:val="normaltextrun"/>
          <w:rFonts w:ascii="Arial" w:hAnsi="Arial" w:cs="Arial"/>
          <w:color w:val="000000"/>
          <w:sz w:val="24"/>
          <w:szCs w:val="24"/>
          <w:bdr w:val="none" w:sz="0" w:space="0" w:color="auto" w:frame="1"/>
          <w:vertAlign w:val="superscript"/>
        </w:rPr>
        <w:t>2</w:t>
      </w:r>
      <w:r w:rsidRPr="00577B7C">
        <w:rPr>
          <w:rStyle w:val="normaltextrun"/>
          <w:rFonts w:ascii="Arial" w:hAnsi="Arial" w:cs="Arial"/>
          <w:color w:val="000000"/>
          <w:sz w:val="24"/>
          <w:szCs w:val="24"/>
          <w:bdr w:val="none" w:sz="0" w:space="0" w:color="auto" w:frame="1"/>
        </w:rPr>
        <w:t xml:space="preserve"> calculated from the SEM images using the Image J software is shown in Fig. S</w:t>
      </w:r>
      <w:r>
        <w:rPr>
          <w:rStyle w:val="normaltextrun"/>
          <w:rFonts w:ascii="Arial" w:hAnsi="Arial" w:cs="Arial"/>
          <w:color w:val="000000"/>
          <w:sz w:val="24"/>
          <w:szCs w:val="24"/>
          <w:bdr w:val="none" w:sz="0" w:space="0" w:color="auto" w:frame="1"/>
        </w:rPr>
        <w:t>2</w:t>
      </w:r>
      <w:r w:rsidRPr="00577B7C">
        <w:rPr>
          <w:rStyle w:val="normaltextrun"/>
          <w:rFonts w:ascii="Arial" w:hAnsi="Arial" w:cs="Arial"/>
          <w:color w:val="000000"/>
          <w:sz w:val="24"/>
          <w:szCs w:val="24"/>
          <w:bdr w:val="none" w:sz="0" w:space="0" w:color="auto" w:frame="1"/>
        </w:rPr>
        <w:t>C. Immobilisation of AuNPs on the glass slide resulted in 40 particles per mm</w:t>
      </w:r>
      <w:r w:rsidRPr="00577B7C">
        <w:rPr>
          <w:rStyle w:val="normaltextrun"/>
          <w:rFonts w:ascii="Arial" w:hAnsi="Arial" w:cs="Arial"/>
          <w:color w:val="000000"/>
          <w:sz w:val="24"/>
          <w:szCs w:val="24"/>
          <w:bdr w:val="none" w:sz="0" w:space="0" w:color="auto" w:frame="1"/>
          <w:vertAlign w:val="superscript"/>
        </w:rPr>
        <w:t>2</w:t>
      </w:r>
      <w:r w:rsidRPr="00577B7C">
        <w:rPr>
          <w:rStyle w:val="normaltextrun"/>
          <w:rFonts w:ascii="Arial" w:hAnsi="Arial" w:cs="Arial"/>
          <w:color w:val="000000"/>
          <w:sz w:val="24"/>
          <w:szCs w:val="24"/>
          <w:bdr w:val="none" w:sz="0" w:space="0" w:color="auto" w:frame="1"/>
        </w:rPr>
        <w:t>, while 88 particles per mm</w:t>
      </w:r>
      <w:r w:rsidRPr="00577B7C">
        <w:rPr>
          <w:rStyle w:val="normaltextrun"/>
          <w:rFonts w:ascii="Arial" w:hAnsi="Arial" w:cs="Arial"/>
          <w:color w:val="000000"/>
          <w:sz w:val="24"/>
          <w:szCs w:val="24"/>
          <w:bdr w:val="none" w:sz="0" w:space="0" w:color="auto" w:frame="1"/>
          <w:vertAlign w:val="superscript"/>
        </w:rPr>
        <w:t>2</w:t>
      </w:r>
      <w:r w:rsidRPr="00577B7C">
        <w:rPr>
          <w:rStyle w:val="normaltextrun"/>
          <w:rFonts w:ascii="Arial" w:hAnsi="Arial" w:cs="Arial"/>
          <w:color w:val="000000"/>
          <w:sz w:val="24"/>
          <w:szCs w:val="24"/>
          <w:bdr w:val="none" w:sz="0" w:space="0" w:color="auto" w:frame="1"/>
        </w:rPr>
        <w:t xml:space="preserve"> was found on the mesh surface.</w:t>
      </w:r>
      <w:r w:rsidRPr="00577B7C">
        <w:rPr>
          <w:rFonts w:ascii="Arial" w:hAnsi="Arial" w:cs="Arial"/>
        </w:rPr>
        <w:t xml:space="preserve"> </w:t>
      </w:r>
      <w:r w:rsidRPr="00577B7C">
        <w:rPr>
          <w:rStyle w:val="normaltextrun"/>
          <w:rFonts w:ascii="Arial" w:hAnsi="Arial" w:cs="Arial"/>
          <w:color w:val="000000"/>
          <w:sz w:val="24"/>
          <w:szCs w:val="24"/>
          <w:bdr w:val="none" w:sz="0" w:space="0" w:color="auto" w:frame="1"/>
        </w:rPr>
        <w:t>The distance between the particles was 160 nm and 100 nm for the glass surface and the mesh surface, respectively. The surface coverage of the nanoparticles (Fig. S</w:t>
      </w:r>
      <w:r>
        <w:rPr>
          <w:rStyle w:val="normaltextrun"/>
          <w:rFonts w:ascii="Arial" w:hAnsi="Arial" w:cs="Arial"/>
          <w:color w:val="000000"/>
          <w:sz w:val="24"/>
          <w:szCs w:val="24"/>
          <w:bdr w:val="none" w:sz="0" w:space="0" w:color="auto" w:frame="1"/>
        </w:rPr>
        <w:t>2</w:t>
      </w:r>
      <w:r w:rsidRPr="00577B7C">
        <w:rPr>
          <w:rStyle w:val="normaltextrun"/>
          <w:rFonts w:ascii="Arial" w:hAnsi="Arial" w:cs="Arial"/>
          <w:color w:val="000000"/>
          <w:sz w:val="24"/>
          <w:szCs w:val="24"/>
          <w:bdr w:val="none" w:sz="0" w:space="0" w:color="auto" w:frame="1"/>
        </w:rPr>
        <w:t xml:space="preserve">D) was 14 % and 18 % for nanoparticles with a diameter of 68 nm immobilised on the glass and mesh surface, respectively. </w:t>
      </w:r>
    </w:p>
    <w:p w14:paraId="6ED3A571" w14:textId="6FE57DFB" w:rsidR="00577B7C" w:rsidRDefault="00577B7C" w:rsidP="00577B7C">
      <w:pPr>
        <w:widowControl w:val="0"/>
        <w:autoSpaceDE w:val="0"/>
        <w:autoSpaceDN w:val="0"/>
        <w:adjustRightInd w:val="0"/>
        <w:spacing w:after="0" w:line="360" w:lineRule="auto"/>
        <w:rPr>
          <w:rStyle w:val="normaltextrun"/>
          <w:rFonts w:ascii="Arial" w:hAnsi="Arial" w:cs="Arial"/>
          <w:color w:val="000000"/>
          <w:sz w:val="24"/>
          <w:szCs w:val="24"/>
          <w:bdr w:val="none" w:sz="0" w:space="0" w:color="auto" w:frame="1"/>
        </w:rPr>
      </w:pPr>
      <w:r w:rsidRPr="00577B7C">
        <w:rPr>
          <w:rStyle w:val="normaltextrun"/>
          <w:rFonts w:ascii="Arial" w:hAnsi="Arial" w:cs="Arial"/>
          <w:color w:val="000000"/>
          <w:sz w:val="24"/>
          <w:szCs w:val="24"/>
          <w:bdr w:val="none" w:sz="0" w:space="0" w:color="auto" w:frame="1"/>
        </w:rPr>
        <w:t>The SEM images were further used to measure the dimensions of the nanoparticles, which were used to calculate the volume and mass of the nanoparticles. Assuming 19.32 g/cm</w:t>
      </w:r>
      <w:r w:rsidRPr="00577B7C">
        <w:rPr>
          <w:rStyle w:val="normaltextrun"/>
          <w:rFonts w:ascii="Arial" w:hAnsi="Arial" w:cs="Arial"/>
          <w:color w:val="000000"/>
          <w:sz w:val="24"/>
          <w:szCs w:val="24"/>
          <w:bdr w:val="none" w:sz="0" w:space="0" w:color="auto" w:frame="1"/>
          <w:vertAlign w:val="superscript"/>
        </w:rPr>
        <w:t>3</w:t>
      </w:r>
      <w:r w:rsidRPr="00577B7C">
        <w:rPr>
          <w:rStyle w:val="normaltextrun"/>
          <w:rFonts w:ascii="Arial" w:hAnsi="Arial" w:cs="Arial"/>
          <w:color w:val="000000"/>
          <w:sz w:val="24"/>
          <w:szCs w:val="24"/>
          <w:bdr w:val="none" w:sz="0" w:space="0" w:color="auto" w:frame="1"/>
        </w:rPr>
        <w:t xml:space="preserve"> as the density of gold nanoparticles, the mass of a 68 nm nanoparticle is 25 femtogram. Taking this into account, the mass of 68 nm nanoparticles is 2.2 picogram per 1 mm</w:t>
      </w:r>
      <w:r w:rsidRPr="00577B7C">
        <w:rPr>
          <w:rStyle w:val="normaltextrun"/>
          <w:rFonts w:ascii="Arial" w:hAnsi="Arial" w:cs="Arial"/>
          <w:color w:val="000000"/>
          <w:sz w:val="24"/>
          <w:szCs w:val="24"/>
          <w:bdr w:val="none" w:sz="0" w:space="0" w:color="auto" w:frame="1"/>
          <w:vertAlign w:val="superscript"/>
        </w:rPr>
        <w:t xml:space="preserve">2 </w:t>
      </w:r>
      <w:r w:rsidRPr="00577B7C">
        <w:rPr>
          <w:rStyle w:val="normaltextrun"/>
          <w:rFonts w:ascii="Arial" w:hAnsi="Arial" w:cs="Arial"/>
          <w:color w:val="000000"/>
          <w:sz w:val="24"/>
          <w:szCs w:val="24"/>
          <w:bdr w:val="none" w:sz="0" w:space="0" w:color="auto" w:frame="1"/>
        </w:rPr>
        <w:t>(0.22 mg/cm</w:t>
      </w:r>
      <w:r w:rsidRPr="00577B7C">
        <w:rPr>
          <w:rStyle w:val="normaltextrun"/>
          <w:rFonts w:ascii="Arial" w:hAnsi="Arial" w:cs="Arial"/>
          <w:color w:val="000000"/>
          <w:sz w:val="24"/>
          <w:szCs w:val="24"/>
          <w:bdr w:val="none" w:sz="0" w:space="0" w:color="auto" w:frame="1"/>
          <w:vertAlign w:val="superscript"/>
        </w:rPr>
        <w:t>2</w:t>
      </w:r>
      <w:r w:rsidRPr="00577B7C">
        <w:rPr>
          <w:rStyle w:val="normaltextrun"/>
          <w:rFonts w:ascii="Arial" w:hAnsi="Arial" w:cs="Arial"/>
          <w:color w:val="000000"/>
          <w:sz w:val="24"/>
          <w:szCs w:val="24"/>
          <w:bdr w:val="none" w:sz="0" w:space="0" w:color="auto" w:frame="1"/>
        </w:rPr>
        <w:t>).</w:t>
      </w:r>
    </w:p>
    <w:p w14:paraId="521EEABD" w14:textId="77777777" w:rsidR="00E645F4" w:rsidRPr="00577B7C" w:rsidRDefault="00E645F4" w:rsidP="00577B7C">
      <w:pPr>
        <w:widowControl w:val="0"/>
        <w:autoSpaceDE w:val="0"/>
        <w:autoSpaceDN w:val="0"/>
        <w:adjustRightInd w:val="0"/>
        <w:spacing w:after="0" w:line="360" w:lineRule="auto"/>
        <w:rPr>
          <w:rStyle w:val="normaltextrun"/>
          <w:rFonts w:ascii="Arial" w:hAnsi="Arial" w:cs="Arial"/>
          <w:color w:val="000000"/>
          <w:sz w:val="24"/>
          <w:szCs w:val="24"/>
          <w:bdr w:val="none" w:sz="0" w:space="0" w:color="auto" w:frame="1"/>
        </w:rPr>
      </w:pPr>
    </w:p>
    <w:p w14:paraId="6EF21CD7" w14:textId="77777777" w:rsidR="00577B7C" w:rsidRDefault="00577B7C" w:rsidP="00C72E58">
      <w:pPr>
        <w:spacing w:after="0" w:line="360" w:lineRule="auto"/>
        <w:rPr>
          <w:rFonts w:ascii="Times New Roman" w:hAnsi="Times New Roman" w:cs="Times New Roman"/>
          <w:sz w:val="24"/>
          <w:szCs w:val="24"/>
        </w:rPr>
      </w:pPr>
    </w:p>
    <w:p w14:paraId="1552A201" w14:textId="1E1DC214" w:rsidR="00577B7C" w:rsidRDefault="00577B7C" w:rsidP="00C72E58">
      <w:pPr>
        <w:spacing w:after="0" w:line="360" w:lineRule="auto"/>
        <w:rPr>
          <w:rFonts w:ascii="Times New Roman" w:hAnsi="Times New Roman" w:cs="Times New Roman"/>
          <w:sz w:val="24"/>
          <w:szCs w:val="24"/>
        </w:rPr>
      </w:pPr>
    </w:p>
    <w:p w14:paraId="76AB3834" w14:textId="4A411B49" w:rsidR="00577B7C" w:rsidRDefault="00E645F4" w:rsidP="00C72E58">
      <w:pPr>
        <w:spacing w:after="0" w:line="360" w:lineRule="auto"/>
        <w:rPr>
          <w:rFonts w:ascii="Times New Roman" w:hAnsi="Times New Roman" w:cs="Times New Roman"/>
          <w:sz w:val="24"/>
          <w:szCs w:val="24"/>
        </w:rPr>
      </w:pPr>
      <w:r>
        <w:rPr>
          <w:noProof/>
        </w:rPr>
        <w:lastRenderedPageBreak/>
        <w:drawing>
          <wp:anchor distT="0" distB="0" distL="114300" distR="114300" simplePos="0" relativeHeight="251663360" behindDoc="0" locked="0" layoutInCell="1" allowOverlap="1" wp14:anchorId="3EC08DAC" wp14:editId="4EC723A9">
            <wp:simplePos x="0" y="0"/>
            <wp:positionH relativeFrom="margin">
              <wp:posOffset>0</wp:posOffset>
            </wp:positionH>
            <wp:positionV relativeFrom="paragraph">
              <wp:posOffset>266065</wp:posOffset>
            </wp:positionV>
            <wp:extent cx="5512435" cy="2120900"/>
            <wp:effectExtent l="0" t="0" r="0" b="0"/>
            <wp:wrapTight wrapText="bothSides">
              <wp:wrapPolygon edited="0">
                <wp:start x="0" y="0"/>
                <wp:lineTo x="0" y="21341"/>
                <wp:lineTo x="21498" y="21341"/>
                <wp:lineTo x="21498" y="0"/>
                <wp:lineTo x="0" y="0"/>
              </wp:wrapPolygon>
            </wp:wrapTight>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12435" cy="2120900"/>
                    </a:xfrm>
                    <a:prstGeom prst="rect">
                      <a:avLst/>
                    </a:prstGeom>
                  </pic:spPr>
                </pic:pic>
              </a:graphicData>
            </a:graphic>
            <wp14:sizeRelH relativeFrom="margin">
              <wp14:pctWidth>0</wp14:pctWidth>
            </wp14:sizeRelH>
            <wp14:sizeRelV relativeFrom="margin">
              <wp14:pctHeight>0</wp14:pctHeight>
            </wp14:sizeRelV>
          </wp:anchor>
        </w:drawing>
      </w:r>
    </w:p>
    <w:p w14:paraId="621A3D66" w14:textId="23B25A35" w:rsidR="00577B7C" w:rsidRDefault="00577B7C" w:rsidP="00C72E58">
      <w:pPr>
        <w:spacing w:after="0" w:line="360" w:lineRule="auto"/>
        <w:rPr>
          <w:rFonts w:ascii="Times New Roman" w:hAnsi="Times New Roman" w:cs="Times New Roman"/>
          <w:sz w:val="24"/>
          <w:szCs w:val="24"/>
        </w:rPr>
      </w:pPr>
    </w:p>
    <w:p w14:paraId="4B5711BA" w14:textId="66867FAB" w:rsidR="00E645F4" w:rsidRPr="00E645F4" w:rsidRDefault="00E645F4" w:rsidP="00E645F4">
      <w:pPr>
        <w:spacing w:after="0" w:line="360" w:lineRule="auto"/>
        <w:rPr>
          <w:rFonts w:ascii="Arial" w:hAnsi="Arial" w:cs="Arial"/>
          <w:b/>
          <w:bCs/>
        </w:rPr>
      </w:pPr>
      <w:r w:rsidRPr="00E645F4">
        <w:rPr>
          <w:rFonts w:ascii="Arial" w:hAnsi="Arial" w:cs="Arial"/>
          <w:b/>
          <w:bCs/>
        </w:rPr>
        <w:t xml:space="preserve">Figure S3. A </w:t>
      </w:r>
      <w:r w:rsidRPr="00E645F4">
        <w:rPr>
          <w:rFonts w:ascii="Arial" w:hAnsi="Arial" w:cs="Arial"/>
        </w:rPr>
        <w:t xml:space="preserve">Concentration of </w:t>
      </w:r>
      <w:r w:rsidRPr="00E645F4">
        <w:rPr>
          <w:rFonts w:ascii="Arial" w:hAnsi="Arial" w:cs="Arial"/>
          <w:color w:val="000000"/>
          <w:w w:val="105"/>
        </w:rPr>
        <w:t>hydrogen sulfide (H</w:t>
      </w:r>
      <w:r w:rsidRPr="00E645F4">
        <w:rPr>
          <w:rFonts w:ascii="Arial" w:hAnsi="Arial" w:cs="Arial"/>
          <w:color w:val="000000"/>
          <w:w w:val="105"/>
          <w:vertAlign w:val="subscript"/>
        </w:rPr>
        <w:t>2</w:t>
      </w:r>
      <w:r w:rsidRPr="00E645F4">
        <w:rPr>
          <w:rFonts w:ascii="Arial" w:hAnsi="Arial" w:cs="Arial"/>
          <w:color w:val="000000"/>
          <w:w w:val="105"/>
        </w:rPr>
        <w:t>S), methanethiol (</w:t>
      </w:r>
      <w:proofErr w:type="spellStart"/>
      <w:r w:rsidRPr="00E645F4">
        <w:rPr>
          <w:rFonts w:ascii="Arial" w:hAnsi="Arial" w:cs="Arial"/>
          <w:color w:val="000000"/>
          <w:w w:val="105"/>
        </w:rPr>
        <w:t>MeSH</w:t>
      </w:r>
      <w:proofErr w:type="spellEnd"/>
      <w:r w:rsidRPr="00E645F4">
        <w:rPr>
          <w:rFonts w:ascii="Arial" w:hAnsi="Arial" w:cs="Arial"/>
          <w:color w:val="000000"/>
          <w:w w:val="105"/>
        </w:rPr>
        <w:t>), and ethanethiol (</w:t>
      </w:r>
      <w:proofErr w:type="spellStart"/>
      <w:r w:rsidRPr="00E645F4">
        <w:rPr>
          <w:rFonts w:ascii="Arial" w:hAnsi="Arial" w:cs="Arial"/>
          <w:color w:val="000000"/>
          <w:w w:val="105"/>
        </w:rPr>
        <w:t>EtSH</w:t>
      </w:r>
      <w:proofErr w:type="spellEnd"/>
      <w:r w:rsidRPr="00E645F4">
        <w:rPr>
          <w:rFonts w:ascii="Arial" w:hAnsi="Arial" w:cs="Arial"/>
          <w:color w:val="000000"/>
          <w:w w:val="105"/>
        </w:rPr>
        <w:t xml:space="preserve">) in spiked model wine solution after treatment with 38 and 68 nm gold nanoparticles deposited on </w:t>
      </w:r>
      <w:r w:rsidRPr="00E645F4">
        <w:rPr>
          <w:rFonts w:ascii="Arial" w:hAnsi="Arial" w:cs="Arial"/>
        </w:rPr>
        <w:t xml:space="preserve">2-methyl-2-oxazoline and allylamine coatings. </w:t>
      </w:r>
      <w:r w:rsidRPr="00E645F4">
        <w:rPr>
          <w:rFonts w:ascii="Arial" w:hAnsi="Arial" w:cs="Arial"/>
          <w:b/>
          <w:bCs/>
        </w:rPr>
        <w:t>B</w:t>
      </w:r>
      <w:r w:rsidRPr="00E645F4">
        <w:rPr>
          <w:rFonts w:ascii="Arial" w:hAnsi="Arial" w:cs="Arial"/>
        </w:rPr>
        <w:t xml:space="preserve"> Concentration of </w:t>
      </w:r>
      <w:r w:rsidRPr="00E645F4">
        <w:rPr>
          <w:rFonts w:ascii="Arial" w:hAnsi="Arial" w:cs="Arial"/>
          <w:color w:val="000000"/>
          <w:w w:val="105"/>
        </w:rPr>
        <w:t>hydrogen sulfide (H</w:t>
      </w:r>
      <w:r w:rsidRPr="00E645F4">
        <w:rPr>
          <w:rFonts w:ascii="Arial" w:hAnsi="Arial" w:cs="Arial"/>
          <w:color w:val="000000"/>
          <w:w w:val="105"/>
          <w:vertAlign w:val="subscript"/>
        </w:rPr>
        <w:t>2</w:t>
      </w:r>
      <w:r w:rsidRPr="00E645F4">
        <w:rPr>
          <w:rFonts w:ascii="Arial" w:hAnsi="Arial" w:cs="Arial"/>
          <w:color w:val="000000"/>
          <w:w w:val="105"/>
        </w:rPr>
        <w:t>S), methanethiol (</w:t>
      </w:r>
      <w:proofErr w:type="spellStart"/>
      <w:r w:rsidRPr="00E645F4">
        <w:rPr>
          <w:rFonts w:ascii="Arial" w:hAnsi="Arial" w:cs="Arial"/>
          <w:color w:val="000000"/>
          <w:w w:val="105"/>
        </w:rPr>
        <w:t>MeSH</w:t>
      </w:r>
      <w:proofErr w:type="spellEnd"/>
      <w:r w:rsidRPr="00E645F4">
        <w:rPr>
          <w:rFonts w:ascii="Arial" w:hAnsi="Arial" w:cs="Arial"/>
          <w:color w:val="000000"/>
          <w:w w:val="105"/>
        </w:rPr>
        <w:t>), and ethanethiol (</w:t>
      </w:r>
      <w:proofErr w:type="spellStart"/>
      <w:r w:rsidRPr="00E645F4">
        <w:rPr>
          <w:rFonts w:ascii="Arial" w:hAnsi="Arial" w:cs="Arial"/>
          <w:color w:val="000000"/>
          <w:w w:val="105"/>
        </w:rPr>
        <w:t>EtSH</w:t>
      </w:r>
      <w:proofErr w:type="spellEnd"/>
      <w:r w:rsidRPr="00E645F4">
        <w:rPr>
          <w:rFonts w:ascii="Arial" w:hAnsi="Arial" w:cs="Arial"/>
          <w:color w:val="000000"/>
          <w:w w:val="105"/>
        </w:rPr>
        <w:t xml:space="preserve">) in spiked model wine solution after three, six, and 24-hour treatment with 68 nm gold nanoparticles deposited on </w:t>
      </w:r>
      <w:r w:rsidRPr="00E645F4">
        <w:rPr>
          <w:rFonts w:ascii="Arial" w:hAnsi="Arial" w:cs="Arial"/>
        </w:rPr>
        <w:t>2-methyl-2-oxazoline surface.</w:t>
      </w:r>
    </w:p>
    <w:p w14:paraId="13A275CE" w14:textId="08825BDC" w:rsidR="00577B7C" w:rsidRDefault="00577B7C" w:rsidP="00C72E58">
      <w:pPr>
        <w:spacing w:after="0" w:line="360" w:lineRule="auto"/>
        <w:rPr>
          <w:rFonts w:ascii="Times New Roman" w:hAnsi="Times New Roman" w:cs="Times New Roman"/>
          <w:sz w:val="24"/>
          <w:szCs w:val="24"/>
        </w:rPr>
      </w:pPr>
    </w:p>
    <w:p w14:paraId="0C0ABBF9" w14:textId="6BE4EA78" w:rsidR="00E645F4" w:rsidRDefault="00E645F4" w:rsidP="00C72E58">
      <w:pPr>
        <w:spacing w:after="0" w:line="360" w:lineRule="auto"/>
        <w:rPr>
          <w:rFonts w:ascii="Times New Roman" w:hAnsi="Times New Roman" w:cs="Times New Roman"/>
          <w:sz w:val="24"/>
          <w:szCs w:val="24"/>
        </w:rPr>
      </w:pPr>
      <w:r>
        <w:rPr>
          <w:rFonts w:ascii="Arial" w:hAnsi="Arial" w:cs="Arial"/>
          <w:noProof/>
          <w:color w:val="000000"/>
          <w:sz w:val="24"/>
          <w:szCs w:val="24"/>
        </w:rPr>
        <w:drawing>
          <wp:anchor distT="0" distB="0" distL="114300" distR="114300" simplePos="0" relativeHeight="251665408" behindDoc="0" locked="0" layoutInCell="1" allowOverlap="1" wp14:anchorId="4803DF73" wp14:editId="57A0214F">
            <wp:simplePos x="0" y="0"/>
            <wp:positionH relativeFrom="margin">
              <wp:posOffset>0</wp:posOffset>
            </wp:positionH>
            <wp:positionV relativeFrom="paragraph">
              <wp:posOffset>259080</wp:posOffset>
            </wp:positionV>
            <wp:extent cx="5904230" cy="2216150"/>
            <wp:effectExtent l="0" t="0" r="1270" b="0"/>
            <wp:wrapTight wrapText="bothSides">
              <wp:wrapPolygon edited="0">
                <wp:start x="0" y="0"/>
                <wp:lineTo x="0" y="21352"/>
                <wp:lineTo x="21535" y="21352"/>
                <wp:lineTo x="21535" y="0"/>
                <wp:lineTo x="0" y="0"/>
              </wp:wrapPolygon>
            </wp:wrapTight>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04230" cy="2216150"/>
                    </a:xfrm>
                    <a:prstGeom prst="rect">
                      <a:avLst/>
                    </a:prstGeom>
                  </pic:spPr>
                </pic:pic>
              </a:graphicData>
            </a:graphic>
            <wp14:sizeRelH relativeFrom="margin">
              <wp14:pctWidth>0</wp14:pctWidth>
            </wp14:sizeRelH>
            <wp14:sizeRelV relativeFrom="margin">
              <wp14:pctHeight>0</wp14:pctHeight>
            </wp14:sizeRelV>
          </wp:anchor>
        </w:drawing>
      </w:r>
    </w:p>
    <w:p w14:paraId="51BEE4AA" w14:textId="235723DA" w:rsidR="00E645F4" w:rsidRDefault="00E645F4" w:rsidP="00C72E58">
      <w:pPr>
        <w:spacing w:after="0" w:line="360" w:lineRule="auto"/>
        <w:rPr>
          <w:rFonts w:ascii="Times New Roman" w:hAnsi="Times New Roman" w:cs="Times New Roman"/>
          <w:sz w:val="24"/>
          <w:szCs w:val="24"/>
        </w:rPr>
      </w:pPr>
    </w:p>
    <w:p w14:paraId="3661186D" w14:textId="77777777" w:rsidR="00E645F4" w:rsidRPr="00E645F4" w:rsidRDefault="00E645F4" w:rsidP="00E645F4">
      <w:pPr>
        <w:tabs>
          <w:tab w:val="left" w:pos="1152"/>
        </w:tabs>
        <w:spacing w:after="0" w:line="360" w:lineRule="auto"/>
        <w:rPr>
          <w:rFonts w:ascii="Arial" w:hAnsi="Arial" w:cs="Arial"/>
          <w:color w:val="000000"/>
          <w:w w:val="105"/>
        </w:rPr>
      </w:pPr>
      <w:r w:rsidRPr="00E645F4">
        <w:rPr>
          <w:rFonts w:ascii="Arial" w:hAnsi="Arial" w:cs="Arial"/>
          <w:b/>
          <w:bCs/>
          <w:color w:val="000000"/>
          <w:w w:val="105"/>
        </w:rPr>
        <w:t>Figure S4.</w:t>
      </w:r>
      <w:r w:rsidRPr="00E645F4">
        <w:rPr>
          <w:rFonts w:ascii="Arial" w:hAnsi="Arial" w:cs="Arial"/>
          <w:color w:val="000000"/>
          <w:w w:val="105"/>
        </w:rPr>
        <w:t xml:space="preserve"> </w:t>
      </w:r>
      <w:r w:rsidRPr="00E645F4">
        <w:rPr>
          <w:rFonts w:ascii="Arial" w:hAnsi="Arial" w:cs="Arial"/>
        </w:rPr>
        <w:t>The concentration of</w:t>
      </w:r>
      <w:r w:rsidRPr="00E645F4">
        <w:rPr>
          <w:rFonts w:ascii="Arial" w:hAnsi="Arial" w:cs="Arial"/>
          <w:color w:val="000000"/>
          <w:w w:val="105"/>
        </w:rPr>
        <w:t xml:space="preserve"> </w:t>
      </w:r>
      <w:r w:rsidRPr="00E645F4">
        <w:rPr>
          <w:rFonts w:ascii="Arial" w:hAnsi="Arial" w:cs="Arial"/>
          <w:b/>
          <w:bCs/>
          <w:color w:val="000000"/>
          <w:w w:val="105"/>
        </w:rPr>
        <w:t>A</w:t>
      </w:r>
      <w:r w:rsidRPr="00E645F4">
        <w:rPr>
          <w:rFonts w:ascii="Arial" w:hAnsi="Arial" w:cs="Arial"/>
          <w:color w:val="000000"/>
          <w:w w:val="105"/>
        </w:rPr>
        <w:t xml:space="preserve"> methanethiol and </w:t>
      </w:r>
      <w:r w:rsidRPr="00E645F4">
        <w:rPr>
          <w:rFonts w:ascii="Arial" w:hAnsi="Arial" w:cs="Arial"/>
          <w:b/>
          <w:bCs/>
          <w:color w:val="000000"/>
          <w:w w:val="105"/>
        </w:rPr>
        <w:t xml:space="preserve">B </w:t>
      </w:r>
      <w:r w:rsidRPr="00E645F4">
        <w:rPr>
          <w:rFonts w:ascii="Arial" w:hAnsi="Arial" w:cs="Arial"/>
          <w:color w:val="000000"/>
          <w:w w:val="105"/>
        </w:rPr>
        <w:t>ethanethiol in red wine samples before and after treatment with copper and surfaces.</w:t>
      </w:r>
    </w:p>
    <w:p w14:paraId="610730B8" w14:textId="77777777" w:rsidR="00E645F4" w:rsidRPr="00E645F4" w:rsidRDefault="00E645F4" w:rsidP="00E645F4">
      <w:pPr>
        <w:spacing w:after="0" w:line="360" w:lineRule="auto"/>
        <w:rPr>
          <w:rFonts w:ascii="Times New Roman" w:hAnsi="Times New Roman" w:cs="Times New Roman"/>
        </w:rPr>
      </w:pPr>
    </w:p>
    <w:p w14:paraId="478A2AD4" w14:textId="61FB30AA" w:rsidR="00AE323F" w:rsidRPr="000B0CFF" w:rsidRDefault="000B0CFF" w:rsidP="000B0CFF">
      <w:pPr>
        <w:spacing w:after="0" w:line="360" w:lineRule="auto"/>
        <w:rPr>
          <w:rFonts w:ascii="Arial" w:hAnsi="Arial" w:cs="Arial"/>
          <w:b/>
          <w:bCs/>
        </w:rPr>
      </w:pPr>
      <w:r w:rsidRPr="000B0CFF">
        <w:rPr>
          <w:rFonts w:ascii="Arial" w:hAnsi="Arial" w:cs="Arial"/>
          <w:b/>
          <w:bCs/>
        </w:rPr>
        <w:t>References</w:t>
      </w:r>
    </w:p>
    <w:p w14:paraId="541124F4" w14:textId="56C4A0AE" w:rsidR="009335EF" w:rsidRPr="009335EF" w:rsidRDefault="00AE323F" w:rsidP="009335EF">
      <w:pPr>
        <w:pStyle w:val="EndNoteBibliography"/>
        <w:spacing w:after="0"/>
        <w:ind w:left="720" w:hanging="720"/>
      </w:pPr>
      <w:r w:rsidRPr="000B0CFF">
        <w:rPr>
          <w:rFonts w:ascii="Arial" w:hAnsi="Arial" w:cs="Arial"/>
        </w:rPr>
        <w:fldChar w:fldCharType="begin"/>
      </w:r>
      <w:r w:rsidRPr="000B0CFF">
        <w:rPr>
          <w:rFonts w:ascii="Arial" w:hAnsi="Arial" w:cs="Arial"/>
        </w:rPr>
        <w:instrText xml:space="preserve"> ADDIN EN.REFLIST </w:instrText>
      </w:r>
      <w:r w:rsidRPr="000B0CFF">
        <w:rPr>
          <w:rFonts w:ascii="Arial" w:hAnsi="Arial" w:cs="Arial"/>
        </w:rPr>
        <w:fldChar w:fldCharType="separate"/>
      </w:r>
      <w:r w:rsidR="009335EF" w:rsidRPr="009335EF">
        <w:t>1</w:t>
      </w:r>
      <w:r w:rsidR="009335EF" w:rsidRPr="009335EF">
        <w:tab/>
        <w:t xml:space="preserve">Zhu, T., Vasilev, K., Kreiter, M., Mittler, S. &amp; Knoll, W. Surface modification of citrate-reduced colloidal gold nanoparticles with 2-mercaptosuccinic acid. </w:t>
      </w:r>
      <w:r w:rsidR="009335EF" w:rsidRPr="009335EF">
        <w:rPr>
          <w:i/>
        </w:rPr>
        <w:t>Langmuir</w:t>
      </w:r>
      <w:r w:rsidR="009335EF" w:rsidRPr="009335EF">
        <w:t xml:space="preserve"> </w:t>
      </w:r>
      <w:r w:rsidR="009335EF" w:rsidRPr="009335EF">
        <w:rPr>
          <w:b/>
        </w:rPr>
        <w:t>19</w:t>
      </w:r>
      <w:r w:rsidR="009335EF" w:rsidRPr="009335EF">
        <w:t xml:space="preserve">, 9518-9525 (2003). </w:t>
      </w:r>
    </w:p>
    <w:p w14:paraId="3C08385D" w14:textId="50551990" w:rsidR="009335EF" w:rsidRPr="009335EF" w:rsidRDefault="009335EF" w:rsidP="009335EF">
      <w:pPr>
        <w:pStyle w:val="EndNoteBibliography"/>
        <w:spacing w:after="0"/>
        <w:ind w:left="720" w:hanging="720"/>
      </w:pPr>
      <w:r w:rsidRPr="009335EF">
        <w:t>2</w:t>
      </w:r>
      <w:r w:rsidRPr="009335EF">
        <w:tab/>
        <w:t xml:space="preserve">Jeffrey, M. I. Kinetic aspects of gold and silver leaching in ammonia-thiosulfate solutions. </w:t>
      </w:r>
      <w:r w:rsidRPr="009335EF">
        <w:rPr>
          <w:i/>
        </w:rPr>
        <w:t>Hydrometallurgy</w:t>
      </w:r>
      <w:r w:rsidRPr="009335EF">
        <w:t xml:space="preserve"> </w:t>
      </w:r>
      <w:r w:rsidRPr="009335EF">
        <w:rPr>
          <w:b/>
        </w:rPr>
        <w:t>60</w:t>
      </w:r>
      <w:r w:rsidRPr="009335EF">
        <w:t xml:space="preserve">, 7-16 (2001). </w:t>
      </w:r>
    </w:p>
    <w:p w14:paraId="66852BFA" w14:textId="77777777" w:rsidR="009335EF" w:rsidRPr="009335EF" w:rsidRDefault="009335EF" w:rsidP="009335EF">
      <w:pPr>
        <w:pStyle w:val="EndNoteBibliography"/>
        <w:spacing w:after="0"/>
        <w:ind w:left="720" w:hanging="720"/>
      </w:pPr>
      <w:r w:rsidRPr="009335EF">
        <w:lastRenderedPageBreak/>
        <w:t>3</w:t>
      </w:r>
      <w:r w:rsidRPr="009335EF">
        <w:tab/>
        <w:t>Vasilev, K.</w:t>
      </w:r>
      <w:r w:rsidRPr="009335EF">
        <w:rPr>
          <w:i/>
        </w:rPr>
        <w:t xml:space="preserve"> et al.</w:t>
      </w:r>
      <w:r w:rsidRPr="009335EF">
        <w:t xml:space="preserve"> Early stages of growth of plasma polymer coatings deposited from nitrogen‐and oxygen‐containing monomers. </w:t>
      </w:r>
      <w:r w:rsidRPr="009335EF">
        <w:rPr>
          <w:i/>
        </w:rPr>
        <w:t xml:space="preserve">Plasma Processes and Polymers </w:t>
      </w:r>
      <w:r w:rsidRPr="009335EF">
        <w:rPr>
          <w:b/>
        </w:rPr>
        <w:t>7</w:t>
      </w:r>
      <w:r w:rsidRPr="009335EF">
        <w:t xml:space="preserve">, 824-835 (2010). </w:t>
      </w:r>
    </w:p>
    <w:p w14:paraId="58DFF4F6" w14:textId="6BC287CB" w:rsidR="009335EF" w:rsidRPr="009335EF" w:rsidRDefault="009335EF" w:rsidP="009335EF">
      <w:pPr>
        <w:pStyle w:val="EndNoteBibliography"/>
        <w:spacing w:after="0"/>
        <w:ind w:left="720" w:hanging="720"/>
      </w:pPr>
      <w:r w:rsidRPr="009335EF">
        <w:t>4</w:t>
      </w:r>
      <w:r w:rsidRPr="009335EF">
        <w:tab/>
        <w:t>Mierczynska, A.</w:t>
      </w:r>
      <w:r w:rsidRPr="009335EF">
        <w:rPr>
          <w:i/>
        </w:rPr>
        <w:t xml:space="preserve"> et al.</w:t>
      </w:r>
      <w:r w:rsidRPr="009335EF">
        <w:t xml:space="preserve"> pH-tunable gradients of wettability and surface potential. </w:t>
      </w:r>
      <w:r w:rsidRPr="009335EF">
        <w:rPr>
          <w:i/>
        </w:rPr>
        <w:t>Soft Matter</w:t>
      </w:r>
      <w:r w:rsidRPr="009335EF">
        <w:t xml:space="preserve"> </w:t>
      </w:r>
      <w:r w:rsidRPr="009335EF">
        <w:rPr>
          <w:b/>
        </w:rPr>
        <w:t>8</w:t>
      </w:r>
      <w:r w:rsidRPr="009335EF">
        <w:t xml:space="preserve">, 8399-8404 (2012). </w:t>
      </w:r>
    </w:p>
    <w:p w14:paraId="626D2786" w14:textId="20E078D3" w:rsidR="009335EF" w:rsidRPr="009335EF" w:rsidRDefault="009335EF" w:rsidP="009335EF">
      <w:pPr>
        <w:pStyle w:val="EndNoteBibliography"/>
        <w:spacing w:after="0"/>
        <w:ind w:left="720" w:hanging="720"/>
      </w:pPr>
      <w:r w:rsidRPr="009335EF">
        <w:t>5</w:t>
      </w:r>
      <w:r w:rsidRPr="009335EF">
        <w:tab/>
        <w:t xml:space="preserve">Turkevich, J., Stevenson, P. C. &amp; Hillier, J. A Study of the Nucleation and Growth Processes in the Synthesis of Colloidal Gold. </w:t>
      </w:r>
      <w:r w:rsidRPr="009335EF">
        <w:rPr>
          <w:i/>
        </w:rPr>
        <w:t>Discuss Faraday Soc</w:t>
      </w:r>
      <w:r w:rsidRPr="009335EF">
        <w:t xml:space="preserve">, 55-75 (1951). </w:t>
      </w:r>
    </w:p>
    <w:p w14:paraId="53F5336C" w14:textId="5E87F6B7" w:rsidR="009335EF" w:rsidRPr="009335EF" w:rsidRDefault="009335EF" w:rsidP="009335EF">
      <w:pPr>
        <w:pStyle w:val="EndNoteBibliography"/>
        <w:spacing w:after="0"/>
        <w:ind w:left="720" w:hanging="720"/>
      </w:pPr>
      <w:r w:rsidRPr="009335EF">
        <w:t>6</w:t>
      </w:r>
      <w:r w:rsidRPr="009335EF">
        <w:tab/>
        <w:t xml:space="preserve">Mierczynska-Vasilev, A. &amp; Smith, P. A. Adsorption of Wine Constituents on Functionalized Surfaces. </w:t>
      </w:r>
      <w:r w:rsidRPr="009335EF">
        <w:rPr>
          <w:i/>
        </w:rPr>
        <w:t>Molecules</w:t>
      </w:r>
      <w:r w:rsidRPr="009335EF">
        <w:t xml:space="preserve"> </w:t>
      </w:r>
      <w:r w:rsidRPr="009335EF">
        <w:rPr>
          <w:b/>
        </w:rPr>
        <w:t>21</w:t>
      </w:r>
      <w:r w:rsidRPr="009335EF">
        <w:t xml:space="preserve">, 1-14 (2016). </w:t>
      </w:r>
    </w:p>
    <w:p w14:paraId="6DBF5A4D" w14:textId="183A3B6B" w:rsidR="009335EF" w:rsidRPr="009335EF" w:rsidRDefault="009335EF" w:rsidP="009335EF">
      <w:pPr>
        <w:pStyle w:val="EndNoteBibliography"/>
        <w:ind w:left="720" w:hanging="720"/>
      </w:pPr>
      <w:r w:rsidRPr="009335EF">
        <w:t>7</w:t>
      </w:r>
      <w:r w:rsidRPr="009335EF">
        <w:tab/>
        <w:t xml:space="preserve">Vasilev, K., Michelmore, A., Griesser, H. J. &amp; Short, R. D. Substrate influence on the initial growth phase of plasma-deposited polymer films. </w:t>
      </w:r>
      <w:r w:rsidRPr="009335EF">
        <w:rPr>
          <w:i/>
        </w:rPr>
        <w:t>Chemical Communications</w:t>
      </w:r>
      <w:r w:rsidRPr="009335EF">
        <w:t xml:space="preserve">, 3600-3602 (2009). </w:t>
      </w:r>
    </w:p>
    <w:p w14:paraId="73FC0E7C" w14:textId="45A1DD9B" w:rsidR="00C72E58" w:rsidRPr="000B0CFF" w:rsidRDefault="00AE323F" w:rsidP="000B0CFF">
      <w:pPr>
        <w:spacing w:after="0" w:line="360" w:lineRule="auto"/>
        <w:rPr>
          <w:rFonts w:ascii="Arial" w:hAnsi="Arial" w:cs="Arial"/>
          <w:sz w:val="24"/>
          <w:szCs w:val="24"/>
        </w:rPr>
      </w:pPr>
      <w:r w:rsidRPr="000B0CFF">
        <w:rPr>
          <w:rFonts w:ascii="Arial" w:hAnsi="Arial" w:cs="Arial"/>
        </w:rPr>
        <w:fldChar w:fldCharType="end"/>
      </w:r>
    </w:p>
    <w:sectPr w:rsidR="00C72E58" w:rsidRPr="000B0CF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138C" w14:textId="77777777" w:rsidR="001F707F" w:rsidRDefault="001F707F" w:rsidP="00CD1469">
      <w:pPr>
        <w:spacing w:after="0" w:line="240" w:lineRule="auto"/>
      </w:pPr>
      <w:r>
        <w:separator/>
      </w:r>
    </w:p>
  </w:endnote>
  <w:endnote w:type="continuationSeparator" w:id="0">
    <w:p w14:paraId="5424E198" w14:textId="77777777" w:rsidR="001F707F" w:rsidRDefault="001F707F" w:rsidP="00CD1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32088"/>
      <w:docPartObj>
        <w:docPartGallery w:val="Page Numbers (Bottom of Page)"/>
        <w:docPartUnique/>
      </w:docPartObj>
    </w:sdtPr>
    <w:sdtEndPr>
      <w:rPr>
        <w:noProof/>
      </w:rPr>
    </w:sdtEndPr>
    <w:sdtContent>
      <w:p w14:paraId="7267058D" w14:textId="239E35B0" w:rsidR="00CD1469" w:rsidRDefault="00CD14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2BB868" w14:textId="77777777" w:rsidR="00CD1469" w:rsidRDefault="00CD1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86EA9" w14:textId="77777777" w:rsidR="001F707F" w:rsidRDefault="001F707F" w:rsidP="00CD1469">
      <w:pPr>
        <w:spacing w:after="0" w:line="240" w:lineRule="auto"/>
      </w:pPr>
      <w:r>
        <w:separator/>
      </w:r>
    </w:p>
  </w:footnote>
  <w:footnote w:type="continuationSeparator" w:id="0">
    <w:p w14:paraId="233D2A2A" w14:textId="77777777" w:rsidR="001F707F" w:rsidRDefault="001F707F" w:rsidP="00CD14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verrw5v99p0dez0sp5d5txwvpxx9v0fezp&quot;&gt;2nd paper-Converted&lt;record-ids&gt;&lt;item&gt;26&lt;/item&gt;&lt;item&gt;43&lt;/item&gt;&lt;item&gt;163&lt;/item&gt;&lt;item&gt;168&lt;/item&gt;&lt;item&gt;367&lt;/item&gt;&lt;item&gt;368&lt;/item&gt;&lt;item&gt;369&lt;/item&gt;&lt;/record-ids&gt;&lt;/item&gt;&lt;/Libraries&gt;"/>
  </w:docVars>
  <w:rsids>
    <w:rsidRoot w:val="001E6DF2"/>
    <w:rsid w:val="000A362A"/>
    <w:rsid w:val="000B0CFF"/>
    <w:rsid w:val="00160912"/>
    <w:rsid w:val="00190643"/>
    <w:rsid w:val="001932A1"/>
    <w:rsid w:val="001E6DF2"/>
    <w:rsid w:val="001F707F"/>
    <w:rsid w:val="002238E8"/>
    <w:rsid w:val="0029467E"/>
    <w:rsid w:val="0032099C"/>
    <w:rsid w:val="00354170"/>
    <w:rsid w:val="00367FF0"/>
    <w:rsid w:val="00484859"/>
    <w:rsid w:val="0049151C"/>
    <w:rsid w:val="004D72D5"/>
    <w:rsid w:val="00500AFA"/>
    <w:rsid w:val="00504C2E"/>
    <w:rsid w:val="00526563"/>
    <w:rsid w:val="00577B7C"/>
    <w:rsid w:val="005A548B"/>
    <w:rsid w:val="006146C3"/>
    <w:rsid w:val="006F7501"/>
    <w:rsid w:val="00756C37"/>
    <w:rsid w:val="00860345"/>
    <w:rsid w:val="008D38B3"/>
    <w:rsid w:val="009335EF"/>
    <w:rsid w:val="009651CB"/>
    <w:rsid w:val="009A74F8"/>
    <w:rsid w:val="00AB6F04"/>
    <w:rsid w:val="00AE323F"/>
    <w:rsid w:val="00B17BA1"/>
    <w:rsid w:val="00BD49D4"/>
    <w:rsid w:val="00C72E58"/>
    <w:rsid w:val="00CC3A33"/>
    <w:rsid w:val="00CD1469"/>
    <w:rsid w:val="00E1690D"/>
    <w:rsid w:val="00E645F4"/>
    <w:rsid w:val="00EE2AF4"/>
    <w:rsid w:val="00EF7553"/>
    <w:rsid w:val="00F744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F9D9E"/>
  <w15:chartTrackingRefBased/>
  <w15:docId w15:val="{500F543B-7431-4903-8AB9-44BEA2B2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F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469"/>
  </w:style>
  <w:style w:type="paragraph" w:styleId="Footer">
    <w:name w:val="footer"/>
    <w:basedOn w:val="Normal"/>
    <w:link w:val="FooterChar"/>
    <w:uiPriority w:val="99"/>
    <w:unhideWhenUsed/>
    <w:rsid w:val="00CD1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469"/>
  </w:style>
  <w:style w:type="paragraph" w:styleId="Revision">
    <w:name w:val="Revision"/>
    <w:hidden/>
    <w:uiPriority w:val="99"/>
    <w:semiHidden/>
    <w:rsid w:val="0049151C"/>
    <w:pPr>
      <w:spacing w:after="0" w:line="240" w:lineRule="auto"/>
    </w:pPr>
  </w:style>
  <w:style w:type="character" w:styleId="CommentReference">
    <w:name w:val="annotation reference"/>
    <w:basedOn w:val="DefaultParagraphFont"/>
    <w:uiPriority w:val="99"/>
    <w:semiHidden/>
    <w:unhideWhenUsed/>
    <w:rsid w:val="0049151C"/>
    <w:rPr>
      <w:sz w:val="16"/>
      <w:szCs w:val="16"/>
    </w:rPr>
  </w:style>
  <w:style w:type="paragraph" w:styleId="CommentText">
    <w:name w:val="annotation text"/>
    <w:basedOn w:val="Normal"/>
    <w:link w:val="CommentTextChar"/>
    <w:uiPriority w:val="99"/>
    <w:unhideWhenUsed/>
    <w:rsid w:val="0049151C"/>
    <w:pPr>
      <w:spacing w:line="240" w:lineRule="auto"/>
    </w:pPr>
    <w:rPr>
      <w:sz w:val="20"/>
      <w:szCs w:val="20"/>
    </w:rPr>
  </w:style>
  <w:style w:type="character" w:customStyle="1" w:styleId="CommentTextChar">
    <w:name w:val="Comment Text Char"/>
    <w:basedOn w:val="DefaultParagraphFont"/>
    <w:link w:val="CommentText"/>
    <w:uiPriority w:val="99"/>
    <w:rsid w:val="0049151C"/>
    <w:rPr>
      <w:sz w:val="20"/>
      <w:szCs w:val="20"/>
    </w:rPr>
  </w:style>
  <w:style w:type="paragraph" w:styleId="CommentSubject">
    <w:name w:val="annotation subject"/>
    <w:basedOn w:val="CommentText"/>
    <w:next w:val="CommentText"/>
    <w:link w:val="CommentSubjectChar"/>
    <w:uiPriority w:val="99"/>
    <w:semiHidden/>
    <w:unhideWhenUsed/>
    <w:rsid w:val="0049151C"/>
    <w:rPr>
      <w:b/>
      <w:bCs/>
    </w:rPr>
  </w:style>
  <w:style w:type="character" w:customStyle="1" w:styleId="CommentSubjectChar">
    <w:name w:val="Comment Subject Char"/>
    <w:basedOn w:val="CommentTextChar"/>
    <w:link w:val="CommentSubject"/>
    <w:uiPriority w:val="99"/>
    <w:semiHidden/>
    <w:rsid w:val="0049151C"/>
    <w:rPr>
      <w:b/>
      <w:bCs/>
      <w:sz w:val="20"/>
      <w:szCs w:val="20"/>
    </w:rPr>
  </w:style>
  <w:style w:type="paragraph" w:customStyle="1" w:styleId="EndNoteBibliographyTitle">
    <w:name w:val="EndNote Bibliography Title"/>
    <w:basedOn w:val="Normal"/>
    <w:link w:val="EndNoteBibliographyTitleChar"/>
    <w:rsid w:val="00AE323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E323F"/>
    <w:rPr>
      <w:rFonts w:ascii="Calibri" w:hAnsi="Calibri" w:cs="Calibri"/>
      <w:noProof/>
      <w:lang w:val="en-US"/>
    </w:rPr>
  </w:style>
  <w:style w:type="paragraph" w:customStyle="1" w:styleId="EndNoteBibliography">
    <w:name w:val="EndNote Bibliography"/>
    <w:basedOn w:val="Normal"/>
    <w:link w:val="EndNoteBibliographyChar"/>
    <w:rsid w:val="00AE323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E323F"/>
    <w:rPr>
      <w:rFonts w:ascii="Calibri" w:hAnsi="Calibri" w:cs="Calibri"/>
      <w:noProof/>
      <w:lang w:val="en-US"/>
    </w:rPr>
  </w:style>
  <w:style w:type="paragraph" w:customStyle="1" w:styleId="BCAuthorAddress">
    <w:name w:val="BC_Author_Address"/>
    <w:basedOn w:val="Normal"/>
    <w:next w:val="Normal"/>
    <w:rsid w:val="00484859"/>
    <w:pPr>
      <w:spacing w:after="240" w:line="480" w:lineRule="auto"/>
      <w:jc w:val="center"/>
    </w:pPr>
    <w:rPr>
      <w:rFonts w:ascii="Times" w:eastAsia="Times New Roman" w:hAnsi="Times" w:cs="Times New Roman"/>
      <w:sz w:val="24"/>
      <w:szCs w:val="20"/>
      <w:lang w:val="en-US"/>
    </w:rPr>
  </w:style>
  <w:style w:type="character" w:customStyle="1" w:styleId="normaltextrun">
    <w:name w:val="normaltextrun"/>
    <w:basedOn w:val="DefaultParagraphFont"/>
    <w:rsid w:val="00577B7C"/>
  </w:style>
  <w:style w:type="character" w:styleId="Hyperlink">
    <w:name w:val="Hyperlink"/>
    <w:basedOn w:val="DefaultParagraphFont"/>
    <w:uiPriority w:val="99"/>
    <w:unhideWhenUsed/>
    <w:rsid w:val="009335EF"/>
    <w:rPr>
      <w:color w:val="0563C1" w:themeColor="hyperlink"/>
      <w:u w:val="single"/>
    </w:rPr>
  </w:style>
  <w:style w:type="character" w:styleId="UnresolvedMention">
    <w:name w:val="Unresolved Mention"/>
    <w:basedOn w:val="DefaultParagraphFont"/>
    <w:uiPriority w:val="99"/>
    <w:semiHidden/>
    <w:unhideWhenUsed/>
    <w:rsid w:val="00933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43AAA530839458434DD45A4E4ED10" ma:contentTypeVersion="" ma:contentTypeDescription="Create a new document." ma:contentTypeScope="" ma:versionID="711fcec19b6125d7b2466b46fc3f8d34">
  <xsd:schema xmlns:xsd="http://www.w3.org/2001/XMLSchema" xmlns:xs="http://www.w3.org/2001/XMLSchema" xmlns:p="http://schemas.microsoft.com/office/2006/metadata/properties" xmlns:ns1="http://schemas.microsoft.com/sharepoint/v3" xmlns:ns2="7a5fe9ff-3254-4f5c-8883-5e50a0f139bb" xmlns:ns3="bf4c14b7-edaa-43f1-9d4e-14fc94225f81" xmlns:ns4="3432f105-7698-4a9e-8b42-7de86bfcb2ad" targetNamespace="http://schemas.microsoft.com/office/2006/metadata/properties" ma:root="true" ma:fieldsID="0cfe9092dd23ee4a2232778c25178ba8" ns1:_="" ns2:_="" ns3:_="" ns4:_="">
    <xsd:import namespace="http://schemas.microsoft.com/sharepoint/v3"/>
    <xsd:import namespace="7a5fe9ff-3254-4f5c-8883-5e50a0f139bb"/>
    <xsd:import namespace="bf4c14b7-edaa-43f1-9d4e-14fc94225f81"/>
    <xsd:import namespace="3432f105-7698-4a9e-8b42-7de86bfcb2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Year" minOccurs="0"/>
                <xsd:element ref="ns2:Results" minOccurs="0"/>
                <xsd:element ref="ns2:Experimental_x0020_Setup" minOccurs="0"/>
                <xsd:element ref="ns2:References"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fe9ff-3254-4f5c-8883-5e50a0f13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Year" ma:index="12" nillable="true" ma:displayName="Year" ma:format="DateOnly" ma:internalName="Year">
      <xsd:simpleType>
        <xsd:restriction base="dms:DateTime"/>
      </xsd:simpleType>
    </xsd:element>
    <xsd:element name="Results" ma:index="13" nillable="true" ma:displayName="Results" ma:default="1" ma:internalName="Results">
      <xsd:simpleType>
        <xsd:restriction base="dms:Boolean"/>
      </xsd:simpleType>
    </xsd:element>
    <xsd:element name="Experimental_x0020_Setup" ma:index="14" nillable="true" ma:displayName="Experimental Setup" ma:default="1" ma:internalName="Experimental_x0020_Setup">
      <xsd:simpleType>
        <xsd:restriction base="dms:Boolean"/>
      </xsd:simpleType>
    </xsd:element>
    <xsd:element name="References" ma:index="15" nillable="true" ma:displayName="References" ma:default="1" ma:internalName="References">
      <xsd:simpleType>
        <xsd:restriction base="dms:Boolea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37b940e-992c-4879-80c8-4ee9dafbb12a" ma:termSetId="09814cd3-568e-fe90-9814-8d621ff8fb84" ma:anchorId="fba54fb3-c3e1-fe81-a776-ca4b69148c4d" ma:open="true" ma:isKeyword="false">
      <xsd:complexType>
        <xsd:sequence>
          <xsd:element ref="pc:Terms" minOccurs="0" maxOccurs="1"/>
        </xsd:sequence>
      </xsd:complex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4c14b7-edaa-43f1-9d4e-14fc94225f8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2f105-7698-4a9e-8b42-7de86bfcb2ad"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0ea1bf51-fd23-4d0d-9d03-8f412196aac2}" ma:internalName="TaxCatchAll" ma:showField="CatchAllData" ma:web="3432f105-7698-4a9e-8b42-7de86bfcb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9EA738-F0B9-40F6-A8AB-9ED5B9874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fe9ff-3254-4f5c-8883-5e50a0f139bb"/>
    <ds:schemaRef ds:uri="bf4c14b7-edaa-43f1-9d4e-14fc94225f81"/>
    <ds:schemaRef ds:uri="3432f105-7698-4a9e-8b42-7de86bfcb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C8B8B-F521-40D5-A326-066B3C281A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3385</Words>
  <Characters>19298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Mierczynska-Vasilev</dc:creator>
  <cp:keywords/>
  <dc:description/>
  <cp:lastModifiedBy>Agnieszka Mierczynska-Vasilev</cp:lastModifiedBy>
  <cp:revision>4</cp:revision>
  <cp:lastPrinted>2022-06-16T01:09:00Z</cp:lastPrinted>
  <dcterms:created xsi:type="dcterms:W3CDTF">2022-10-06T22:17:00Z</dcterms:created>
  <dcterms:modified xsi:type="dcterms:W3CDTF">2022-10-06T23:20:00Z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af902ffa4b99863a4dcba67879928cc63dd1d6c93c09c625a9861aa2754f3833</vt:lpwstr>
  </property>
</Properties>
</file>