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ECC97" w14:textId="61C0554E" w:rsidR="007B21E9" w:rsidRPr="00826F65" w:rsidRDefault="007B21E9" w:rsidP="00826F65">
      <w:pPr>
        <w:rPr>
          <w:rFonts w:ascii="Garamond" w:hAnsi="Garamond"/>
          <w:lang w:val="en-US"/>
        </w:rPr>
      </w:pPr>
      <w:r w:rsidRPr="005D7232">
        <w:rPr>
          <w:rFonts w:ascii="Garamond" w:hAnsi="Garamond"/>
          <w:lang w:val="en-GB"/>
        </w:rPr>
        <w:t>Table 1. Quarterly evolution of employment rate, unemployment rate, participation rate, informality rate, formal and informal employment. IVQ 2019 - IIIQ 2021</w:t>
      </w:r>
    </w:p>
    <w:p w14:paraId="1B8BA2D6" w14:textId="77777777" w:rsidR="007B21E9" w:rsidRPr="005D7232" w:rsidRDefault="007B21E9" w:rsidP="007B21E9">
      <w:pPr>
        <w:pStyle w:val="BodyAAA"/>
        <w:widowControl w:val="0"/>
        <w:spacing w:after="0" w:line="480" w:lineRule="auto"/>
        <w:jc w:val="both"/>
        <w:rPr>
          <w:rFonts w:ascii="Garamond" w:hAnsi="Garamond"/>
          <w:lang w:val="en-GB"/>
        </w:rPr>
      </w:pPr>
      <w:r w:rsidRPr="005D7232">
        <w:rPr>
          <w:rFonts w:ascii="Garamond" w:hAnsi="Garamond"/>
          <w:noProof/>
          <w:lang w:val="en-GB"/>
        </w:rPr>
        <w:drawing>
          <wp:inline distT="0" distB="0" distL="0" distR="0" wp14:anchorId="10A2FDEE" wp14:editId="0A942D68">
            <wp:extent cx="3835466" cy="66179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1127" cy="6627672"/>
                    </a:xfrm>
                    <a:prstGeom prst="rect">
                      <a:avLst/>
                    </a:prstGeom>
                    <a:noFill/>
                    <a:ln>
                      <a:noFill/>
                    </a:ln>
                  </pic:spPr>
                </pic:pic>
              </a:graphicData>
            </a:graphic>
          </wp:inline>
        </w:drawing>
      </w:r>
    </w:p>
    <w:p w14:paraId="56F2A762" w14:textId="77777777" w:rsidR="007B21E9" w:rsidRPr="005D7232" w:rsidRDefault="007B21E9" w:rsidP="007B21E9">
      <w:pPr>
        <w:pStyle w:val="BodyAA"/>
        <w:widowControl w:val="0"/>
        <w:spacing w:after="0" w:line="480" w:lineRule="auto"/>
        <w:jc w:val="both"/>
        <w:rPr>
          <w:rFonts w:ascii="Garamond" w:hAnsi="Garamond"/>
          <w:sz w:val="20"/>
          <w:szCs w:val="20"/>
          <w:lang w:val="en-GB"/>
        </w:rPr>
      </w:pPr>
      <w:r w:rsidRPr="005D7232">
        <w:rPr>
          <w:rFonts w:ascii="Garamond" w:hAnsi="Garamond"/>
          <w:sz w:val="20"/>
          <w:szCs w:val="20"/>
          <w:lang w:val="en-GB"/>
        </w:rPr>
        <w:t>Source: Own elaboration based on household surveys</w:t>
      </w:r>
    </w:p>
    <w:p w14:paraId="360C4AEC" w14:textId="77777777" w:rsidR="007B21E9" w:rsidRPr="005D7232" w:rsidRDefault="007B21E9" w:rsidP="007B21E9">
      <w:pPr>
        <w:pStyle w:val="BodyAA"/>
        <w:widowControl w:val="0"/>
        <w:spacing w:after="0" w:line="480" w:lineRule="auto"/>
        <w:jc w:val="both"/>
        <w:rPr>
          <w:rFonts w:ascii="Garamond" w:hAnsi="Garamond"/>
          <w:sz w:val="20"/>
          <w:szCs w:val="20"/>
          <w:lang w:val="en-GB"/>
        </w:rPr>
      </w:pPr>
      <w:r w:rsidRPr="005D7232">
        <w:rPr>
          <w:rFonts w:ascii="Garamond" w:hAnsi="Garamond"/>
          <w:sz w:val="20"/>
          <w:szCs w:val="20"/>
          <w:lang w:val="en-GB"/>
        </w:rPr>
        <w:t>Notes: *</w:t>
      </w:r>
      <w:r>
        <w:rPr>
          <w:rFonts w:ascii="Garamond" w:hAnsi="Garamond"/>
          <w:sz w:val="20"/>
          <w:szCs w:val="20"/>
          <w:lang w:val="en-GB"/>
        </w:rPr>
        <w:t xml:space="preserve">Data on </w:t>
      </w:r>
      <w:r w:rsidRPr="005D7232">
        <w:rPr>
          <w:rFonts w:ascii="Garamond" w:hAnsi="Garamond"/>
          <w:sz w:val="20"/>
          <w:szCs w:val="20"/>
          <w:lang w:val="en-GB"/>
        </w:rPr>
        <w:t>informality rate in Colombia for IQ2020 includes only January and February, and for IIIQ2020 includes only August and September.</w:t>
      </w:r>
    </w:p>
    <w:p w14:paraId="4DD68264" w14:textId="02445CB8" w:rsidR="00973B89" w:rsidRDefault="00973B89">
      <w:pPr>
        <w:rPr>
          <w:rFonts w:ascii="Garamond" w:hAnsi="Garamond"/>
          <w:lang w:val="en-US"/>
        </w:rPr>
      </w:pPr>
      <w:r>
        <w:rPr>
          <w:rFonts w:ascii="Garamond" w:hAnsi="Garamond"/>
          <w:lang w:val="en-US"/>
        </w:rPr>
        <w:br w:type="page"/>
      </w:r>
    </w:p>
    <w:p w14:paraId="388EA1A8" w14:textId="77777777" w:rsidR="007B21E9" w:rsidRDefault="007B21E9" w:rsidP="007B21E9">
      <w:pPr>
        <w:pStyle w:val="BodyAAA"/>
        <w:keepNext/>
        <w:keepLines/>
        <w:spacing w:after="0" w:line="480" w:lineRule="auto"/>
        <w:jc w:val="both"/>
        <w:rPr>
          <w:rFonts w:ascii="Garamond" w:hAnsi="Garamond"/>
          <w:lang w:val="en-GB"/>
        </w:rPr>
      </w:pPr>
      <w:r w:rsidRPr="005D7232">
        <w:rPr>
          <w:rFonts w:ascii="Garamond" w:hAnsi="Garamond"/>
          <w:lang w:val="en-GB"/>
        </w:rPr>
        <w:lastRenderedPageBreak/>
        <w:t>Table 2. Changes in total per-capita labour incomes (%). IVQ 2019- IIIQ 2021</w:t>
      </w:r>
    </w:p>
    <w:p w14:paraId="52DC6EE4" w14:textId="77777777" w:rsidR="007B21E9" w:rsidRDefault="007B21E9" w:rsidP="007B21E9">
      <w:pPr>
        <w:pStyle w:val="BodyAA"/>
        <w:spacing w:after="0" w:line="480" w:lineRule="auto"/>
        <w:jc w:val="both"/>
        <w:rPr>
          <w:rFonts w:ascii="Garamond" w:hAnsi="Garamond"/>
          <w:sz w:val="20"/>
          <w:szCs w:val="20"/>
          <w:lang w:val="en-GB"/>
        </w:rPr>
      </w:pPr>
      <w:r w:rsidRPr="00807EA8">
        <w:rPr>
          <w:noProof/>
        </w:rPr>
        <w:drawing>
          <wp:inline distT="0" distB="0" distL="0" distR="0" wp14:anchorId="44D74E42" wp14:editId="12E20150">
            <wp:extent cx="4664075" cy="5003165"/>
            <wp:effectExtent l="0" t="0" r="317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4075" cy="5003165"/>
                    </a:xfrm>
                    <a:prstGeom prst="rect">
                      <a:avLst/>
                    </a:prstGeom>
                    <a:noFill/>
                    <a:ln>
                      <a:noFill/>
                    </a:ln>
                  </pic:spPr>
                </pic:pic>
              </a:graphicData>
            </a:graphic>
          </wp:inline>
        </w:drawing>
      </w:r>
    </w:p>
    <w:p w14:paraId="6D96F7E4"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Notes: *Contraction phase in Colombia covers the period IVQ2019-IIIQ2020. ** Recovery phase in Colombia covers the period IIIQ2020-IIIQ2021and in Uruguay, IIQ2020-IIQ2021</w:t>
      </w:r>
    </w:p>
    <w:p w14:paraId="53B0E894"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Source: Own elaboration based on household surveys</w:t>
      </w:r>
    </w:p>
    <w:p w14:paraId="3AE56BF1" w14:textId="77777777" w:rsidR="007B21E9" w:rsidRDefault="007B21E9">
      <w:pPr>
        <w:rPr>
          <w:rFonts w:ascii="Garamond" w:eastAsia="Arial Unicode MS" w:hAnsi="Garamond" w:cs="Arial Unicode MS"/>
          <w:color w:val="000000"/>
          <w:u w:color="000000"/>
          <w:bdr w:val="nil"/>
          <w:lang w:val="en-GB" w:eastAsia="es-ES"/>
          <w14:textOutline w14:w="12700" w14:cap="flat" w14:cmpd="sng" w14:algn="ctr">
            <w14:noFill/>
            <w14:prstDash w14:val="solid"/>
            <w14:miter w14:lim="400000"/>
          </w14:textOutline>
        </w:rPr>
      </w:pPr>
      <w:r>
        <w:rPr>
          <w:rFonts w:ascii="Garamond" w:hAnsi="Garamond"/>
          <w:lang w:val="en-GB"/>
        </w:rPr>
        <w:br w:type="page"/>
      </w:r>
    </w:p>
    <w:p w14:paraId="661B8DBA" w14:textId="77777777" w:rsidR="007B21E9" w:rsidRDefault="007B21E9" w:rsidP="007B21E9">
      <w:pPr>
        <w:pStyle w:val="BodyAA"/>
        <w:spacing w:after="0" w:line="480" w:lineRule="auto"/>
        <w:jc w:val="both"/>
        <w:rPr>
          <w:rFonts w:ascii="Garamond" w:hAnsi="Garamond"/>
          <w:lang w:val="en-GB"/>
        </w:rPr>
      </w:pPr>
      <w:r w:rsidRPr="005D7232">
        <w:rPr>
          <w:rFonts w:ascii="Garamond" w:hAnsi="Garamond"/>
          <w:lang w:val="en-GB"/>
        </w:rPr>
        <w:lastRenderedPageBreak/>
        <w:t>Table</w:t>
      </w:r>
      <w:r w:rsidRPr="005D7232">
        <w:rPr>
          <w:rFonts w:ascii="Garamond" w:hAnsi="Garamond"/>
          <w:sz w:val="20"/>
          <w:szCs w:val="20"/>
          <w:lang w:val="en-GB"/>
        </w:rPr>
        <w:t xml:space="preserve"> </w:t>
      </w:r>
      <w:r w:rsidRPr="005D7232">
        <w:rPr>
          <w:rFonts w:ascii="Garamond" w:hAnsi="Garamond"/>
          <w:lang w:val="en-GB"/>
        </w:rPr>
        <w:t>3.</w:t>
      </w:r>
      <w:r w:rsidRPr="005D7232">
        <w:rPr>
          <w:rFonts w:ascii="Garamond" w:hAnsi="Garamond"/>
          <w:sz w:val="20"/>
          <w:szCs w:val="20"/>
          <w:lang w:val="en-GB"/>
        </w:rPr>
        <w:t xml:space="preserve">  Percentage variations</w:t>
      </w:r>
      <w:r w:rsidRPr="005D7232">
        <w:rPr>
          <w:rFonts w:ascii="Garamond" w:hAnsi="Garamond"/>
          <w:lang w:val="en-GB"/>
        </w:rPr>
        <w:t xml:space="preserve"> in total per-capita familiar incomes and their sources. IVQ 2019- IIIQ 2021</w:t>
      </w:r>
    </w:p>
    <w:p w14:paraId="4A1910E8" w14:textId="77777777" w:rsidR="007B21E9" w:rsidRPr="00122AA7" w:rsidRDefault="007B21E9" w:rsidP="007B21E9">
      <w:pPr>
        <w:pStyle w:val="BodyAA"/>
        <w:spacing w:after="0" w:line="480" w:lineRule="auto"/>
        <w:jc w:val="both"/>
        <w:rPr>
          <w:rFonts w:ascii="Garamond" w:hAnsi="Garamond"/>
          <w:lang w:val="es-ES"/>
        </w:rPr>
      </w:pPr>
      <w:r w:rsidRPr="004F4963">
        <w:rPr>
          <w:noProof/>
        </w:rPr>
        <w:drawing>
          <wp:inline distT="0" distB="0" distL="0" distR="0" wp14:anchorId="3CEA822D" wp14:editId="0B90DC9B">
            <wp:extent cx="5400040" cy="7439025"/>
            <wp:effectExtent l="0" t="0" r="0" b="9525"/>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7439025"/>
                    </a:xfrm>
                    <a:prstGeom prst="rect">
                      <a:avLst/>
                    </a:prstGeom>
                    <a:noFill/>
                    <a:ln>
                      <a:noFill/>
                    </a:ln>
                  </pic:spPr>
                </pic:pic>
              </a:graphicData>
            </a:graphic>
          </wp:inline>
        </w:drawing>
      </w:r>
    </w:p>
    <w:p w14:paraId="3EAA632E"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 xml:space="preserve">Notes: *Contraction phase in Colombia covers the period IVQ2019-IIIQ2020 and in Costa Rica Jun 2019-Jun 2020. **Recovery phase in Colombia covers the period IIIQ2020-IIIQ2021, in Costa Rica Jun 2020-Jun 2021 </w:t>
      </w:r>
      <w:r w:rsidRPr="005D7232">
        <w:rPr>
          <w:rFonts w:ascii="Garamond" w:hAnsi="Garamond"/>
          <w:sz w:val="20"/>
          <w:szCs w:val="20"/>
          <w:lang w:val="en-GB"/>
        </w:rPr>
        <w:lastRenderedPageBreak/>
        <w:t xml:space="preserve">and in Uruguay IIQ2020-IIQ2021. ***Data for Brazil and Costa Rica are somewhat different from those included in Table 2 as different surveys were employed. In the case of Brazil, the source employed in this table is the special module of the PNADC and data was not available for 2021 at the time of writing the paper; instead, figures in Table 2 were estimated from the regular quarterly results of PNADC. For Costa Rica, ENAHO was the source used in this table while, in Table 2, ECE survey was the one considered. </w:t>
      </w:r>
    </w:p>
    <w:p w14:paraId="29ABBFD1"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Source: Own elaboration based on household surveys</w:t>
      </w:r>
    </w:p>
    <w:p w14:paraId="3E521187" w14:textId="77777777" w:rsidR="007B21E9" w:rsidRDefault="007B21E9">
      <w:pPr>
        <w:rPr>
          <w:rFonts w:ascii="Garamond" w:eastAsia="Arial Unicode MS" w:hAnsi="Garamond" w:cs="Arial Unicode MS"/>
          <w:color w:val="000000"/>
          <w:u w:color="000000"/>
          <w:bdr w:val="nil"/>
          <w:lang w:val="en-GB" w:eastAsia="es-ES"/>
          <w14:textOutline w14:w="12700" w14:cap="flat" w14:cmpd="sng" w14:algn="ctr">
            <w14:noFill/>
            <w14:prstDash w14:val="solid"/>
            <w14:miter w14:lim="400000"/>
          </w14:textOutline>
        </w:rPr>
      </w:pPr>
      <w:r>
        <w:rPr>
          <w:rFonts w:ascii="Garamond" w:hAnsi="Garamond"/>
          <w:lang w:val="en-GB"/>
        </w:rPr>
        <w:br w:type="page"/>
      </w:r>
    </w:p>
    <w:p w14:paraId="4F744408" w14:textId="77777777" w:rsidR="007B21E9" w:rsidRPr="005D7232" w:rsidRDefault="007B21E9" w:rsidP="007B21E9">
      <w:pPr>
        <w:keepNext/>
        <w:keepLines/>
        <w:spacing w:after="0" w:line="480" w:lineRule="auto"/>
        <w:rPr>
          <w:rFonts w:ascii="Garamond" w:hAnsi="Garamond"/>
          <w:lang w:val="en-GB"/>
        </w:rPr>
      </w:pPr>
      <w:r w:rsidRPr="005D7232">
        <w:rPr>
          <w:rFonts w:ascii="Garamond" w:hAnsi="Garamond"/>
          <w:lang w:val="en-GB"/>
        </w:rPr>
        <w:lastRenderedPageBreak/>
        <w:t>Table 4. Inequality indicators. Per capita family income. IVQ 2019- IIIQ 2021</w:t>
      </w:r>
    </w:p>
    <w:p w14:paraId="3A62CA56" w14:textId="77777777" w:rsidR="007B21E9" w:rsidRPr="00890E48" w:rsidRDefault="007B21E9" w:rsidP="007B21E9">
      <w:pPr>
        <w:keepNext/>
        <w:keepLines/>
        <w:spacing w:after="0" w:line="480" w:lineRule="auto"/>
        <w:rPr>
          <w:rFonts w:ascii="Garamond" w:hAnsi="Garamond"/>
          <w:b/>
          <w:bCs/>
        </w:rPr>
      </w:pPr>
      <w:r w:rsidRPr="00890E48">
        <w:rPr>
          <w:noProof/>
        </w:rPr>
        <w:drawing>
          <wp:inline distT="0" distB="0" distL="0" distR="0" wp14:anchorId="1845515D" wp14:editId="364F12BC">
            <wp:extent cx="5344795" cy="1536065"/>
            <wp:effectExtent l="0" t="0" r="825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4795" cy="1536065"/>
                    </a:xfrm>
                    <a:prstGeom prst="rect">
                      <a:avLst/>
                    </a:prstGeom>
                    <a:noFill/>
                    <a:ln>
                      <a:noFill/>
                    </a:ln>
                  </pic:spPr>
                </pic:pic>
              </a:graphicData>
            </a:graphic>
          </wp:inline>
        </w:drawing>
      </w:r>
    </w:p>
    <w:p w14:paraId="7AF92080"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Notes: *II20 corresponds to Aug</w:t>
      </w:r>
      <w:r>
        <w:rPr>
          <w:rFonts w:ascii="Garamond" w:hAnsi="Garamond"/>
          <w:sz w:val="20"/>
          <w:szCs w:val="20"/>
          <w:lang w:val="en-GB"/>
        </w:rPr>
        <w:t xml:space="preserve">ust </w:t>
      </w:r>
      <w:r w:rsidRPr="005D7232">
        <w:rPr>
          <w:rFonts w:ascii="Garamond" w:hAnsi="Garamond"/>
          <w:sz w:val="20"/>
          <w:szCs w:val="20"/>
          <w:lang w:val="en-GB"/>
        </w:rPr>
        <w:t>20</w:t>
      </w:r>
      <w:r>
        <w:rPr>
          <w:rFonts w:ascii="Garamond" w:hAnsi="Garamond"/>
          <w:sz w:val="20"/>
          <w:szCs w:val="20"/>
          <w:lang w:val="en-GB"/>
        </w:rPr>
        <w:t>20</w:t>
      </w:r>
      <w:r w:rsidRPr="005D7232">
        <w:rPr>
          <w:rFonts w:ascii="Garamond" w:hAnsi="Garamond"/>
          <w:sz w:val="20"/>
          <w:szCs w:val="20"/>
          <w:lang w:val="en-GB"/>
        </w:rPr>
        <w:t xml:space="preserve"> and Sep</w:t>
      </w:r>
      <w:r>
        <w:rPr>
          <w:rFonts w:ascii="Garamond" w:hAnsi="Garamond"/>
          <w:sz w:val="20"/>
          <w:szCs w:val="20"/>
          <w:lang w:val="en-GB"/>
        </w:rPr>
        <w:t xml:space="preserve">tember </w:t>
      </w:r>
      <w:r w:rsidRPr="005D7232">
        <w:rPr>
          <w:rFonts w:ascii="Garamond" w:hAnsi="Garamond"/>
          <w:sz w:val="20"/>
          <w:szCs w:val="20"/>
          <w:lang w:val="en-GB"/>
        </w:rPr>
        <w:t>20</w:t>
      </w:r>
      <w:r>
        <w:rPr>
          <w:rFonts w:ascii="Garamond" w:hAnsi="Garamond"/>
          <w:sz w:val="20"/>
          <w:szCs w:val="20"/>
          <w:lang w:val="en-GB"/>
        </w:rPr>
        <w:t>20</w:t>
      </w:r>
      <w:r w:rsidRPr="005D7232">
        <w:rPr>
          <w:rFonts w:ascii="Garamond" w:hAnsi="Garamond"/>
          <w:sz w:val="20"/>
          <w:szCs w:val="20"/>
          <w:lang w:val="en-GB"/>
        </w:rPr>
        <w:t>, **IV19 corresponds to Jun</w:t>
      </w:r>
      <w:r>
        <w:rPr>
          <w:rFonts w:ascii="Garamond" w:hAnsi="Garamond"/>
          <w:sz w:val="20"/>
          <w:szCs w:val="20"/>
          <w:lang w:val="en-GB"/>
        </w:rPr>
        <w:t xml:space="preserve"> 20</w:t>
      </w:r>
      <w:r w:rsidRPr="005D7232">
        <w:rPr>
          <w:rFonts w:ascii="Garamond" w:hAnsi="Garamond"/>
          <w:sz w:val="20"/>
          <w:szCs w:val="20"/>
          <w:lang w:val="en-GB"/>
        </w:rPr>
        <w:t>19, II20 corresponds to Jun</w:t>
      </w:r>
      <w:r>
        <w:rPr>
          <w:rFonts w:ascii="Garamond" w:hAnsi="Garamond"/>
          <w:sz w:val="20"/>
          <w:szCs w:val="20"/>
          <w:lang w:val="en-GB"/>
        </w:rPr>
        <w:t xml:space="preserve">e </w:t>
      </w:r>
      <w:r w:rsidRPr="005D7232">
        <w:rPr>
          <w:rFonts w:ascii="Garamond" w:hAnsi="Garamond"/>
          <w:sz w:val="20"/>
          <w:szCs w:val="20"/>
          <w:lang w:val="en-GB"/>
        </w:rPr>
        <w:t>20</w:t>
      </w:r>
      <w:r>
        <w:rPr>
          <w:rFonts w:ascii="Garamond" w:hAnsi="Garamond"/>
          <w:sz w:val="20"/>
          <w:szCs w:val="20"/>
          <w:lang w:val="en-GB"/>
        </w:rPr>
        <w:t>20</w:t>
      </w:r>
      <w:r w:rsidRPr="005D7232">
        <w:rPr>
          <w:rFonts w:ascii="Garamond" w:hAnsi="Garamond"/>
          <w:sz w:val="20"/>
          <w:szCs w:val="20"/>
          <w:lang w:val="en-GB"/>
        </w:rPr>
        <w:t xml:space="preserve"> and III21 corresponds to Jun</w:t>
      </w:r>
      <w:r>
        <w:rPr>
          <w:rFonts w:ascii="Garamond" w:hAnsi="Garamond"/>
          <w:sz w:val="20"/>
          <w:szCs w:val="20"/>
          <w:lang w:val="en-GB"/>
        </w:rPr>
        <w:t xml:space="preserve">e </w:t>
      </w:r>
      <w:r w:rsidRPr="005D7232">
        <w:rPr>
          <w:rFonts w:ascii="Garamond" w:hAnsi="Garamond"/>
          <w:sz w:val="20"/>
          <w:szCs w:val="20"/>
          <w:lang w:val="en-GB"/>
        </w:rPr>
        <w:t>2</w:t>
      </w:r>
      <w:r>
        <w:rPr>
          <w:rFonts w:ascii="Garamond" w:hAnsi="Garamond"/>
          <w:sz w:val="20"/>
          <w:szCs w:val="20"/>
          <w:lang w:val="en-GB"/>
        </w:rPr>
        <w:t>02</w:t>
      </w:r>
      <w:r w:rsidRPr="005D7232">
        <w:rPr>
          <w:rFonts w:ascii="Garamond" w:hAnsi="Garamond"/>
          <w:sz w:val="20"/>
          <w:szCs w:val="20"/>
          <w:lang w:val="en-GB"/>
        </w:rPr>
        <w:t xml:space="preserve">1, ***III21 corresponds to II21. </w:t>
      </w:r>
    </w:p>
    <w:p w14:paraId="4260D7D8"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Source: Own elaboration based on household surveys</w:t>
      </w:r>
    </w:p>
    <w:p w14:paraId="5BC02EF8" w14:textId="77777777" w:rsidR="007B21E9" w:rsidRDefault="007B21E9">
      <w:pPr>
        <w:rPr>
          <w:rFonts w:ascii="Garamond" w:eastAsia="Arial Unicode MS" w:hAnsi="Garamond" w:cs="Arial Unicode MS"/>
          <w:color w:val="000000"/>
          <w:u w:color="000000"/>
          <w:bdr w:val="nil"/>
          <w:lang w:val="en-GB" w:eastAsia="es-ES"/>
          <w14:textOutline w14:w="12700" w14:cap="flat" w14:cmpd="sng" w14:algn="ctr">
            <w14:noFill/>
            <w14:prstDash w14:val="solid"/>
            <w14:miter w14:lim="400000"/>
          </w14:textOutline>
        </w:rPr>
      </w:pPr>
      <w:r>
        <w:rPr>
          <w:rFonts w:ascii="Garamond" w:hAnsi="Garamond"/>
          <w:lang w:val="en-GB"/>
        </w:rPr>
        <w:br w:type="page"/>
      </w:r>
    </w:p>
    <w:p w14:paraId="7AF450B0" w14:textId="77777777" w:rsidR="007B21E9" w:rsidRPr="005D7232" w:rsidRDefault="007B21E9" w:rsidP="007B21E9">
      <w:pPr>
        <w:keepNext/>
        <w:keepLines/>
        <w:spacing w:after="0" w:line="480" w:lineRule="auto"/>
        <w:jc w:val="both"/>
        <w:rPr>
          <w:rFonts w:ascii="Garamond" w:hAnsi="Garamond"/>
          <w:lang w:val="en-GB"/>
        </w:rPr>
      </w:pPr>
      <w:r w:rsidRPr="005D7232">
        <w:rPr>
          <w:rFonts w:ascii="Garamond" w:hAnsi="Garamond"/>
          <w:lang w:val="en-GB"/>
        </w:rPr>
        <w:lastRenderedPageBreak/>
        <w:t>Table 5. Gini decomposition by income sources. Contraction phase</w:t>
      </w:r>
    </w:p>
    <w:p w14:paraId="09C8649B" w14:textId="77777777" w:rsidR="007B21E9" w:rsidRPr="005D7232" w:rsidRDefault="007B21E9" w:rsidP="007B21E9">
      <w:pPr>
        <w:keepNext/>
        <w:keepLines/>
        <w:spacing w:after="0" w:line="480" w:lineRule="auto"/>
        <w:jc w:val="both"/>
        <w:rPr>
          <w:rFonts w:ascii="Garamond" w:hAnsi="Garamond"/>
          <w:lang w:val="en-GB"/>
        </w:rPr>
      </w:pPr>
      <w:r w:rsidRPr="004D3513">
        <w:rPr>
          <w:noProof/>
        </w:rPr>
        <w:drawing>
          <wp:inline distT="0" distB="0" distL="0" distR="0" wp14:anchorId="078259DA" wp14:editId="2EBDB6F8">
            <wp:extent cx="5400040" cy="1402715"/>
            <wp:effectExtent l="0" t="0" r="0" b="6985"/>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1402715"/>
                    </a:xfrm>
                    <a:prstGeom prst="rect">
                      <a:avLst/>
                    </a:prstGeom>
                    <a:noFill/>
                    <a:ln>
                      <a:noFill/>
                    </a:ln>
                  </pic:spPr>
                </pic:pic>
              </a:graphicData>
            </a:graphic>
          </wp:inline>
        </w:drawing>
      </w:r>
    </w:p>
    <w:p w14:paraId="67C83ABD"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 xml:space="preserve">Source: Own elaboration based on household surveys. </w:t>
      </w:r>
    </w:p>
    <w:p w14:paraId="381AC2FA" w14:textId="77777777" w:rsidR="007B21E9" w:rsidRDefault="007B21E9">
      <w:pPr>
        <w:rPr>
          <w:rFonts w:ascii="Garamond" w:eastAsia="Arial Unicode MS" w:hAnsi="Garamond" w:cs="Arial Unicode MS"/>
          <w:color w:val="000000"/>
          <w:u w:color="000000"/>
          <w:bdr w:val="nil"/>
          <w:lang w:val="en-GB" w:eastAsia="es-ES"/>
          <w14:textOutline w14:w="12700" w14:cap="flat" w14:cmpd="sng" w14:algn="ctr">
            <w14:noFill/>
            <w14:prstDash w14:val="solid"/>
            <w14:miter w14:lim="400000"/>
          </w14:textOutline>
        </w:rPr>
      </w:pPr>
      <w:r>
        <w:rPr>
          <w:rFonts w:ascii="Garamond" w:hAnsi="Garamond"/>
          <w:lang w:val="en-GB"/>
        </w:rPr>
        <w:br w:type="page"/>
      </w:r>
    </w:p>
    <w:p w14:paraId="4D04B0DF" w14:textId="77777777" w:rsidR="007B21E9" w:rsidRPr="005D7232" w:rsidRDefault="007B21E9" w:rsidP="007B21E9">
      <w:pPr>
        <w:keepNext/>
        <w:keepLines/>
        <w:spacing w:after="0" w:line="480" w:lineRule="auto"/>
        <w:jc w:val="both"/>
        <w:rPr>
          <w:rFonts w:ascii="Garamond" w:hAnsi="Garamond"/>
          <w:lang w:val="en-GB"/>
        </w:rPr>
      </w:pPr>
      <w:r w:rsidRPr="005D7232">
        <w:rPr>
          <w:rFonts w:ascii="Garamond" w:hAnsi="Garamond"/>
          <w:lang w:val="en-GB"/>
        </w:rPr>
        <w:lastRenderedPageBreak/>
        <w:t>Table 6. Gini decomposition by income sources. Recovery phase</w:t>
      </w:r>
    </w:p>
    <w:p w14:paraId="480242F0" w14:textId="77777777" w:rsidR="007B21E9" w:rsidRPr="005D7232" w:rsidRDefault="007B21E9" w:rsidP="007B21E9">
      <w:pPr>
        <w:keepNext/>
        <w:keepLines/>
        <w:spacing w:after="0" w:line="480" w:lineRule="auto"/>
        <w:jc w:val="both"/>
        <w:rPr>
          <w:rFonts w:ascii="Garamond" w:hAnsi="Garamond"/>
          <w:lang w:val="en-GB"/>
        </w:rPr>
      </w:pPr>
      <w:r w:rsidRPr="004D3513">
        <w:rPr>
          <w:noProof/>
        </w:rPr>
        <w:drawing>
          <wp:inline distT="0" distB="0" distL="0" distR="0" wp14:anchorId="2CF0C17C" wp14:editId="2B3B79FB">
            <wp:extent cx="5132705" cy="1531620"/>
            <wp:effectExtent l="0" t="0" r="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2705" cy="1531620"/>
                    </a:xfrm>
                    <a:prstGeom prst="rect">
                      <a:avLst/>
                    </a:prstGeom>
                    <a:noFill/>
                    <a:ln>
                      <a:noFill/>
                    </a:ln>
                  </pic:spPr>
                </pic:pic>
              </a:graphicData>
            </a:graphic>
          </wp:inline>
        </w:drawing>
      </w:r>
    </w:p>
    <w:p w14:paraId="19CEC88E" w14:textId="77777777" w:rsidR="007B21E9" w:rsidRPr="005D7232" w:rsidRDefault="007B21E9" w:rsidP="007B21E9">
      <w:pPr>
        <w:pStyle w:val="BodyAA"/>
        <w:spacing w:after="0" w:line="480" w:lineRule="auto"/>
        <w:jc w:val="both"/>
        <w:rPr>
          <w:rFonts w:ascii="Garamond" w:hAnsi="Garamond"/>
          <w:sz w:val="20"/>
          <w:szCs w:val="20"/>
          <w:lang w:val="en-GB"/>
        </w:rPr>
      </w:pPr>
      <w:r w:rsidRPr="005D7232">
        <w:rPr>
          <w:rFonts w:ascii="Garamond" w:hAnsi="Garamond"/>
          <w:sz w:val="20"/>
          <w:szCs w:val="20"/>
          <w:lang w:val="en-GB"/>
        </w:rPr>
        <w:t xml:space="preserve">Source: Own elaboration based on household surveys. </w:t>
      </w:r>
    </w:p>
    <w:p w14:paraId="7645B797" w14:textId="77777777" w:rsidR="007B21E9" w:rsidRDefault="007B21E9">
      <w:pPr>
        <w:rPr>
          <w:rFonts w:ascii="Garamond" w:eastAsia="Arial Unicode MS" w:hAnsi="Garamond" w:cs="Arial Unicode MS"/>
          <w:color w:val="000000"/>
          <w:u w:color="000000"/>
          <w:bdr w:val="nil"/>
          <w:lang w:val="en-GB" w:eastAsia="es-ES"/>
          <w14:textOutline w14:w="12700" w14:cap="flat" w14:cmpd="sng" w14:algn="ctr">
            <w14:noFill/>
            <w14:prstDash w14:val="solid"/>
            <w14:miter w14:lim="400000"/>
          </w14:textOutline>
        </w:rPr>
      </w:pPr>
      <w:r>
        <w:rPr>
          <w:rFonts w:ascii="Garamond" w:hAnsi="Garamond"/>
          <w:lang w:val="en-GB"/>
        </w:rPr>
        <w:br w:type="page"/>
      </w:r>
    </w:p>
    <w:p w14:paraId="58EA4EC4" w14:textId="77777777" w:rsidR="007B21E9" w:rsidRPr="005D7232" w:rsidRDefault="007B21E9" w:rsidP="007B21E9">
      <w:pPr>
        <w:keepNext/>
        <w:keepLines/>
        <w:spacing w:after="0" w:line="480" w:lineRule="auto"/>
        <w:jc w:val="both"/>
        <w:rPr>
          <w:rFonts w:ascii="Garamond" w:hAnsi="Garamond"/>
          <w:lang w:val="en-GB"/>
        </w:rPr>
      </w:pPr>
      <w:r w:rsidRPr="005D7232">
        <w:rPr>
          <w:rFonts w:ascii="Garamond" w:hAnsi="Garamond"/>
          <w:lang w:val="en-GB"/>
        </w:rPr>
        <w:lastRenderedPageBreak/>
        <w:t>Table 7. Gini decomposition by income sources. Whole period</w:t>
      </w:r>
    </w:p>
    <w:p w14:paraId="2FDC93D7" w14:textId="77777777" w:rsidR="007B21E9" w:rsidRPr="005D7232" w:rsidRDefault="007B21E9" w:rsidP="007B21E9">
      <w:pPr>
        <w:autoSpaceDE w:val="0"/>
        <w:autoSpaceDN w:val="0"/>
        <w:adjustRightInd w:val="0"/>
        <w:spacing w:after="0" w:line="480" w:lineRule="auto"/>
        <w:jc w:val="both"/>
        <w:rPr>
          <w:rFonts w:ascii="Garamond" w:eastAsia="Times New Roman" w:hAnsi="Garamond" w:cs="Times New Roman"/>
          <w:b/>
          <w:bCs/>
          <w:color w:val="000000"/>
          <w:u w:color="000000"/>
          <w:bdr w:val="nil"/>
          <w:lang w:val="en-GB" w:eastAsia="es-ES"/>
        </w:rPr>
      </w:pPr>
      <w:r w:rsidRPr="004D3513">
        <w:rPr>
          <w:noProof/>
        </w:rPr>
        <w:drawing>
          <wp:inline distT="0" distB="0" distL="0" distR="0" wp14:anchorId="416B7483" wp14:editId="5261ABCB">
            <wp:extent cx="5132705" cy="1531620"/>
            <wp:effectExtent l="0" t="0" r="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2705" cy="1531620"/>
                    </a:xfrm>
                    <a:prstGeom prst="rect">
                      <a:avLst/>
                    </a:prstGeom>
                    <a:noFill/>
                    <a:ln>
                      <a:noFill/>
                    </a:ln>
                  </pic:spPr>
                </pic:pic>
              </a:graphicData>
            </a:graphic>
          </wp:inline>
        </w:drawing>
      </w:r>
    </w:p>
    <w:p w14:paraId="16F2856D" w14:textId="54264C96" w:rsidR="007B21E9" w:rsidRDefault="007B21E9" w:rsidP="00826F65">
      <w:pPr>
        <w:pStyle w:val="BodyAA"/>
        <w:spacing w:after="0" w:line="480" w:lineRule="auto"/>
        <w:jc w:val="both"/>
        <w:rPr>
          <w:rFonts w:ascii="Garamond" w:hAnsi="Garamond"/>
          <w:lang w:val="en-GB"/>
          <w14:textOutline w14:w="12700" w14:cap="flat" w14:cmpd="sng" w14:algn="ctr">
            <w14:noFill/>
            <w14:prstDash w14:val="solid"/>
            <w14:miter w14:lim="400000"/>
          </w14:textOutline>
        </w:rPr>
      </w:pPr>
      <w:r w:rsidRPr="005D7232">
        <w:rPr>
          <w:rFonts w:ascii="Garamond" w:hAnsi="Garamond"/>
          <w:sz w:val="20"/>
          <w:szCs w:val="20"/>
          <w:lang w:val="en-GB"/>
        </w:rPr>
        <w:t xml:space="preserve">Source: Own elaboration based on household surveys. </w:t>
      </w:r>
    </w:p>
    <w:sectPr w:rsidR="007B21E9" w:rsidSect="001816A3">
      <w:footerReference w:type="default" r:id="rId15"/>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DF225" w14:textId="77777777" w:rsidR="0043511A" w:rsidRDefault="0043511A" w:rsidP="00C228CB">
      <w:pPr>
        <w:spacing w:after="0" w:line="240" w:lineRule="auto"/>
      </w:pPr>
      <w:r>
        <w:separator/>
      </w:r>
    </w:p>
  </w:endnote>
  <w:endnote w:type="continuationSeparator" w:id="0">
    <w:p w14:paraId="6356A8E5" w14:textId="77777777" w:rsidR="0043511A" w:rsidRDefault="0043511A" w:rsidP="00C2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0194343"/>
      <w:docPartObj>
        <w:docPartGallery w:val="Page Numbers (Bottom of Page)"/>
        <w:docPartUnique/>
      </w:docPartObj>
    </w:sdtPr>
    <w:sdtEndPr/>
    <w:sdtContent>
      <w:p w14:paraId="476B2BAC" w14:textId="7CE46C61" w:rsidR="00A514A6" w:rsidRDefault="00A514A6">
        <w:pPr>
          <w:pStyle w:val="Footer"/>
          <w:jc w:val="center"/>
        </w:pPr>
        <w:r>
          <w:fldChar w:fldCharType="begin"/>
        </w:r>
        <w:r>
          <w:instrText>PAGE   \* MERGEFORMAT</w:instrText>
        </w:r>
        <w:r>
          <w:fldChar w:fldCharType="separate"/>
        </w:r>
        <w:r>
          <w:t>2</w:t>
        </w:r>
        <w:r>
          <w:fldChar w:fldCharType="end"/>
        </w:r>
      </w:p>
    </w:sdtContent>
  </w:sdt>
  <w:p w14:paraId="0B1002D5" w14:textId="77777777" w:rsidR="00A514A6" w:rsidRDefault="00A51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FA4F5" w14:textId="77777777" w:rsidR="0043511A" w:rsidRDefault="0043511A" w:rsidP="00C228CB">
      <w:pPr>
        <w:spacing w:after="0" w:line="240" w:lineRule="auto"/>
      </w:pPr>
      <w:r>
        <w:separator/>
      </w:r>
    </w:p>
  </w:footnote>
  <w:footnote w:type="continuationSeparator" w:id="0">
    <w:p w14:paraId="202A03D4" w14:textId="77777777" w:rsidR="0043511A" w:rsidRDefault="0043511A" w:rsidP="00C22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2FB8"/>
    <w:multiLevelType w:val="hybridMultilevel"/>
    <w:tmpl w:val="9306D4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F2993"/>
    <w:multiLevelType w:val="hybridMultilevel"/>
    <w:tmpl w:val="26CEFB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B57DD"/>
    <w:multiLevelType w:val="hybridMultilevel"/>
    <w:tmpl w:val="597E98D6"/>
    <w:lvl w:ilvl="0" w:tplc="A7226A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DD7210"/>
    <w:multiLevelType w:val="hybridMultilevel"/>
    <w:tmpl w:val="C12C7012"/>
    <w:lvl w:ilvl="0" w:tplc="A7226A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3C0201"/>
    <w:multiLevelType w:val="hybridMultilevel"/>
    <w:tmpl w:val="597E98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A914A4"/>
    <w:multiLevelType w:val="hybridMultilevel"/>
    <w:tmpl w:val="26CEFB24"/>
    <w:lvl w:ilvl="0" w:tplc="A7226A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DB67DB"/>
    <w:multiLevelType w:val="hybridMultilevel"/>
    <w:tmpl w:val="4036AFE0"/>
    <w:lvl w:ilvl="0" w:tplc="A7226A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FDD2332"/>
    <w:multiLevelType w:val="hybridMultilevel"/>
    <w:tmpl w:val="9306D484"/>
    <w:lvl w:ilvl="0" w:tplc="E1E25B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B24DB2"/>
    <w:multiLevelType w:val="hybridMultilevel"/>
    <w:tmpl w:val="597E98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9566B6"/>
    <w:multiLevelType w:val="hybridMultilevel"/>
    <w:tmpl w:val="597E98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F2254B"/>
    <w:multiLevelType w:val="hybridMultilevel"/>
    <w:tmpl w:val="45E01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7"/>
  </w:num>
  <w:num w:numId="3">
    <w:abstractNumId w:val="2"/>
  </w:num>
  <w:num w:numId="4">
    <w:abstractNumId w:val="0"/>
  </w:num>
  <w:num w:numId="5">
    <w:abstractNumId w:val="9"/>
  </w:num>
  <w:num w:numId="6">
    <w:abstractNumId w:val="3"/>
  </w:num>
  <w:num w:numId="7">
    <w:abstractNumId w:val="8"/>
  </w:num>
  <w:num w:numId="8">
    <w:abstractNumId w:val="4"/>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FC"/>
    <w:rsid w:val="00002675"/>
    <w:rsid w:val="00002744"/>
    <w:rsid w:val="000028DF"/>
    <w:rsid w:val="00004212"/>
    <w:rsid w:val="000045ED"/>
    <w:rsid w:val="00004D6A"/>
    <w:rsid w:val="000066BE"/>
    <w:rsid w:val="000075D9"/>
    <w:rsid w:val="00010108"/>
    <w:rsid w:val="00010840"/>
    <w:rsid w:val="00011F84"/>
    <w:rsid w:val="00012273"/>
    <w:rsid w:val="00012F2B"/>
    <w:rsid w:val="00017B03"/>
    <w:rsid w:val="00025090"/>
    <w:rsid w:val="000255BD"/>
    <w:rsid w:val="000343E2"/>
    <w:rsid w:val="0003723E"/>
    <w:rsid w:val="00037416"/>
    <w:rsid w:val="00040C59"/>
    <w:rsid w:val="00042975"/>
    <w:rsid w:val="00042E2D"/>
    <w:rsid w:val="000434B9"/>
    <w:rsid w:val="00043BF4"/>
    <w:rsid w:val="00045034"/>
    <w:rsid w:val="000464A5"/>
    <w:rsid w:val="0005327A"/>
    <w:rsid w:val="00053C07"/>
    <w:rsid w:val="00054351"/>
    <w:rsid w:val="0005653C"/>
    <w:rsid w:val="00056723"/>
    <w:rsid w:val="00060AC2"/>
    <w:rsid w:val="00060D71"/>
    <w:rsid w:val="00060F7C"/>
    <w:rsid w:val="00061ABC"/>
    <w:rsid w:val="00064C38"/>
    <w:rsid w:val="00077289"/>
    <w:rsid w:val="000829BA"/>
    <w:rsid w:val="00082D76"/>
    <w:rsid w:val="00084F39"/>
    <w:rsid w:val="00086B8A"/>
    <w:rsid w:val="00086BAE"/>
    <w:rsid w:val="000874F1"/>
    <w:rsid w:val="00092778"/>
    <w:rsid w:val="000936E6"/>
    <w:rsid w:val="0009448F"/>
    <w:rsid w:val="0009709F"/>
    <w:rsid w:val="00097128"/>
    <w:rsid w:val="000A0D33"/>
    <w:rsid w:val="000A0DDD"/>
    <w:rsid w:val="000A4DC2"/>
    <w:rsid w:val="000A531A"/>
    <w:rsid w:val="000A5A0A"/>
    <w:rsid w:val="000B0B0E"/>
    <w:rsid w:val="000B1E22"/>
    <w:rsid w:val="000B2835"/>
    <w:rsid w:val="000B455C"/>
    <w:rsid w:val="000B47FA"/>
    <w:rsid w:val="000B60B2"/>
    <w:rsid w:val="000C01D1"/>
    <w:rsid w:val="000C0E47"/>
    <w:rsid w:val="000C1A2B"/>
    <w:rsid w:val="000C2F0A"/>
    <w:rsid w:val="000C37E4"/>
    <w:rsid w:val="000C4AB3"/>
    <w:rsid w:val="000C4C1B"/>
    <w:rsid w:val="000C536D"/>
    <w:rsid w:val="000C6611"/>
    <w:rsid w:val="000C6DC4"/>
    <w:rsid w:val="000C709B"/>
    <w:rsid w:val="000C7502"/>
    <w:rsid w:val="000D16A0"/>
    <w:rsid w:val="000D2DD9"/>
    <w:rsid w:val="000D5053"/>
    <w:rsid w:val="000D50BB"/>
    <w:rsid w:val="000D6438"/>
    <w:rsid w:val="000D6887"/>
    <w:rsid w:val="000D6C74"/>
    <w:rsid w:val="000E372E"/>
    <w:rsid w:val="000F057A"/>
    <w:rsid w:val="000F4535"/>
    <w:rsid w:val="000F5D64"/>
    <w:rsid w:val="00101525"/>
    <w:rsid w:val="00102D9F"/>
    <w:rsid w:val="00110BFB"/>
    <w:rsid w:val="00110F0F"/>
    <w:rsid w:val="00111430"/>
    <w:rsid w:val="00111C1B"/>
    <w:rsid w:val="00112A41"/>
    <w:rsid w:val="00112FD2"/>
    <w:rsid w:val="00113738"/>
    <w:rsid w:val="00115BEC"/>
    <w:rsid w:val="0011624E"/>
    <w:rsid w:val="00117EC3"/>
    <w:rsid w:val="00120A7E"/>
    <w:rsid w:val="00121F76"/>
    <w:rsid w:val="00122AA7"/>
    <w:rsid w:val="001237E7"/>
    <w:rsid w:val="00125F26"/>
    <w:rsid w:val="00127A1A"/>
    <w:rsid w:val="00127DD1"/>
    <w:rsid w:val="001301A4"/>
    <w:rsid w:val="00131084"/>
    <w:rsid w:val="001325B7"/>
    <w:rsid w:val="00133F30"/>
    <w:rsid w:val="001356B3"/>
    <w:rsid w:val="001412CF"/>
    <w:rsid w:val="00141AEC"/>
    <w:rsid w:val="00143504"/>
    <w:rsid w:val="001442A5"/>
    <w:rsid w:val="00144B79"/>
    <w:rsid w:val="001466F6"/>
    <w:rsid w:val="00147716"/>
    <w:rsid w:val="001501DB"/>
    <w:rsid w:val="00150D61"/>
    <w:rsid w:val="00151305"/>
    <w:rsid w:val="00153B3F"/>
    <w:rsid w:val="00153ED5"/>
    <w:rsid w:val="0015401C"/>
    <w:rsid w:val="00154CF6"/>
    <w:rsid w:val="00156D11"/>
    <w:rsid w:val="001631CF"/>
    <w:rsid w:val="0016609E"/>
    <w:rsid w:val="00166647"/>
    <w:rsid w:val="001676B2"/>
    <w:rsid w:val="0017034B"/>
    <w:rsid w:val="001705FC"/>
    <w:rsid w:val="00172034"/>
    <w:rsid w:val="0017530A"/>
    <w:rsid w:val="00175BC1"/>
    <w:rsid w:val="00175EDA"/>
    <w:rsid w:val="001766BF"/>
    <w:rsid w:val="00176DBA"/>
    <w:rsid w:val="00180613"/>
    <w:rsid w:val="001813A1"/>
    <w:rsid w:val="001816A3"/>
    <w:rsid w:val="00181A68"/>
    <w:rsid w:val="00181E31"/>
    <w:rsid w:val="001822D4"/>
    <w:rsid w:val="00183C67"/>
    <w:rsid w:val="00185BF0"/>
    <w:rsid w:val="0019047A"/>
    <w:rsid w:val="00191A85"/>
    <w:rsid w:val="00192217"/>
    <w:rsid w:val="00192326"/>
    <w:rsid w:val="00192562"/>
    <w:rsid w:val="00192851"/>
    <w:rsid w:val="00193792"/>
    <w:rsid w:val="00193BC0"/>
    <w:rsid w:val="00194CDA"/>
    <w:rsid w:val="001A04DB"/>
    <w:rsid w:val="001A0952"/>
    <w:rsid w:val="001A1500"/>
    <w:rsid w:val="001A1566"/>
    <w:rsid w:val="001A191E"/>
    <w:rsid w:val="001A1F82"/>
    <w:rsid w:val="001A4FF9"/>
    <w:rsid w:val="001A5C3B"/>
    <w:rsid w:val="001B2C1D"/>
    <w:rsid w:val="001B33AA"/>
    <w:rsid w:val="001B4DD7"/>
    <w:rsid w:val="001B580F"/>
    <w:rsid w:val="001B7288"/>
    <w:rsid w:val="001C29FF"/>
    <w:rsid w:val="001C7FD6"/>
    <w:rsid w:val="001D5275"/>
    <w:rsid w:val="001D5645"/>
    <w:rsid w:val="001D6914"/>
    <w:rsid w:val="001E4236"/>
    <w:rsid w:val="001E4BA2"/>
    <w:rsid w:val="001E6ACD"/>
    <w:rsid w:val="001E6E6C"/>
    <w:rsid w:val="001F5F72"/>
    <w:rsid w:val="00200178"/>
    <w:rsid w:val="00200607"/>
    <w:rsid w:val="0020181F"/>
    <w:rsid w:val="00202091"/>
    <w:rsid w:val="00202ACA"/>
    <w:rsid w:val="00206F31"/>
    <w:rsid w:val="0021036A"/>
    <w:rsid w:val="00210753"/>
    <w:rsid w:val="00210ADB"/>
    <w:rsid w:val="002114ED"/>
    <w:rsid w:val="00214278"/>
    <w:rsid w:val="00214B13"/>
    <w:rsid w:val="00215D12"/>
    <w:rsid w:val="00217053"/>
    <w:rsid w:val="002172A6"/>
    <w:rsid w:val="0022193E"/>
    <w:rsid w:val="00222058"/>
    <w:rsid w:val="00223700"/>
    <w:rsid w:val="0022511D"/>
    <w:rsid w:val="00225714"/>
    <w:rsid w:val="00226531"/>
    <w:rsid w:val="002322F1"/>
    <w:rsid w:val="00233A43"/>
    <w:rsid w:val="0023431E"/>
    <w:rsid w:val="00234E94"/>
    <w:rsid w:val="002377B5"/>
    <w:rsid w:val="0024082A"/>
    <w:rsid w:val="00240FE9"/>
    <w:rsid w:val="002412BB"/>
    <w:rsid w:val="0024540D"/>
    <w:rsid w:val="00247444"/>
    <w:rsid w:val="00250A81"/>
    <w:rsid w:val="002543AB"/>
    <w:rsid w:val="002549DD"/>
    <w:rsid w:val="00260228"/>
    <w:rsid w:val="002615F0"/>
    <w:rsid w:val="002624BF"/>
    <w:rsid w:val="00264D34"/>
    <w:rsid w:val="002651A4"/>
    <w:rsid w:val="00265D5A"/>
    <w:rsid w:val="002668E8"/>
    <w:rsid w:val="00267B36"/>
    <w:rsid w:val="00281069"/>
    <w:rsid w:val="00281C4C"/>
    <w:rsid w:val="00286CBC"/>
    <w:rsid w:val="00287F98"/>
    <w:rsid w:val="002A72A3"/>
    <w:rsid w:val="002A7D4A"/>
    <w:rsid w:val="002B1981"/>
    <w:rsid w:val="002B4F12"/>
    <w:rsid w:val="002B58DD"/>
    <w:rsid w:val="002C03B7"/>
    <w:rsid w:val="002C0999"/>
    <w:rsid w:val="002C0EB9"/>
    <w:rsid w:val="002C1199"/>
    <w:rsid w:val="002C2CA1"/>
    <w:rsid w:val="002C3214"/>
    <w:rsid w:val="002C3269"/>
    <w:rsid w:val="002C5264"/>
    <w:rsid w:val="002C73CF"/>
    <w:rsid w:val="002D1AE2"/>
    <w:rsid w:val="002D7488"/>
    <w:rsid w:val="002E0AF9"/>
    <w:rsid w:val="002E1648"/>
    <w:rsid w:val="002E2A02"/>
    <w:rsid w:val="002E4387"/>
    <w:rsid w:val="002E43B7"/>
    <w:rsid w:val="002E6B6E"/>
    <w:rsid w:val="002E6CEE"/>
    <w:rsid w:val="002F06D3"/>
    <w:rsid w:val="002F1F58"/>
    <w:rsid w:val="002F20B6"/>
    <w:rsid w:val="002F608A"/>
    <w:rsid w:val="002F63E3"/>
    <w:rsid w:val="002F65AB"/>
    <w:rsid w:val="003024FE"/>
    <w:rsid w:val="00303987"/>
    <w:rsid w:val="00306D25"/>
    <w:rsid w:val="00307D9A"/>
    <w:rsid w:val="0031071D"/>
    <w:rsid w:val="00310B5D"/>
    <w:rsid w:val="00310D6A"/>
    <w:rsid w:val="003116DC"/>
    <w:rsid w:val="003121A6"/>
    <w:rsid w:val="00315C3E"/>
    <w:rsid w:val="0032018C"/>
    <w:rsid w:val="0032323E"/>
    <w:rsid w:val="00323C8E"/>
    <w:rsid w:val="00324A90"/>
    <w:rsid w:val="00326C6B"/>
    <w:rsid w:val="00331100"/>
    <w:rsid w:val="003336DC"/>
    <w:rsid w:val="00335B88"/>
    <w:rsid w:val="00337647"/>
    <w:rsid w:val="0034298A"/>
    <w:rsid w:val="00345063"/>
    <w:rsid w:val="0034548D"/>
    <w:rsid w:val="0034601F"/>
    <w:rsid w:val="00346CB9"/>
    <w:rsid w:val="003478AA"/>
    <w:rsid w:val="00347BF9"/>
    <w:rsid w:val="003549D9"/>
    <w:rsid w:val="00357531"/>
    <w:rsid w:val="00360385"/>
    <w:rsid w:val="00361476"/>
    <w:rsid w:val="003614FD"/>
    <w:rsid w:val="003638FC"/>
    <w:rsid w:val="00363D5D"/>
    <w:rsid w:val="00364C56"/>
    <w:rsid w:val="00366C43"/>
    <w:rsid w:val="00367D50"/>
    <w:rsid w:val="0037297E"/>
    <w:rsid w:val="00373A2D"/>
    <w:rsid w:val="0037705E"/>
    <w:rsid w:val="0037709D"/>
    <w:rsid w:val="00377F2B"/>
    <w:rsid w:val="003804E2"/>
    <w:rsid w:val="0038055E"/>
    <w:rsid w:val="003815D2"/>
    <w:rsid w:val="00383056"/>
    <w:rsid w:val="00383137"/>
    <w:rsid w:val="00386FD5"/>
    <w:rsid w:val="00387F93"/>
    <w:rsid w:val="003910C6"/>
    <w:rsid w:val="00393B5F"/>
    <w:rsid w:val="0039510E"/>
    <w:rsid w:val="003A2777"/>
    <w:rsid w:val="003A70BE"/>
    <w:rsid w:val="003A7D04"/>
    <w:rsid w:val="003A7F56"/>
    <w:rsid w:val="003B1D1E"/>
    <w:rsid w:val="003B52E9"/>
    <w:rsid w:val="003B61AE"/>
    <w:rsid w:val="003B6E71"/>
    <w:rsid w:val="003B75BC"/>
    <w:rsid w:val="003C0D06"/>
    <w:rsid w:val="003C38CD"/>
    <w:rsid w:val="003C4046"/>
    <w:rsid w:val="003C6A67"/>
    <w:rsid w:val="003D0D90"/>
    <w:rsid w:val="003D1AD2"/>
    <w:rsid w:val="003D22C6"/>
    <w:rsid w:val="003D40B0"/>
    <w:rsid w:val="003D6F96"/>
    <w:rsid w:val="003D7C46"/>
    <w:rsid w:val="003E175D"/>
    <w:rsid w:val="003E1DFB"/>
    <w:rsid w:val="003E23DA"/>
    <w:rsid w:val="003E43BE"/>
    <w:rsid w:val="003E5659"/>
    <w:rsid w:val="003F2D41"/>
    <w:rsid w:val="003F4848"/>
    <w:rsid w:val="003F59FB"/>
    <w:rsid w:val="003F5DC7"/>
    <w:rsid w:val="003F60B7"/>
    <w:rsid w:val="003F793F"/>
    <w:rsid w:val="004015FD"/>
    <w:rsid w:val="00401FFD"/>
    <w:rsid w:val="00402D66"/>
    <w:rsid w:val="0040553A"/>
    <w:rsid w:val="004064E9"/>
    <w:rsid w:val="00406712"/>
    <w:rsid w:val="004076B9"/>
    <w:rsid w:val="004132AB"/>
    <w:rsid w:val="004139BF"/>
    <w:rsid w:val="00413F93"/>
    <w:rsid w:val="00416959"/>
    <w:rsid w:val="00420E83"/>
    <w:rsid w:val="00423CC1"/>
    <w:rsid w:val="004254F7"/>
    <w:rsid w:val="00425D22"/>
    <w:rsid w:val="00430526"/>
    <w:rsid w:val="0043156A"/>
    <w:rsid w:val="004329E2"/>
    <w:rsid w:val="0043510B"/>
    <w:rsid w:val="0043511A"/>
    <w:rsid w:val="00436A37"/>
    <w:rsid w:val="00437FC1"/>
    <w:rsid w:val="00441897"/>
    <w:rsid w:val="00442B29"/>
    <w:rsid w:val="00444A96"/>
    <w:rsid w:val="004461E9"/>
    <w:rsid w:val="00455ACD"/>
    <w:rsid w:val="0045788B"/>
    <w:rsid w:val="00457EF5"/>
    <w:rsid w:val="00462CD0"/>
    <w:rsid w:val="00463336"/>
    <w:rsid w:val="0046415B"/>
    <w:rsid w:val="00467F9B"/>
    <w:rsid w:val="00471714"/>
    <w:rsid w:val="00471FFE"/>
    <w:rsid w:val="0047212B"/>
    <w:rsid w:val="00474E73"/>
    <w:rsid w:val="00477ABD"/>
    <w:rsid w:val="00484671"/>
    <w:rsid w:val="004905DA"/>
    <w:rsid w:val="00490E7A"/>
    <w:rsid w:val="00491DDD"/>
    <w:rsid w:val="0049259C"/>
    <w:rsid w:val="0049280E"/>
    <w:rsid w:val="00492F27"/>
    <w:rsid w:val="0049597F"/>
    <w:rsid w:val="00496487"/>
    <w:rsid w:val="00496F3B"/>
    <w:rsid w:val="004A0440"/>
    <w:rsid w:val="004A07D7"/>
    <w:rsid w:val="004A3CA4"/>
    <w:rsid w:val="004A4E2B"/>
    <w:rsid w:val="004A5D47"/>
    <w:rsid w:val="004A6B73"/>
    <w:rsid w:val="004A785D"/>
    <w:rsid w:val="004B021D"/>
    <w:rsid w:val="004B6B77"/>
    <w:rsid w:val="004B783B"/>
    <w:rsid w:val="004B7AE8"/>
    <w:rsid w:val="004C0571"/>
    <w:rsid w:val="004C07CE"/>
    <w:rsid w:val="004C67EF"/>
    <w:rsid w:val="004D1533"/>
    <w:rsid w:val="004D27D2"/>
    <w:rsid w:val="004D2C0A"/>
    <w:rsid w:val="004D3513"/>
    <w:rsid w:val="004E038C"/>
    <w:rsid w:val="004E129D"/>
    <w:rsid w:val="004E7D98"/>
    <w:rsid w:val="004F4963"/>
    <w:rsid w:val="004F4AD1"/>
    <w:rsid w:val="004F6EBA"/>
    <w:rsid w:val="00501639"/>
    <w:rsid w:val="00501BF7"/>
    <w:rsid w:val="00502965"/>
    <w:rsid w:val="00507DC1"/>
    <w:rsid w:val="0051060C"/>
    <w:rsid w:val="005138EB"/>
    <w:rsid w:val="00517A0C"/>
    <w:rsid w:val="00523BFB"/>
    <w:rsid w:val="0052477D"/>
    <w:rsid w:val="00527600"/>
    <w:rsid w:val="00527AF8"/>
    <w:rsid w:val="00531771"/>
    <w:rsid w:val="00532E0D"/>
    <w:rsid w:val="00533F4E"/>
    <w:rsid w:val="00537703"/>
    <w:rsid w:val="00540595"/>
    <w:rsid w:val="0054114D"/>
    <w:rsid w:val="005412CF"/>
    <w:rsid w:val="005448E1"/>
    <w:rsid w:val="00544B39"/>
    <w:rsid w:val="0054776E"/>
    <w:rsid w:val="0054782F"/>
    <w:rsid w:val="00550FD8"/>
    <w:rsid w:val="00552079"/>
    <w:rsid w:val="00552C9C"/>
    <w:rsid w:val="005547F1"/>
    <w:rsid w:val="00555F9D"/>
    <w:rsid w:val="00556CEE"/>
    <w:rsid w:val="00557376"/>
    <w:rsid w:val="00561BFC"/>
    <w:rsid w:val="00566C75"/>
    <w:rsid w:val="005678BC"/>
    <w:rsid w:val="00567B04"/>
    <w:rsid w:val="00567C48"/>
    <w:rsid w:val="00567F12"/>
    <w:rsid w:val="005727C3"/>
    <w:rsid w:val="00573FFC"/>
    <w:rsid w:val="00576665"/>
    <w:rsid w:val="00577602"/>
    <w:rsid w:val="00583617"/>
    <w:rsid w:val="00583DA4"/>
    <w:rsid w:val="0059282F"/>
    <w:rsid w:val="00597C9B"/>
    <w:rsid w:val="00597D5F"/>
    <w:rsid w:val="00597E98"/>
    <w:rsid w:val="005A2F70"/>
    <w:rsid w:val="005A30F4"/>
    <w:rsid w:val="005A449C"/>
    <w:rsid w:val="005A485A"/>
    <w:rsid w:val="005A73A2"/>
    <w:rsid w:val="005A7CE7"/>
    <w:rsid w:val="005A7D37"/>
    <w:rsid w:val="005B0FD5"/>
    <w:rsid w:val="005B39EC"/>
    <w:rsid w:val="005B40C4"/>
    <w:rsid w:val="005B6E62"/>
    <w:rsid w:val="005C4377"/>
    <w:rsid w:val="005C5D13"/>
    <w:rsid w:val="005D01CB"/>
    <w:rsid w:val="005D0321"/>
    <w:rsid w:val="005D0827"/>
    <w:rsid w:val="005D089C"/>
    <w:rsid w:val="005D1575"/>
    <w:rsid w:val="005D15B9"/>
    <w:rsid w:val="005D6584"/>
    <w:rsid w:val="005D677D"/>
    <w:rsid w:val="005D6D7B"/>
    <w:rsid w:val="005D7188"/>
    <w:rsid w:val="005D7232"/>
    <w:rsid w:val="005D76E7"/>
    <w:rsid w:val="005E23D6"/>
    <w:rsid w:val="005E37B1"/>
    <w:rsid w:val="005E41EB"/>
    <w:rsid w:val="005E6EC0"/>
    <w:rsid w:val="005E709A"/>
    <w:rsid w:val="005F4CB3"/>
    <w:rsid w:val="005F5CA7"/>
    <w:rsid w:val="005F7647"/>
    <w:rsid w:val="0060279C"/>
    <w:rsid w:val="0060478E"/>
    <w:rsid w:val="006073FC"/>
    <w:rsid w:val="006110D6"/>
    <w:rsid w:val="00611E90"/>
    <w:rsid w:val="006139AF"/>
    <w:rsid w:val="0061417F"/>
    <w:rsid w:val="00614906"/>
    <w:rsid w:val="0061577F"/>
    <w:rsid w:val="006159C8"/>
    <w:rsid w:val="006161C6"/>
    <w:rsid w:val="00620B6C"/>
    <w:rsid w:val="00621E0D"/>
    <w:rsid w:val="0062295E"/>
    <w:rsid w:val="00623F61"/>
    <w:rsid w:val="006258A0"/>
    <w:rsid w:val="00625D55"/>
    <w:rsid w:val="00626ECC"/>
    <w:rsid w:val="00627C46"/>
    <w:rsid w:val="00630CE5"/>
    <w:rsid w:val="00631CA1"/>
    <w:rsid w:val="006325E4"/>
    <w:rsid w:val="0063571F"/>
    <w:rsid w:val="00636002"/>
    <w:rsid w:val="0063668D"/>
    <w:rsid w:val="0063678B"/>
    <w:rsid w:val="00636C08"/>
    <w:rsid w:val="00637ECB"/>
    <w:rsid w:val="006402ED"/>
    <w:rsid w:val="00641F1F"/>
    <w:rsid w:val="0064356A"/>
    <w:rsid w:val="00644154"/>
    <w:rsid w:val="00644A32"/>
    <w:rsid w:val="00646BEC"/>
    <w:rsid w:val="00650DAD"/>
    <w:rsid w:val="0065748D"/>
    <w:rsid w:val="00660E6E"/>
    <w:rsid w:val="006624CF"/>
    <w:rsid w:val="00662B68"/>
    <w:rsid w:val="00663C8B"/>
    <w:rsid w:val="00664269"/>
    <w:rsid w:val="00665226"/>
    <w:rsid w:val="00671C0C"/>
    <w:rsid w:val="00672689"/>
    <w:rsid w:val="00674109"/>
    <w:rsid w:val="00674A17"/>
    <w:rsid w:val="006760F3"/>
    <w:rsid w:val="00677561"/>
    <w:rsid w:val="006804FC"/>
    <w:rsid w:val="00681126"/>
    <w:rsid w:val="00681841"/>
    <w:rsid w:val="006837F3"/>
    <w:rsid w:val="00685172"/>
    <w:rsid w:val="0068579A"/>
    <w:rsid w:val="00685849"/>
    <w:rsid w:val="00686E04"/>
    <w:rsid w:val="00690C42"/>
    <w:rsid w:val="0069182E"/>
    <w:rsid w:val="00695151"/>
    <w:rsid w:val="006963AD"/>
    <w:rsid w:val="006A0309"/>
    <w:rsid w:val="006A04E8"/>
    <w:rsid w:val="006A4849"/>
    <w:rsid w:val="006A532F"/>
    <w:rsid w:val="006A689F"/>
    <w:rsid w:val="006B1959"/>
    <w:rsid w:val="006B24FF"/>
    <w:rsid w:val="006B7EBA"/>
    <w:rsid w:val="006C0281"/>
    <w:rsid w:val="006C1EBC"/>
    <w:rsid w:val="006C2D28"/>
    <w:rsid w:val="006C37E5"/>
    <w:rsid w:val="006C5138"/>
    <w:rsid w:val="006D0F57"/>
    <w:rsid w:val="006D466D"/>
    <w:rsid w:val="006D4C8F"/>
    <w:rsid w:val="006D628D"/>
    <w:rsid w:val="006D65D7"/>
    <w:rsid w:val="006D6EC3"/>
    <w:rsid w:val="006D7C0F"/>
    <w:rsid w:val="006E2E33"/>
    <w:rsid w:val="006E2E60"/>
    <w:rsid w:val="006E5BE8"/>
    <w:rsid w:val="006E7E06"/>
    <w:rsid w:val="006F09BC"/>
    <w:rsid w:val="006F462E"/>
    <w:rsid w:val="006F5631"/>
    <w:rsid w:val="006F724A"/>
    <w:rsid w:val="00700FCF"/>
    <w:rsid w:val="007036B5"/>
    <w:rsid w:val="007041DD"/>
    <w:rsid w:val="00704314"/>
    <w:rsid w:val="00706F0C"/>
    <w:rsid w:val="0071002B"/>
    <w:rsid w:val="00711C82"/>
    <w:rsid w:val="00714CE7"/>
    <w:rsid w:val="0071605D"/>
    <w:rsid w:val="00716169"/>
    <w:rsid w:val="007162A2"/>
    <w:rsid w:val="00721661"/>
    <w:rsid w:val="007234D8"/>
    <w:rsid w:val="0072755B"/>
    <w:rsid w:val="00727613"/>
    <w:rsid w:val="0073060D"/>
    <w:rsid w:val="00730F20"/>
    <w:rsid w:val="00731FBC"/>
    <w:rsid w:val="007324DD"/>
    <w:rsid w:val="00735304"/>
    <w:rsid w:val="00737401"/>
    <w:rsid w:val="00737B57"/>
    <w:rsid w:val="00743077"/>
    <w:rsid w:val="00743D18"/>
    <w:rsid w:val="007460B4"/>
    <w:rsid w:val="007470CC"/>
    <w:rsid w:val="00747C35"/>
    <w:rsid w:val="007606FD"/>
    <w:rsid w:val="0076203C"/>
    <w:rsid w:val="0076433C"/>
    <w:rsid w:val="00773D4A"/>
    <w:rsid w:val="007740CA"/>
    <w:rsid w:val="0077446F"/>
    <w:rsid w:val="00777394"/>
    <w:rsid w:val="00782921"/>
    <w:rsid w:val="00782AB1"/>
    <w:rsid w:val="00783A40"/>
    <w:rsid w:val="00783C7C"/>
    <w:rsid w:val="0078471E"/>
    <w:rsid w:val="00791DE0"/>
    <w:rsid w:val="00793465"/>
    <w:rsid w:val="00794333"/>
    <w:rsid w:val="00794AFE"/>
    <w:rsid w:val="00797664"/>
    <w:rsid w:val="007A06B2"/>
    <w:rsid w:val="007A1115"/>
    <w:rsid w:val="007A505C"/>
    <w:rsid w:val="007A515C"/>
    <w:rsid w:val="007A519E"/>
    <w:rsid w:val="007B21E9"/>
    <w:rsid w:val="007B237F"/>
    <w:rsid w:val="007B30C1"/>
    <w:rsid w:val="007B3298"/>
    <w:rsid w:val="007B3B25"/>
    <w:rsid w:val="007B438F"/>
    <w:rsid w:val="007B4C8F"/>
    <w:rsid w:val="007C1EA7"/>
    <w:rsid w:val="007C2DB1"/>
    <w:rsid w:val="007C57BA"/>
    <w:rsid w:val="007C73D6"/>
    <w:rsid w:val="007D2321"/>
    <w:rsid w:val="007D591E"/>
    <w:rsid w:val="007D5943"/>
    <w:rsid w:val="007D6288"/>
    <w:rsid w:val="007E3ADC"/>
    <w:rsid w:val="007E4D0A"/>
    <w:rsid w:val="007F5E36"/>
    <w:rsid w:val="007F7E8E"/>
    <w:rsid w:val="008031BF"/>
    <w:rsid w:val="00803BBB"/>
    <w:rsid w:val="008053F2"/>
    <w:rsid w:val="0080676F"/>
    <w:rsid w:val="00806C28"/>
    <w:rsid w:val="008070F9"/>
    <w:rsid w:val="008072EB"/>
    <w:rsid w:val="00807EA8"/>
    <w:rsid w:val="008101A4"/>
    <w:rsid w:val="00810318"/>
    <w:rsid w:val="0081327A"/>
    <w:rsid w:val="0081352E"/>
    <w:rsid w:val="008146C1"/>
    <w:rsid w:val="00814D6E"/>
    <w:rsid w:val="00814E78"/>
    <w:rsid w:val="00815698"/>
    <w:rsid w:val="0081707F"/>
    <w:rsid w:val="00820FB0"/>
    <w:rsid w:val="00823B87"/>
    <w:rsid w:val="0082471C"/>
    <w:rsid w:val="00826F65"/>
    <w:rsid w:val="0083282B"/>
    <w:rsid w:val="00832C35"/>
    <w:rsid w:val="0083306C"/>
    <w:rsid w:val="008332FB"/>
    <w:rsid w:val="00834682"/>
    <w:rsid w:val="008351FC"/>
    <w:rsid w:val="00835A78"/>
    <w:rsid w:val="00841587"/>
    <w:rsid w:val="00843446"/>
    <w:rsid w:val="0084453E"/>
    <w:rsid w:val="00847C81"/>
    <w:rsid w:val="0085002C"/>
    <w:rsid w:val="008505D6"/>
    <w:rsid w:val="008507D5"/>
    <w:rsid w:val="008514F4"/>
    <w:rsid w:val="00866946"/>
    <w:rsid w:val="00867866"/>
    <w:rsid w:val="00870EFE"/>
    <w:rsid w:val="00871315"/>
    <w:rsid w:val="00873F30"/>
    <w:rsid w:val="00873FDA"/>
    <w:rsid w:val="0087672A"/>
    <w:rsid w:val="00876E0B"/>
    <w:rsid w:val="00880485"/>
    <w:rsid w:val="00880E9D"/>
    <w:rsid w:val="00881F4A"/>
    <w:rsid w:val="00890E48"/>
    <w:rsid w:val="0089246F"/>
    <w:rsid w:val="00895702"/>
    <w:rsid w:val="008A37F5"/>
    <w:rsid w:val="008A3CB4"/>
    <w:rsid w:val="008A4E4A"/>
    <w:rsid w:val="008A5999"/>
    <w:rsid w:val="008B0B57"/>
    <w:rsid w:val="008B3525"/>
    <w:rsid w:val="008B3953"/>
    <w:rsid w:val="008B5590"/>
    <w:rsid w:val="008C5714"/>
    <w:rsid w:val="008C5C5F"/>
    <w:rsid w:val="008D4AC5"/>
    <w:rsid w:val="008D6B1C"/>
    <w:rsid w:val="008D7887"/>
    <w:rsid w:val="008E09F1"/>
    <w:rsid w:val="008E1453"/>
    <w:rsid w:val="008E25F7"/>
    <w:rsid w:val="008E357D"/>
    <w:rsid w:val="008E54DE"/>
    <w:rsid w:val="008E55AE"/>
    <w:rsid w:val="008E65E9"/>
    <w:rsid w:val="008E6C66"/>
    <w:rsid w:val="008F0CEF"/>
    <w:rsid w:val="00900B27"/>
    <w:rsid w:val="009013EF"/>
    <w:rsid w:val="009025E1"/>
    <w:rsid w:val="0090596B"/>
    <w:rsid w:val="0090656D"/>
    <w:rsid w:val="00906B41"/>
    <w:rsid w:val="00906F33"/>
    <w:rsid w:val="0091227D"/>
    <w:rsid w:val="00913B8C"/>
    <w:rsid w:val="00915397"/>
    <w:rsid w:val="00915789"/>
    <w:rsid w:val="009209B4"/>
    <w:rsid w:val="00920F85"/>
    <w:rsid w:val="00921A0E"/>
    <w:rsid w:val="009233F8"/>
    <w:rsid w:val="00926711"/>
    <w:rsid w:val="00927543"/>
    <w:rsid w:val="00927779"/>
    <w:rsid w:val="009279E2"/>
    <w:rsid w:val="00927FED"/>
    <w:rsid w:val="00932519"/>
    <w:rsid w:val="00932E30"/>
    <w:rsid w:val="00934F68"/>
    <w:rsid w:val="00935A4D"/>
    <w:rsid w:val="00940B40"/>
    <w:rsid w:val="009440D8"/>
    <w:rsid w:val="00945229"/>
    <w:rsid w:val="009460A5"/>
    <w:rsid w:val="009503A3"/>
    <w:rsid w:val="00954241"/>
    <w:rsid w:val="0095538D"/>
    <w:rsid w:val="0095570B"/>
    <w:rsid w:val="00956C5D"/>
    <w:rsid w:val="0096104F"/>
    <w:rsid w:val="009620DA"/>
    <w:rsid w:val="00962C73"/>
    <w:rsid w:val="0096665C"/>
    <w:rsid w:val="00970DC8"/>
    <w:rsid w:val="00971E04"/>
    <w:rsid w:val="00972FF6"/>
    <w:rsid w:val="00973B89"/>
    <w:rsid w:val="00975851"/>
    <w:rsid w:val="00980904"/>
    <w:rsid w:val="00980F4A"/>
    <w:rsid w:val="009822F6"/>
    <w:rsid w:val="009823DF"/>
    <w:rsid w:val="00982447"/>
    <w:rsid w:val="00982C91"/>
    <w:rsid w:val="00983CEB"/>
    <w:rsid w:val="0098446C"/>
    <w:rsid w:val="0098509D"/>
    <w:rsid w:val="009859B1"/>
    <w:rsid w:val="009875A2"/>
    <w:rsid w:val="00987EB8"/>
    <w:rsid w:val="00990521"/>
    <w:rsid w:val="00992369"/>
    <w:rsid w:val="009936F4"/>
    <w:rsid w:val="00993721"/>
    <w:rsid w:val="00996280"/>
    <w:rsid w:val="00997710"/>
    <w:rsid w:val="009A03FC"/>
    <w:rsid w:val="009A08C3"/>
    <w:rsid w:val="009A1A8C"/>
    <w:rsid w:val="009A3736"/>
    <w:rsid w:val="009A572B"/>
    <w:rsid w:val="009A7172"/>
    <w:rsid w:val="009B1846"/>
    <w:rsid w:val="009B2901"/>
    <w:rsid w:val="009B2F76"/>
    <w:rsid w:val="009B4866"/>
    <w:rsid w:val="009B72EB"/>
    <w:rsid w:val="009C08AE"/>
    <w:rsid w:val="009C3139"/>
    <w:rsid w:val="009C3D82"/>
    <w:rsid w:val="009C44C2"/>
    <w:rsid w:val="009C5A23"/>
    <w:rsid w:val="009C74B5"/>
    <w:rsid w:val="009D0195"/>
    <w:rsid w:val="009D1887"/>
    <w:rsid w:val="009D4875"/>
    <w:rsid w:val="009E2B5D"/>
    <w:rsid w:val="009E3E21"/>
    <w:rsid w:val="009E4151"/>
    <w:rsid w:val="009E5027"/>
    <w:rsid w:val="009E54F8"/>
    <w:rsid w:val="009E57A6"/>
    <w:rsid w:val="009E611F"/>
    <w:rsid w:val="009E731F"/>
    <w:rsid w:val="009E7835"/>
    <w:rsid w:val="009F4EF1"/>
    <w:rsid w:val="009F5FA9"/>
    <w:rsid w:val="00A00D0C"/>
    <w:rsid w:val="00A02605"/>
    <w:rsid w:val="00A02EFD"/>
    <w:rsid w:val="00A031DA"/>
    <w:rsid w:val="00A07AB8"/>
    <w:rsid w:val="00A10EE1"/>
    <w:rsid w:val="00A11A8B"/>
    <w:rsid w:val="00A11D1A"/>
    <w:rsid w:val="00A12449"/>
    <w:rsid w:val="00A1449E"/>
    <w:rsid w:val="00A147CD"/>
    <w:rsid w:val="00A156C7"/>
    <w:rsid w:val="00A159EB"/>
    <w:rsid w:val="00A21847"/>
    <w:rsid w:val="00A24F1E"/>
    <w:rsid w:val="00A26D21"/>
    <w:rsid w:val="00A27C43"/>
    <w:rsid w:val="00A3064E"/>
    <w:rsid w:val="00A32490"/>
    <w:rsid w:val="00A345E7"/>
    <w:rsid w:val="00A34C2B"/>
    <w:rsid w:val="00A40D28"/>
    <w:rsid w:val="00A4154D"/>
    <w:rsid w:val="00A45D76"/>
    <w:rsid w:val="00A46DC9"/>
    <w:rsid w:val="00A47CC8"/>
    <w:rsid w:val="00A47D5B"/>
    <w:rsid w:val="00A512B1"/>
    <w:rsid w:val="00A514A6"/>
    <w:rsid w:val="00A55B63"/>
    <w:rsid w:val="00A56279"/>
    <w:rsid w:val="00A56C7F"/>
    <w:rsid w:val="00A618E1"/>
    <w:rsid w:val="00A635B6"/>
    <w:rsid w:val="00A64AF3"/>
    <w:rsid w:val="00A70CB6"/>
    <w:rsid w:val="00A737FF"/>
    <w:rsid w:val="00A74AE5"/>
    <w:rsid w:val="00A76B84"/>
    <w:rsid w:val="00A77BFE"/>
    <w:rsid w:val="00A84FD2"/>
    <w:rsid w:val="00A85933"/>
    <w:rsid w:val="00A961C3"/>
    <w:rsid w:val="00A97EE5"/>
    <w:rsid w:val="00AA4066"/>
    <w:rsid w:val="00AA455F"/>
    <w:rsid w:val="00AA47B6"/>
    <w:rsid w:val="00AA792B"/>
    <w:rsid w:val="00AB0945"/>
    <w:rsid w:val="00AB23F2"/>
    <w:rsid w:val="00AB37C2"/>
    <w:rsid w:val="00AB3C4D"/>
    <w:rsid w:val="00AB474A"/>
    <w:rsid w:val="00AB5201"/>
    <w:rsid w:val="00AB6B33"/>
    <w:rsid w:val="00AB6BFE"/>
    <w:rsid w:val="00AC578F"/>
    <w:rsid w:val="00AC5CB2"/>
    <w:rsid w:val="00AD2059"/>
    <w:rsid w:val="00AE2847"/>
    <w:rsid w:val="00AE40F1"/>
    <w:rsid w:val="00AE5AC8"/>
    <w:rsid w:val="00AE65F2"/>
    <w:rsid w:val="00AE783B"/>
    <w:rsid w:val="00AF063A"/>
    <w:rsid w:val="00AF06F4"/>
    <w:rsid w:val="00AF3E9E"/>
    <w:rsid w:val="00AF463A"/>
    <w:rsid w:val="00B003C5"/>
    <w:rsid w:val="00B03800"/>
    <w:rsid w:val="00B0515D"/>
    <w:rsid w:val="00B07E63"/>
    <w:rsid w:val="00B10E24"/>
    <w:rsid w:val="00B12CE0"/>
    <w:rsid w:val="00B1457D"/>
    <w:rsid w:val="00B179C4"/>
    <w:rsid w:val="00B21211"/>
    <w:rsid w:val="00B21D4D"/>
    <w:rsid w:val="00B23CB8"/>
    <w:rsid w:val="00B27033"/>
    <w:rsid w:val="00B34353"/>
    <w:rsid w:val="00B35E85"/>
    <w:rsid w:val="00B40C3B"/>
    <w:rsid w:val="00B40CC7"/>
    <w:rsid w:val="00B43296"/>
    <w:rsid w:val="00B44155"/>
    <w:rsid w:val="00B4628D"/>
    <w:rsid w:val="00B479BE"/>
    <w:rsid w:val="00B519D0"/>
    <w:rsid w:val="00B52532"/>
    <w:rsid w:val="00B52929"/>
    <w:rsid w:val="00B52945"/>
    <w:rsid w:val="00B53341"/>
    <w:rsid w:val="00B565B1"/>
    <w:rsid w:val="00B602AF"/>
    <w:rsid w:val="00B64D31"/>
    <w:rsid w:val="00B71CA4"/>
    <w:rsid w:val="00B776C4"/>
    <w:rsid w:val="00B77818"/>
    <w:rsid w:val="00B80019"/>
    <w:rsid w:val="00B80DD2"/>
    <w:rsid w:val="00B81D93"/>
    <w:rsid w:val="00B83AF0"/>
    <w:rsid w:val="00B842BA"/>
    <w:rsid w:val="00B86E7E"/>
    <w:rsid w:val="00B920FB"/>
    <w:rsid w:val="00B92DC6"/>
    <w:rsid w:val="00B955C3"/>
    <w:rsid w:val="00B97CD2"/>
    <w:rsid w:val="00BA0F28"/>
    <w:rsid w:val="00BA3777"/>
    <w:rsid w:val="00BA3B4F"/>
    <w:rsid w:val="00BA7CBB"/>
    <w:rsid w:val="00BB0A0D"/>
    <w:rsid w:val="00BB0A5E"/>
    <w:rsid w:val="00BC2AA8"/>
    <w:rsid w:val="00BC6497"/>
    <w:rsid w:val="00BC66DC"/>
    <w:rsid w:val="00BD00CE"/>
    <w:rsid w:val="00BD5862"/>
    <w:rsid w:val="00BD6B05"/>
    <w:rsid w:val="00BD74D9"/>
    <w:rsid w:val="00BE0B7D"/>
    <w:rsid w:val="00BE4E7D"/>
    <w:rsid w:val="00BE644A"/>
    <w:rsid w:val="00BE7B6C"/>
    <w:rsid w:val="00BF1961"/>
    <w:rsid w:val="00BF328B"/>
    <w:rsid w:val="00BF3DEB"/>
    <w:rsid w:val="00BF5133"/>
    <w:rsid w:val="00BF6F1C"/>
    <w:rsid w:val="00BF7714"/>
    <w:rsid w:val="00C013F0"/>
    <w:rsid w:val="00C02617"/>
    <w:rsid w:val="00C03895"/>
    <w:rsid w:val="00C054A2"/>
    <w:rsid w:val="00C147DF"/>
    <w:rsid w:val="00C1734C"/>
    <w:rsid w:val="00C17BDB"/>
    <w:rsid w:val="00C228CB"/>
    <w:rsid w:val="00C23CB4"/>
    <w:rsid w:val="00C26F4A"/>
    <w:rsid w:val="00C27694"/>
    <w:rsid w:val="00C324F1"/>
    <w:rsid w:val="00C33E85"/>
    <w:rsid w:val="00C34247"/>
    <w:rsid w:val="00C35850"/>
    <w:rsid w:val="00C367C8"/>
    <w:rsid w:val="00C37D01"/>
    <w:rsid w:val="00C40002"/>
    <w:rsid w:val="00C444CD"/>
    <w:rsid w:val="00C47849"/>
    <w:rsid w:val="00C503A0"/>
    <w:rsid w:val="00C5306E"/>
    <w:rsid w:val="00C5324C"/>
    <w:rsid w:val="00C53296"/>
    <w:rsid w:val="00C534E8"/>
    <w:rsid w:val="00C54675"/>
    <w:rsid w:val="00C551D2"/>
    <w:rsid w:val="00C55D59"/>
    <w:rsid w:val="00C646AF"/>
    <w:rsid w:val="00C722FD"/>
    <w:rsid w:val="00C73069"/>
    <w:rsid w:val="00C8041D"/>
    <w:rsid w:val="00C83656"/>
    <w:rsid w:val="00C85B1C"/>
    <w:rsid w:val="00C87D93"/>
    <w:rsid w:val="00C90B34"/>
    <w:rsid w:val="00C91B9C"/>
    <w:rsid w:val="00C92097"/>
    <w:rsid w:val="00C95214"/>
    <w:rsid w:val="00C952D8"/>
    <w:rsid w:val="00C97C88"/>
    <w:rsid w:val="00C97DA7"/>
    <w:rsid w:val="00CA1134"/>
    <w:rsid w:val="00CA5F29"/>
    <w:rsid w:val="00CA78D3"/>
    <w:rsid w:val="00CA7F8A"/>
    <w:rsid w:val="00CB46DE"/>
    <w:rsid w:val="00CB779C"/>
    <w:rsid w:val="00CC00AD"/>
    <w:rsid w:val="00CC03C0"/>
    <w:rsid w:val="00CC2083"/>
    <w:rsid w:val="00CC294E"/>
    <w:rsid w:val="00CC2CC0"/>
    <w:rsid w:val="00CC5FB6"/>
    <w:rsid w:val="00CC6713"/>
    <w:rsid w:val="00CD0E99"/>
    <w:rsid w:val="00CD1098"/>
    <w:rsid w:val="00CD2E91"/>
    <w:rsid w:val="00CD3B4F"/>
    <w:rsid w:val="00CE4519"/>
    <w:rsid w:val="00CE4C82"/>
    <w:rsid w:val="00CE4EC8"/>
    <w:rsid w:val="00CE6A9C"/>
    <w:rsid w:val="00CE6BA4"/>
    <w:rsid w:val="00CF2A12"/>
    <w:rsid w:val="00CF5E79"/>
    <w:rsid w:val="00CF6D47"/>
    <w:rsid w:val="00D01DD5"/>
    <w:rsid w:val="00D03703"/>
    <w:rsid w:val="00D12EFD"/>
    <w:rsid w:val="00D16B7B"/>
    <w:rsid w:val="00D205E7"/>
    <w:rsid w:val="00D2298E"/>
    <w:rsid w:val="00D309A3"/>
    <w:rsid w:val="00D323D1"/>
    <w:rsid w:val="00D349D0"/>
    <w:rsid w:val="00D37EB6"/>
    <w:rsid w:val="00D4254A"/>
    <w:rsid w:val="00D430B7"/>
    <w:rsid w:val="00D43A69"/>
    <w:rsid w:val="00D467BD"/>
    <w:rsid w:val="00D51D72"/>
    <w:rsid w:val="00D53BA9"/>
    <w:rsid w:val="00D56C4E"/>
    <w:rsid w:val="00D57046"/>
    <w:rsid w:val="00D62062"/>
    <w:rsid w:val="00D65680"/>
    <w:rsid w:val="00D65E98"/>
    <w:rsid w:val="00D7113C"/>
    <w:rsid w:val="00D71391"/>
    <w:rsid w:val="00D747CB"/>
    <w:rsid w:val="00D74BCB"/>
    <w:rsid w:val="00D766C1"/>
    <w:rsid w:val="00D812D7"/>
    <w:rsid w:val="00D820F1"/>
    <w:rsid w:val="00D82519"/>
    <w:rsid w:val="00D8277B"/>
    <w:rsid w:val="00D8391C"/>
    <w:rsid w:val="00D90CDB"/>
    <w:rsid w:val="00D922E2"/>
    <w:rsid w:val="00D92FBD"/>
    <w:rsid w:val="00D93C0C"/>
    <w:rsid w:val="00D94CBF"/>
    <w:rsid w:val="00D95DB5"/>
    <w:rsid w:val="00D9736C"/>
    <w:rsid w:val="00D976D4"/>
    <w:rsid w:val="00D978F6"/>
    <w:rsid w:val="00DA0438"/>
    <w:rsid w:val="00DA0C9D"/>
    <w:rsid w:val="00DA17B2"/>
    <w:rsid w:val="00DA2169"/>
    <w:rsid w:val="00DA3F96"/>
    <w:rsid w:val="00DA46DA"/>
    <w:rsid w:val="00DB1220"/>
    <w:rsid w:val="00DB36FC"/>
    <w:rsid w:val="00DB3871"/>
    <w:rsid w:val="00DB5D11"/>
    <w:rsid w:val="00DC1171"/>
    <w:rsid w:val="00DC2391"/>
    <w:rsid w:val="00DC37C6"/>
    <w:rsid w:val="00DC40FB"/>
    <w:rsid w:val="00DD1452"/>
    <w:rsid w:val="00DD185C"/>
    <w:rsid w:val="00DD1B95"/>
    <w:rsid w:val="00DD1D31"/>
    <w:rsid w:val="00DD221F"/>
    <w:rsid w:val="00DD3F14"/>
    <w:rsid w:val="00DD4532"/>
    <w:rsid w:val="00DD4A38"/>
    <w:rsid w:val="00DE0B2F"/>
    <w:rsid w:val="00DE1908"/>
    <w:rsid w:val="00DE1ACC"/>
    <w:rsid w:val="00DE4540"/>
    <w:rsid w:val="00DE61CC"/>
    <w:rsid w:val="00DF15F4"/>
    <w:rsid w:val="00DF27E2"/>
    <w:rsid w:val="00DF661A"/>
    <w:rsid w:val="00DF763A"/>
    <w:rsid w:val="00DF76CA"/>
    <w:rsid w:val="00E00026"/>
    <w:rsid w:val="00E00358"/>
    <w:rsid w:val="00E13E7F"/>
    <w:rsid w:val="00E14936"/>
    <w:rsid w:val="00E30083"/>
    <w:rsid w:val="00E3037C"/>
    <w:rsid w:val="00E305FA"/>
    <w:rsid w:val="00E30804"/>
    <w:rsid w:val="00E318A5"/>
    <w:rsid w:val="00E33B03"/>
    <w:rsid w:val="00E34006"/>
    <w:rsid w:val="00E342BF"/>
    <w:rsid w:val="00E353E1"/>
    <w:rsid w:val="00E40E61"/>
    <w:rsid w:val="00E41BA5"/>
    <w:rsid w:val="00E50F77"/>
    <w:rsid w:val="00E527D9"/>
    <w:rsid w:val="00E55B8C"/>
    <w:rsid w:val="00E56BBA"/>
    <w:rsid w:val="00E570BC"/>
    <w:rsid w:val="00E574E3"/>
    <w:rsid w:val="00E575AF"/>
    <w:rsid w:val="00E6002A"/>
    <w:rsid w:val="00E6105F"/>
    <w:rsid w:val="00E6111D"/>
    <w:rsid w:val="00E611BD"/>
    <w:rsid w:val="00E6444E"/>
    <w:rsid w:val="00E66A7E"/>
    <w:rsid w:val="00E679EE"/>
    <w:rsid w:val="00E679F9"/>
    <w:rsid w:val="00E67FFE"/>
    <w:rsid w:val="00E70F00"/>
    <w:rsid w:val="00E756D8"/>
    <w:rsid w:val="00E76D92"/>
    <w:rsid w:val="00E76F2E"/>
    <w:rsid w:val="00E7734B"/>
    <w:rsid w:val="00E81D98"/>
    <w:rsid w:val="00E83E16"/>
    <w:rsid w:val="00E85A4D"/>
    <w:rsid w:val="00E87D0A"/>
    <w:rsid w:val="00E90CA4"/>
    <w:rsid w:val="00E9148F"/>
    <w:rsid w:val="00E95B33"/>
    <w:rsid w:val="00E96995"/>
    <w:rsid w:val="00E9773C"/>
    <w:rsid w:val="00EA3C92"/>
    <w:rsid w:val="00EA3E16"/>
    <w:rsid w:val="00EA6FA5"/>
    <w:rsid w:val="00EB0D1D"/>
    <w:rsid w:val="00EB0F42"/>
    <w:rsid w:val="00EC1048"/>
    <w:rsid w:val="00EC4CA5"/>
    <w:rsid w:val="00EC64B9"/>
    <w:rsid w:val="00EC650C"/>
    <w:rsid w:val="00EC682C"/>
    <w:rsid w:val="00ED0E7C"/>
    <w:rsid w:val="00ED12A8"/>
    <w:rsid w:val="00ED47C9"/>
    <w:rsid w:val="00ED640C"/>
    <w:rsid w:val="00ED694D"/>
    <w:rsid w:val="00ED75E8"/>
    <w:rsid w:val="00EE07AF"/>
    <w:rsid w:val="00EE1191"/>
    <w:rsid w:val="00EE2C9E"/>
    <w:rsid w:val="00EE69E1"/>
    <w:rsid w:val="00EE6BE8"/>
    <w:rsid w:val="00EE7618"/>
    <w:rsid w:val="00EF08FE"/>
    <w:rsid w:val="00EF1667"/>
    <w:rsid w:val="00EF1C38"/>
    <w:rsid w:val="00EF4EB8"/>
    <w:rsid w:val="00EF607E"/>
    <w:rsid w:val="00EF637C"/>
    <w:rsid w:val="00F00561"/>
    <w:rsid w:val="00F01424"/>
    <w:rsid w:val="00F01DB0"/>
    <w:rsid w:val="00F029E9"/>
    <w:rsid w:val="00F02C1B"/>
    <w:rsid w:val="00F036B8"/>
    <w:rsid w:val="00F04602"/>
    <w:rsid w:val="00F056DA"/>
    <w:rsid w:val="00F06017"/>
    <w:rsid w:val="00F10531"/>
    <w:rsid w:val="00F11F04"/>
    <w:rsid w:val="00F1365A"/>
    <w:rsid w:val="00F13B03"/>
    <w:rsid w:val="00F14685"/>
    <w:rsid w:val="00F17F7F"/>
    <w:rsid w:val="00F21727"/>
    <w:rsid w:val="00F27099"/>
    <w:rsid w:val="00F30328"/>
    <w:rsid w:val="00F30B54"/>
    <w:rsid w:val="00F3462F"/>
    <w:rsid w:val="00F35A39"/>
    <w:rsid w:val="00F40D89"/>
    <w:rsid w:val="00F42606"/>
    <w:rsid w:val="00F43111"/>
    <w:rsid w:val="00F434D1"/>
    <w:rsid w:val="00F43826"/>
    <w:rsid w:val="00F43FC9"/>
    <w:rsid w:val="00F4549B"/>
    <w:rsid w:val="00F47E29"/>
    <w:rsid w:val="00F519A8"/>
    <w:rsid w:val="00F5311E"/>
    <w:rsid w:val="00F53D09"/>
    <w:rsid w:val="00F53EE8"/>
    <w:rsid w:val="00F55287"/>
    <w:rsid w:val="00F56CDA"/>
    <w:rsid w:val="00F601BD"/>
    <w:rsid w:val="00F60D58"/>
    <w:rsid w:val="00F6149C"/>
    <w:rsid w:val="00F65644"/>
    <w:rsid w:val="00F65F92"/>
    <w:rsid w:val="00F802D2"/>
    <w:rsid w:val="00F81C81"/>
    <w:rsid w:val="00F8491F"/>
    <w:rsid w:val="00F85375"/>
    <w:rsid w:val="00F91D6D"/>
    <w:rsid w:val="00F96407"/>
    <w:rsid w:val="00F964D8"/>
    <w:rsid w:val="00F96C53"/>
    <w:rsid w:val="00F96F6F"/>
    <w:rsid w:val="00F97740"/>
    <w:rsid w:val="00FA19EF"/>
    <w:rsid w:val="00FA3E1A"/>
    <w:rsid w:val="00FA4A86"/>
    <w:rsid w:val="00FA5C73"/>
    <w:rsid w:val="00FA6537"/>
    <w:rsid w:val="00FA71E0"/>
    <w:rsid w:val="00FB19AC"/>
    <w:rsid w:val="00FB2769"/>
    <w:rsid w:val="00FB544F"/>
    <w:rsid w:val="00FB5651"/>
    <w:rsid w:val="00FC2967"/>
    <w:rsid w:val="00FC2FBE"/>
    <w:rsid w:val="00FC32E4"/>
    <w:rsid w:val="00FC5977"/>
    <w:rsid w:val="00FC6DC2"/>
    <w:rsid w:val="00FC778C"/>
    <w:rsid w:val="00FD1662"/>
    <w:rsid w:val="00FD3420"/>
    <w:rsid w:val="00FE6011"/>
    <w:rsid w:val="00FF0F10"/>
    <w:rsid w:val="00FF129B"/>
    <w:rsid w:val="00FF1463"/>
    <w:rsid w:val="00FF19FE"/>
    <w:rsid w:val="00FF246B"/>
    <w:rsid w:val="00FF3759"/>
    <w:rsid w:val="00FF5AA9"/>
    <w:rsid w:val="00FF5FDD"/>
    <w:rsid w:val="00FF6070"/>
    <w:rsid w:val="00FF61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6F92"/>
  <w15:chartTrackingRefBased/>
  <w15:docId w15:val="{4BC06765-ED9B-41C3-BBE2-32E3E656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B8C"/>
    <w:rPr>
      <w:lang w:val="es-ES"/>
    </w:rPr>
  </w:style>
  <w:style w:type="paragraph" w:styleId="Heading1">
    <w:name w:val="heading 1"/>
    <w:basedOn w:val="Normal"/>
    <w:next w:val="Normal"/>
    <w:link w:val="Heading1Char"/>
    <w:uiPriority w:val="9"/>
    <w:qFormat/>
    <w:rsid w:val="00C85B1C"/>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es-ES"/>
    </w:rPr>
  </w:style>
  <w:style w:type="paragraph" w:styleId="Heading2">
    <w:name w:val="heading 2"/>
    <w:basedOn w:val="Normal"/>
    <w:next w:val="Normal"/>
    <w:link w:val="Heading2Char"/>
    <w:uiPriority w:val="9"/>
    <w:semiHidden/>
    <w:unhideWhenUsed/>
    <w:qFormat/>
    <w:rsid w:val="008351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6804FC"/>
    <w:pPr>
      <w:pBdr>
        <w:top w:val="nil"/>
        <w:left w:val="nil"/>
        <w:bottom w:val="nil"/>
        <w:right w:val="nil"/>
        <w:between w:val="nil"/>
        <w:bar w:val="nil"/>
      </w:pBdr>
    </w:pPr>
    <w:rPr>
      <w:rFonts w:ascii="Calibri" w:eastAsia="Arial Unicode MS" w:hAnsi="Calibri" w:cs="Arial Unicode MS"/>
      <w:color w:val="000000"/>
      <w:u w:color="000000"/>
      <w:bdr w:val="nil"/>
      <w:lang w:val="es-ES_tradnl" w:eastAsia="es-ES"/>
    </w:rPr>
  </w:style>
  <w:style w:type="paragraph" w:customStyle="1" w:styleId="BodyBA">
    <w:name w:val="Body B A"/>
    <w:rsid w:val="006804FC"/>
    <w:pPr>
      <w:pBdr>
        <w:top w:val="nil"/>
        <w:left w:val="nil"/>
        <w:bottom w:val="nil"/>
        <w:right w:val="nil"/>
        <w:between w:val="nil"/>
        <w:bar w:val="nil"/>
      </w:pBdr>
    </w:pPr>
    <w:rPr>
      <w:rFonts w:ascii="Calibri" w:eastAsia="Arial Unicode MS" w:hAnsi="Calibri" w:cs="Arial Unicode MS"/>
      <w:color w:val="000000"/>
      <w:u w:color="000000"/>
      <w:bdr w:val="nil"/>
      <w:lang w:val="en-US" w:eastAsia="es-ES"/>
    </w:rPr>
  </w:style>
  <w:style w:type="character" w:styleId="PlaceholderText">
    <w:name w:val="Placeholder Text"/>
    <w:basedOn w:val="DefaultParagraphFont"/>
    <w:uiPriority w:val="99"/>
    <w:semiHidden/>
    <w:rsid w:val="0098446C"/>
    <w:rPr>
      <w:color w:val="808080"/>
    </w:rPr>
  </w:style>
  <w:style w:type="paragraph" w:customStyle="1" w:styleId="BodyAA">
    <w:name w:val="Body A A"/>
    <w:rsid w:val="00E55B8C"/>
    <w:pPr>
      <w:pBdr>
        <w:top w:val="nil"/>
        <w:left w:val="nil"/>
        <w:bottom w:val="nil"/>
        <w:right w:val="nil"/>
        <w:between w:val="nil"/>
        <w:bar w:val="nil"/>
      </w:pBdr>
    </w:pPr>
    <w:rPr>
      <w:rFonts w:ascii="Calibri" w:eastAsia="Arial Unicode MS" w:hAnsi="Calibri" w:cs="Arial Unicode MS"/>
      <w:color w:val="000000"/>
      <w:u w:color="000000"/>
      <w:bdr w:val="nil"/>
      <w:lang w:val="en-US" w:eastAsia="es-ES"/>
    </w:rPr>
  </w:style>
  <w:style w:type="paragraph" w:customStyle="1" w:styleId="BodyB">
    <w:name w:val="Body B"/>
    <w:rsid w:val="00E55B8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eastAsia="es-ES"/>
    </w:rPr>
  </w:style>
  <w:style w:type="paragraph" w:styleId="Revision">
    <w:name w:val="Revision"/>
    <w:hidden/>
    <w:uiPriority w:val="99"/>
    <w:semiHidden/>
    <w:rsid w:val="00BC66DC"/>
    <w:pPr>
      <w:spacing w:after="0" w:line="240" w:lineRule="auto"/>
    </w:pPr>
    <w:rPr>
      <w:lang w:val="es-ES"/>
    </w:rPr>
  </w:style>
  <w:style w:type="paragraph" w:styleId="FootnoteText">
    <w:name w:val="footnote text"/>
    <w:basedOn w:val="Normal"/>
    <w:link w:val="FootnoteTextChar"/>
    <w:uiPriority w:val="99"/>
    <w:unhideWhenUsed/>
    <w:rsid w:val="00C228CB"/>
    <w:pPr>
      <w:spacing w:after="0" w:line="240" w:lineRule="auto"/>
    </w:pPr>
    <w:rPr>
      <w:sz w:val="20"/>
      <w:szCs w:val="20"/>
    </w:rPr>
  </w:style>
  <w:style w:type="character" w:customStyle="1" w:styleId="FootnoteTextChar">
    <w:name w:val="Footnote Text Char"/>
    <w:basedOn w:val="DefaultParagraphFont"/>
    <w:link w:val="FootnoteText"/>
    <w:uiPriority w:val="99"/>
    <w:rsid w:val="00C228CB"/>
    <w:rPr>
      <w:sz w:val="20"/>
      <w:szCs w:val="20"/>
      <w:lang w:val="es-ES"/>
    </w:rPr>
  </w:style>
  <w:style w:type="character" w:styleId="FootnoteReference">
    <w:name w:val="footnote reference"/>
    <w:basedOn w:val="DefaultParagraphFont"/>
    <w:uiPriority w:val="99"/>
    <w:semiHidden/>
    <w:unhideWhenUsed/>
    <w:rsid w:val="00C228CB"/>
    <w:rPr>
      <w:vertAlign w:val="superscript"/>
    </w:rPr>
  </w:style>
  <w:style w:type="paragraph" w:styleId="Header">
    <w:name w:val="header"/>
    <w:basedOn w:val="Normal"/>
    <w:link w:val="HeaderChar"/>
    <w:uiPriority w:val="99"/>
    <w:unhideWhenUsed/>
    <w:rsid w:val="00A514A6"/>
    <w:pPr>
      <w:tabs>
        <w:tab w:val="center" w:pos="4252"/>
        <w:tab w:val="right" w:pos="8504"/>
      </w:tabs>
      <w:spacing w:after="0" w:line="240" w:lineRule="auto"/>
    </w:pPr>
  </w:style>
  <w:style w:type="character" w:customStyle="1" w:styleId="HeaderChar">
    <w:name w:val="Header Char"/>
    <w:basedOn w:val="DefaultParagraphFont"/>
    <w:link w:val="Header"/>
    <w:uiPriority w:val="99"/>
    <w:rsid w:val="00A514A6"/>
    <w:rPr>
      <w:lang w:val="es-ES"/>
    </w:rPr>
  </w:style>
  <w:style w:type="paragraph" w:styleId="Footer">
    <w:name w:val="footer"/>
    <w:basedOn w:val="Normal"/>
    <w:link w:val="FooterChar"/>
    <w:uiPriority w:val="99"/>
    <w:unhideWhenUsed/>
    <w:rsid w:val="00A514A6"/>
    <w:pPr>
      <w:tabs>
        <w:tab w:val="center" w:pos="4252"/>
        <w:tab w:val="right" w:pos="8504"/>
      </w:tabs>
      <w:spacing w:after="0" w:line="240" w:lineRule="auto"/>
    </w:pPr>
  </w:style>
  <w:style w:type="character" w:customStyle="1" w:styleId="FooterChar">
    <w:name w:val="Footer Char"/>
    <w:basedOn w:val="DefaultParagraphFont"/>
    <w:link w:val="Footer"/>
    <w:uiPriority w:val="99"/>
    <w:rsid w:val="00A514A6"/>
    <w:rPr>
      <w:lang w:val="es-ES"/>
    </w:rPr>
  </w:style>
  <w:style w:type="character" w:customStyle="1" w:styleId="Heading1Char">
    <w:name w:val="Heading 1 Char"/>
    <w:basedOn w:val="DefaultParagraphFont"/>
    <w:link w:val="Heading1"/>
    <w:uiPriority w:val="9"/>
    <w:rsid w:val="00C85B1C"/>
    <w:rPr>
      <w:rFonts w:asciiTheme="majorHAnsi" w:eastAsiaTheme="majorEastAsia" w:hAnsiTheme="majorHAnsi" w:cstheme="majorBidi"/>
      <w:b/>
      <w:bCs/>
      <w:color w:val="2F5496" w:themeColor="accent1" w:themeShade="BF"/>
      <w:sz w:val="28"/>
      <w:szCs w:val="28"/>
      <w:lang w:val="es-ES" w:eastAsia="es-ES"/>
    </w:rPr>
  </w:style>
  <w:style w:type="paragraph" w:styleId="CommentText">
    <w:name w:val="annotation text"/>
    <w:link w:val="CommentTextChar"/>
    <w:uiPriority w:val="99"/>
    <w:rsid w:val="00C85B1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US" w:eastAsia="es-ES"/>
    </w:rPr>
  </w:style>
  <w:style w:type="character" w:customStyle="1" w:styleId="CommentTextChar">
    <w:name w:val="Comment Text Char"/>
    <w:basedOn w:val="DefaultParagraphFont"/>
    <w:link w:val="CommentText"/>
    <w:uiPriority w:val="99"/>
    <w:rsid w:val="00C85B1C"/>
    <w:rPr>
      <w:rFonts w:ascii="Times New Roman" w:eastAsia="Times New Roman" w:hAnsi="Times New Roman" w:cs="Times New Roman"/>
      <w:color w:val="000000"/>
      <w:sz w:val="20"/>
      <w:szCs w:val="20"/>
      <w:u w:color="000000"/>
      <w:bdr w:val="nil"/>
      <w:lang w:val="en-US" w:eastAsia="es-ES"/>
    </w:rPr>
  </w:style>
  <w:style w:type="character" w:styleId="CommentReference">
    <w:name w:val="annotation reference"/>
    <w:basedOn w:val="DefaultParagraphFont"/>
    <w:uiPriority w:val="99"/>
    <w:semiHidden/>
    <w:unhideWhenUsed/>
    <w:rsid w:val="00C85B1C"/>
    <w:rPr>
      <w:sz w:val="16"/>
      <w:szCs w:val="16"/>
    </w:rPr>
  </w:style>
  <w:style w:type="character" w:customStyle="1" w:styleId="NoneA">
    <w:name w:val="None A"/>
    <w:rsid w:val="009209B4"/>
  </w:style>
  <w:style w:type="paragraph" w:customStyle="1" w:styleId="BodyAAA">
    <w:name w:val="Body A A A"/>
    <w:rsid w:val="009209B4"/>
    <w:pPr>
      <w:pBdr>
        <w:top w:val="nil"/>
        <w:left w:val="nil"/>
        <w:bottom w:val="nil"/>
        <w:right w:val="nil"/>
        <w:between w:val="nil"/>
        <w:bar w:val="nil"/>
      </w:pBdr>
    </w:pPr>
    <w:rPr>
      <w:rFonts w:ascii="Calibri" w:eastAsia="Arial Unicode MS" w:hAnsi="Calibri" w:cs="Arial Unicode MS"/>
      <w:color w:val="000000"/>
      <w:u w:color="000000"/>
      <w:bdr w:val="nil"/>
      <w:lang w:val="en-US" w:eastAsia="es-ES"/>
      <w14:textOutline w14:w="12700" w14:cap="flat" w14:cmpd="sng" w14:algn="ctr">
        <w14:noFill/>
        <w14:prstDash w14:val="solid"/>
        <w14:miter w14:lim="400000"/>
      </w14:textOutline>
    </w:rPr>
  </w:style>
  <w:style w:type="table" w:styleId="TableGrid">
    <w:name w:val="Table Grid"/>
    <w:basedOn w:val="TableNormal"/>
    <w:uiPriority w:val="39"/>
    <w:rsid w:val="00DF76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436A37"/>
    <w:rPr>
      <w:lang w:val="es-ES_tradnl"/>
    </w:rPr>
  </w:style>
  <w:style w:type="paragraph" w:styleId="ListParagraph">
    <w:name w:val="List Paragraph"/>
    <w:basedOn w:val="Normal"/>
    <w:uiPriority w:val="34"/>
    <w:qFormat/>
    <w:rsid w:val="00982C91"/>
    <w:pPr>
      <w:ind w:left="720"/>
      <w:contextualSpacing/>
    </w:pPr>
  </w:style>
  <w:style w:type="paragraph" w:styleId="CommentSubject">
    <w:name w:val="annotation subject"/>
    <w:basedOn w:val="CommentText"/>
    <w:next w:val="CommentText"/>
    <w:link w:val="CommentSubjectChar"/>
    <w:uiPriority w:val="99"/>
    <w:semiHidden/>
    <w:unhideWhenUsed/>
    <w:rsid w:val="00D430B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color w:val="auto"/>
      <w:bdr w:val="none" w:sz="0" w:space="0" w:color="auto"/>
      <w:lang w:val="es-ES" w:eastAsia="en-US"/>
    </w:rPr>
  </w:style>
  <w:style w:type="character" w:customStyle="1" w:styleId="CommentSubjectChar">
    <w:name w:val="Comment Subject Char"/>
    <w:basedOn w:val="CommentTextChar"/>
    <w:link w:val="CommentSubject"/>
    <w:uiPriority w:val="99"/>
    <w:semiHidden/>
    <w:rsid w:val="00D430B7"/>
    <w:rPr>
      <w:rFonts w:ascii="Times New Roman" w:eastAsia="Times New Roman" w:hAnsi="Times New Roman" w:cs="Times New Roman"/>
      <w:b/>
      <w:bCs/>
      <w:color w:val="000000"/>
      <w:sz w:val="20"/>
      <w:szCs w:val="20"/>
      <w:u w:color="000000"/>
      <w:bdr w:val="nil"/>
      <w:lang w:val="es-ES" w:eastAsia="es-ES"/>
    </w:rPr>
  </w:style>
  <w:style w:type="paragraph" w:customStyle="1" w:styleId="WBibliografia">
    <w:name w:val="W Bibliografia"/>
    <w:locked/>
    <w:rsid w:val="00577602"/>
    <w:pPr>
      <w:spacing w:after="0" w:line="240" w:lineRule="auto"/>
      <w:ind w:left="567" w:hanging="567"/>
      <w:jc w:val="both"/>
    </w:pPr>
    <w:rPr>
      <w:rFonts w:ascii="Corbel" w:eastAsia="Times New Roman" w:hAnsi="Corbel" w:cs="Times New Roman"/>
      <w:sz w:val="20"/>
      <w:szCs w:val="20"/>
      <w:lang w:val="es-ES_tradnl"/>
    </w:rPr>
  </w:style>
  <w:style w:type="character" w:customStyle="1" w:styleId="italic">
    <w:name w:val="italic"/>
    <w:basedOn w:val="DefaultParagraphFont"/>
    <w:rsid w:val="00E66A7E"/>
  </w:style>
  <w:style w:type="character" w:customStyle="1" w:styleId="Heading2Char">
    <w:name w:val="Heading 2 Char"/>
    <w:basedOn w:val="DefaultParagraphFont"/>
    <w:link w:val="Heading2"/>
    <w:uiPriority w:val="9"/>
    <w:semiHidden/>
    <w:rsid w:val="008351FC"/>
    <w:rPr>
      <w:rFonts w:asciiTheme="majorHAnsi" w:eastAsiaTheme="majorEastAsia" w:hAnsiTheme="majorHAnsi" w:cstheme="majorBidi"/>
      <w:color w:val="2F5496" w:themeColor="accent1" w:themeShade="BF"/>
      <w:sz w:val="26"/>
      <w:szCs w:val="26"/>
      <w:lang w:val="es-ES"/>
    </w:rPr>
  </w:style>
  <w:style w:type="character" w:styleId="Hyperlink">
    <w:name w:val="Hyperlink"/>
    <w:basedOn w:val="DefaultParagraphFont"/>
    <w:uiPriority w:val="99"/>
    <w:unhideWhenUsed/>
    <w:rsid w:val="008072EB"/>
    <w:rPr>
      <w:color w:val="0563C1" w:themeColor="hyperlink"/>
      <w:u w:val="single"/>
    </w:rPr>
  </w:style>
  <w:style w:type="character" w:styleId="UnresolvedMention">
    <w:name w:val="Unresolved Mention"/>
    <w:basedOn w:val="DefaultParagraphFont"/>
    <w:uiPriority w:val="99"/>
    <w:semiHidden/>
    <w:unhideWhenUsed/>
    <w:rsid w:val="008072EB"/>
    <w:rPr>
      <w:color w:val="605E5C"/>
      <w:shd w:val="clear" w:color="auto" w:fill="E1DFDD"/>
    </w:rPr>
  </w:style>
  <w:style w:type="character" w:styleId="Strong">
    <w:name w:val="Strong"/>
    <w:basedOn w:val="DefaultParagraphFont"/>
    <w:uiPriority w:val="22"/>
    <w:qFormat/>
    <w:rsid w:val="00133F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392541">
      <w:bodyDiv w:val="1"/>
      <w:marLeft w:val="0"/>
      <w:marRight w:val="0"/>
      <w:marTop w:val="0"/>
      <w:marBottom w:val="0"/>
      <w:divBdr>
        <w:top w:val="none" w:sz="0" w:space="0" w:color="auto"/>
        <w:left w:val="none" w:sz="0" w:space="0" w:color="auto"/>
        <w:bottom w:val="none" w:sz="0" w:space="0" w:color="auto"/>
        <w:right w:val="none" w:sz="0" w:space="0" w:color="auto"/>
      </w:divBdr>
    </w:div>
    <w:div w:id="287321893">
      <w:bodyDiv w:val="1"/>
      <w:marLeft w:val="0"/>
      <w:marRight w:val="0"/>
      <w:marTop w:val="0"/>
      <w:marBottom w:val="0"/>
      <w:divBdr>
        <w:top w:val="none" w:sz="0" w:space="0" w:color="auto"/>
        <w:left w:val="none" w:sz="0" w:space="0" w:color="auto"/>
        <w:bottom w:val="none" w:sz="0" w:space="0" w:color="auto"/>
        <w:right w:val="none" w:sz="0" w:space="0" w:color="auto"/>
      </w:divBdr>
    </w:div>
    <w:div w:id="309137300">
      <w:bodyDiv w:val="1"/>
      <w:marLeft w:val="0"/>
      <w:marRight w:val="0"/>
      <w:marTop w:val="0"/>
      <w:marBottom w:val="0"/>
      <w:divBdr>
        <w:top w:val="none" w:sz="0" w:space="0" w:color="auto"/>
        <w:left w:val="none" w:sz="0" w:space="0" w:color="auto"/>
        <w:bottom w:val="none" w:sz="0" w:space="0" w:color="auto"/>
        <w:right w:val="none" w:sz="0" w:space="0" w:color="auto"/>
      </w:divBdr>
    </w:div>
    <w:div w:id="310595569">
      <w:bodyDiv w:val="1"/>
      <w:marLeft w:val="0"/>
      <w:marRight w:val="0"/>
      <w:marTop w:val="0"/>
      <w:marBottom w:val="0"/>
      <w:divBdr>
        <w:top w:val="none" w:sz="0" w:space="0" w:color="auto"/>
        <w:left w:val="none" w:sz="0" w:space="0" w:color="auto"/>
        <w:bottom w:val="none" w:sz="0" w:space="0" w:color="auto"/>
        <w:right w:val="none" w:sz="0" w:space="0" w:color="auto"/>
      </w:divBdr>
    </w:div>
    <w:div w:id="349374561">
      <w:bodyDiv w:val="1"/>
      <w:marLeft w:val="0"/>
      <w:marRight w:val="0"/>
      <w:marTop w:val="0"/>
      <w:marBottom w:val="0"/>
      <w:divBdr>
        <w:top w:val="none" w:sz="0" w:space="0" w:color="auto"/>
        <w:left w:val="none" w:sz="0" w:space="0" w:color="auto"/>
        <w:bottom w:val="none" w:sz="0" w:space="0" w:color="auto"/>
        <w:right w:val="none" w:sz="0" w:space="0" w:color="auto"/>
      </w:divBdr>
    </w:div>
    <w:div w:id="445079834">
      <w:bodyDiv w:val="1"/>
      <w:marLeft w:val="0"/>
      <w:marRight w:val="0"/>
      <w:marTop w:val="0"/>
      <w:marBottom w:val="0"/>
      <w:divBdr>
        <w:top w:val="none" w:sz="0" w:space="0" w:color="auto"/>
        <w:left w:val="none" w:sz="0" w:space="0" w:color="auto"/>
        <w:bottom w:val="none" w:sz="0" w:space="0" w:color="auto"/>
        <w:right w:val="none" w:sz="0" w:space="0" w:color="auto"/>
      </w:divBdr>
    </w:div>
    <w:div w:id="460853335">
      <w:bodyDiv w:val="1"/>
      <w:marLeft w:val="0"/>
      <w:marRight w:val="0"/>
      <w:marTop w:val="0"/>
      <w:marBottom w:val="0"/>
      <w:divBdr>
        <w:top w:val="none" w:sz="0" w:space="0" w:color="auto"/>
        <w:left w:val="none" w:sz="0" w:space="0" w:color="auto"/>
        <w:bottom w:val="none" w:sz="0" w:space="0" w:color="auto"/>
        <w:right w:val="none" w:sz="0" w:space="0" w:color="auto"/>
      </w:divBdr>
    </w:div>
    <w:div w:id="560408673">
      <w:bodyDiv w:val="1"/>
      <w:marLeft w:val="0"/>
      <w:marRight w:val="0"/>
      <w:marTop w:val="0"/>
      <w:marBottom w:val="0"/>
      <w:divBdr>
        <w:top w:val="none" w:sz="0" w:space="0" w:color="auto"/>
        <w:left w:val="none" w:sz="0" w:space="0" w:color="auto"/>
        <w:bottom w:val="none" w:sz="0" w:space="0" w:color="auto"/>
        <w:right w:val="none" w:sz="0" w:space="0" w:color="auto"/>
      </w:divBdr>
    </w:div>
    <w:div w:id="719133205">
      <w:bodyDiv w:val="1"/>
      <w:marLeft w:val="0"/>
      <w:marRight w:val="0"/>
      <w:marTop w:val="0"/>
      <w:marBottom w:val="0"/>
      <w:divBdr>
        <w:top w:val="none" w:sz="0" w:space="0" w:color="auto"/>
        <w:left w:val="none" w:sz="0" w:space="0" w:color="auto"/>
        <w:bottom w:val="none" w:sz="0" w:space="0" w:color="auto"/>
        <w:right w:val="none" w:sz="0" w:space="0" w:color="auto"/>
      </w:divBdr>
    </w:div>
    <w:div w:id="836770119">
      <w:bodyDiv w:val="1"/>
      <w:marLeft w:val="0"/>
      <w:marRight w:val="0"/>
      <w:marTop w:val="0"/>
      <w:marBottom w:val="0"/>
      <w:divBdr>
        <w:top w:val="none" w:sz="0" w:space="0" w:color="auto"/>
        <w:left w:val="none" w:sz="0" w:space="0" w:color="auto"/>
        <w:bottom w:val="none" w:sz="0" w:space="0" w:color="auto"/>
        <w:right w:val="none" w:sz="0" w:space="0" w:color="auto"/>
      </w:divBdr>
    </w:div>
    <w:div w:id="932589022">
      <w:bodyDiv w:val="1"/>
      <w:marLeft w:val="0"/>
      <w:marRight w:val="0"/>
      <w:marTop w:val="0"/>
      <w:marBottom w:val="0"/>
      <w:divBdr>
        <w:top w:val="none" w:sz="0" w:space="0" w:color="auto"/>
        <w:left w:val="none" w:sz="0" w:space="0" w:color="auto"/>
        <w:bottom w:val="none" w:sz="0" w:space="0" w:color="auto"/>
        <w:right w:val="none" w:sz="0" w:space="0" w:color="auto"/>
      </w:divBdr>
    </w:div>
    <w:div w:id="949700633">
      <w:bodyDiv w:val="1"/>
      <w:marLeft w:val="0"/>
      <w:marRight w:val="0"/>
      <w:marTop w:val="0"/>
      <w:marBottom w:val="0"/>
      <w:divBdr>
        <w:top w:val="none" w:sz="0" w:space="0" w:color="auto"/>
        <w:left w:val="none" w:sz="0" w:space="0" w:color="auto"/>
        <w:bottom w:val="none" w:sz="0" w:space="0" w:color="auto"/>
        <w:right w:val="none" w:sz="0" w:space="0" w:color="auto"/>
      </w:divBdr>
    </w:div>
    <w:div w:id="952325465">
      <w:bodyDiv w:val="1"/>
      <w:marLeft w:val="0"/>
      <w:marRight w:val="0"/>
      <w:marTop w:val="0"/>
      <w:marBottom w:val="0"/>
      <w:divBdr>
        <w:top w:val="none" w:sz="0" w:space="0" w:color="auto"/>
        <w:left w:val="none" w:sz="0" w:space="0" w:color="auto"/>
        <w:bottom w:val="none" w:sz="0" w:space="0" w:color="auto"/>
        <w:right w:val="none" w:sz="0" w:space="0" w:color="auto"/>
      </w:divBdr>
    </w:div>
    <w:div w:id="1019888684">
      <w:bodyDiv w:val="1"/>
      <w:marLeft w:val="0"/>
      <w:marRight w:val="0"/>
      <w:marTop w:val="0"/>
      <w:marBottom w:val="0"/>
      <w:divBdr>
        <w:top w:val="none" w:sz="0" w:space="0" w:color="auto"/>
        <w:left w:val="none" w:sz="0" w:space="0" w:color="auto"/>
        <w:bottom w:val="none" w:sz="0" w:space="0" w:color="auto"/>
        <w:right w:val="none" w:sz="0" w:space="0" w:color="auto"/>
      </w:divBdr>
    </w:div>
    <w:div w:id="1021129071">
      <w:bodyDiv w:val="1"/>
      <w:marLeft w:val="0"/>
      <w:marRight w:val="0"/>
      <w:marTop w:val="0"/>
      <w:marBottom w:val="0"/>
      <w:divBdr>
        <w:top w:val="none" w:sz="0" w:space="0" w:color="auto"/>
        <w:left w:val="none" w:sz="0" w:space="0" w:color="auto"/>
        <w:bottom w:val="none" w:sz="0" w:space="0" w:color="auto"/>
        <w:right w:val="none" w:sz="0" w:space="0" w:color="auto"/>
      </w:divBdr>
    </w:div>
    <w:div w:id="1030569645">
      <w:bodyDiv w:val="1"/>
      <w:marLeft w:val="0"/>
      <w:marRight w:val="0"/>
      <w:marTop w:val="0"/>
      <w:marBottom w:val="0"/>
      <w:divBdr>
        <w:top w:val="none" w:sz="0" w:space="0" w:color="auto"/>
        <w:left w:val="none" w:sz="0" w:space="0" w:color="auto"/>
        <w:bottom w:val="none" w:sz="0" w:space="0" w:color="auto"/>
        <w:right w:val="none" w:sz="0" w:space="0" w:color="auto"/>
      </w:divBdr>
    </w:div>
    <w:div w:id="1237319912">
      <w:bodyDiv w:val="1"/>
      <w:marLeft w:val="0"/>
      <w:marRight w:val="0"/>
      <w:marTop w:val="0"/>
      <w:marBottom w:val="0"/>
      <w:divBdr>
        <w:top w:val="none" w:sz="0" w:space="0" w:color="auto"/>
        <w:left w:val="none" w:sz="0" w:space="0" w:color="auto"/>
        <w:bottom w:val="none" w:sz="0" w:space="0" w:color="auto"/>
        <w:right w:val="none" w:sz="0" w:space="0" w:color="auto"/>
      </w:divBdr>
    </w:div>
    <w:div w:id="1356924689">
      <w:bodyDiv w:val="1"/>
      <w:marLeft w:val="0"/>
      <w:marRight w:val="0"/>
      <w:marTop w:val="0"/>
      <w:marBottom w:val="0"/>
      <w:divBdr>
        <w:top w:val="none" w:sz="0" w:space="0" w:color="auto"/>
        <w:left w:val="none" w:sz="0" w:space="0" w:color="auto"/>
        <w:bottom w:val="none" w:sz="0" w:space="0" w:color="auto"/>
        <w:right w:val="none" w:sz="0" w:space="0" w:color="auto"/>
      </w:divBdr>
    </w:div>
    <w:div w:id="1638754523">
      <w:bodyDiv w:val="1"/>
      <w:marLeft w:val="0"/>
      <w:marRight w:val="0"/>
      <w:marTop w:val="0"/>
      <w:marBottom w:val="0"/>
      <w:divBdr>
        <w:top w:val="none" w:sz="0" w:space="0" w:color="auto"/>
        <w:left w:val="none" w:sz="0" w:space="0" w:color="auto"/>
        <w:bottom w:val="none" w:sz="0" w:space="0" w:color="auto"/>
        <w:right w:val="none" w:sz="0" w:space="0" w:color="auto"/>
      </w:divBdr>
    </w:div>
    <w:div w:id="1745107517">
      <w:bodyDiv w:val="1"/>
      <w:marLeft w:val="0"/>
      <w:marRight w:val="0"/>
      <w:marTop w:val="0"/>
      <w:marBottom w:val="0"/>
      <w:divBdr>
        <w:top w:val="none" w:sz="0" w:space="0" w:color="auto"/>
        <w:left w:val="none" w:sz="0" w:space="0" w:color="auto"/>
        <w:bottom w:val="none" w:sz="0" w:space="0" w:color="auto"/>
        <w:right w:val="none" w:sz="0" w:space="0" w:color="auto"/>
      </w:divBdr>
    </w:div>
    <w:div w:id="1870147499">
      <w:bodyDiv w:val="1"/>
      <w:marLeft w:val="0"/>
      <w:marRight w:val="0"/>
      <w:marTop w:val="0"/>
      <w:marBottom w:val="0"/>
      <w:divBdr>
        <w:top w:val="none" w:sz="0" w:space="0" w:color="auto"/>
        <w:left w:val="none" w:sz="0" w:space="0" w:color="auto"/>
        <w:bottom w:val="none" w:sz="0" w:space="0" w:color="auto"/>
        <w:right w:val="none" w:sz="0" w:space="0" w:color="auto"/>
      </w:divBdr>
    </w:div>
    <w:div w:id="211821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8540-AE78-4A4A-BFD8-758404A57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332</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Beccaria</dc:creator>
  <cp:keywords/>
  <dc:description/>
  <cp:lastModifiedBy>Trupti Sudge</cp:lastModifiedBy>
  <cp:revision>2</cp:revision>
  <cp:lastPrinted>2022-10-11T16:00:00Z</cp:lastPrinted>
  <dcterms:created xsi:type="dcterms:W3CDTF">2022-10-18T11:36:00Z</dcterms:created>
  <dcterms:modified xsi:type="dcterms:W3CDTF">2022-10-18T11:36:00Z</dcterms:modified>
</cp:coreProperties>
</file>