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509" w:rsidRPr="000A35AA" w:rsidRDefault="00313509" w:rsidP="00313509">
      <w:pPr>
        <w:bidi w:val="0"/>
        <w:rPr>
          <w:rFonts w:asciiTheme="majorBidi" w:hAnsiTheme="majorBidi" w:cstheme="majorBidi"/>
          <w:sz w:val="24"/>
          <w:szCs w:val="24"/>
        </w:rPr>
      </w:pPr>
      <w:bookmarkStart w:id="0" w:name="_GoBack"/>
      <w:bookmarkEnd w:id="0"/>
    </w:p>
    <w:p w:rsidR="00313509" w:rsidRPr="000A35AA" w:rsidRDefault="00313509" w:rsidP="000A35AA">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 xml:space="preserve">Appendix </w:t>
      </w:r>
      <w:r w:rsidR="000A35AA">
        <w:rPr>
          <w:rFonts w:asciiTheme="majorBidi" w:hAnsiTheme="majorBidi" w:cstheme="majorBidi"/>
          <w:b/>
          <w:bCs/>
          <w:sz w:val="24"/>
          <w:szCs w:val="24"/>
        </w:rPr>
        <w:t>A</w:t>
      </w:r>
      <w:r w:rsidRPr="000A35AA">
        <w:rPr>
          <w:rFonts w:asciiTheme="majorBidi" w:hAnsiTheme="majorBidi" w:cstheme="majorBidi"/>
          <w:b/>
          <w:bCs/>
          <w:sz w:val="24"/>
          <w:szCs w:val="24"/>
        </w:rPr>
        <w:t xml:space="preserve"> </w:t>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Inclusion and exclusion criteria for hospital-at-home service (Levine et al., 2020)</w:t>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Inclusion criteria</w:t>
      </w:r>
    </w:p>
    <w:p w:rsidR="00313509" w:rsidRPr="000A35AA" w:rsidRDefault="00313509" w:rsidP="00313509">
      <w:pPr>
        <w:pStyle w:val="ListParagraph"/>
        <w:numPr>
          <w:ilvl w:val="0"/>
          <w:numId w:val="2"/>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Adult patient (≥18 years)</w:t>
      </w:r>
    </w:p>
    <w:p w:rsidR="00313509" w:rsidRPr="000A35AA" w:rsidRDefault="00313509" w:rsidP="00313509">
      <w:pPr>
        <w:pStyle w:val="ListParagraph"/>
        <w:numPr>
          <w:ilvl w:val="0"/>
          <w:numId w:val="2"/>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 xml:space="preserve">Resides within 8 km from the hospital (catchment area) </w:t>
      </w:r>
    </w:p>
    <w:p w:rsidR="00313509" w:rsidRPr="000A35AA" w:rsidRDefault="00313509" w:rsidP="00313509">
      <w:pPr>
        <w:pStyle w:val="ListParagraph"/>
        <w:numPr>
          <w:ilvl w:val="0"/>
          <w:numId w:val="2"/>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 xml:space="preserve">Primary or possible diagnosis of any infection, heart failure exacerbation, COPD exacerbation, asthma exacerbation, chronic kidney disease requiring diuresis, diabetes and its complications, gout exacerbation, hypertensive urgency, previously diagnosed atrial fibrillation with rapid ventricular response, anticoagulation needs (e.g., venous thromboembolism), or a patient at the end of life who desires only medical management. </w:t>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Exclusion criteria</w:t>
      </w:r>
    </w:p>
    <w:p w:rsidR="00313509" w:rsidRPr="000A35AA" w:rsidRDefault="00313509" w:rsidP="00313509">
      <w:p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Missing data.</w:t>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Social</w:t>
      </w:r>
    </w:p>
    <w:p w:rsidR="00313509" w:rsidRPr="000A35AA" w:rsidRDefault="00313509" w:rsidP="00313509">
      <w:pPr>
        <w:pStyle w:val="ListParagraph"/>
        <w:numPr>
          <w:ilvl w:val="0"/>
          <w:numId w:val="3"/>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Not domiciled</w:t>
      </w:r>
    </w:p>
    <w:p w:rsidR="00313509" w:rsidRPr="000A35AA" w:rsidRDefault="00313509" w:rsidP="00313509">
      <w:pPr>
        <w:pStyle w:val="ListParagraph"/>
        <w:numPr>
          <w:ilvl w:val="0"/>
          <w:numId w:val="3"/>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No working heating (October–April), no working air-conditioning if forecast &gt;27 °C (June–September), or no running water</w:t>
      </w:r>
    </w:p>
    <w:p w:rsidR="00313509" w:rsidRPr="000A35AA" w:rsidRDefault="00313509" w:rsidP="00313509">
      <w:pPr>
        <w:pStyle w:val="ListParagraph"/>
        <w:numPr>
          <w:ilvl w:val="0"/>
          <w:numId w:val="3"/>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Receiving methadone requiring daily pickup of medication</w:t>
      </w:r>
    </w:p>
    <w:p w:rsidR="00313509" w:rsidRPr="000A35AA" w:rsidRDefault="00313509" w:rsidP="00313509">
      <w:pPr>
        <w:pStyle w:val="ListParagraph"/>
        <w:numPr>
          <w:ilvl w:val="0"/>
          <w:numId w:val="3"/>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In police custody</w:t>
      </w:r>
    </w:p>
    <w:p w:rsidR="00313509" w:rsidRPr="000A35AA" w:rsidRDefault="00313509" w:rsidP="00313509">
      <w:pPr>
        <w:pStyle w:val="ListParagraph"/>
        <w:numPr>
          <w:ilvl w:val="0"/>
          <w:numId w:val="3"/>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lastRenderedPageBreak/>
        <w:t>Resides in a facility with on-site medical care (e.g., skilled-nursing facility)</w:t>
      </w:r>
    </w:p>
    <w:p w:rsidR="00313509" w:rsidRPr="000A35AA" w:rsidRDefault="00313509" w:rsidP="00313509">
      <w:pPr>
        <w:pStyle w:val="ListParagraph"/>
        <w:numPr>
          <w:ilvl w:val="0"/>
          <w:numId w:val="3"/>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 xml:space="preserve">Domestic violence screen positive </w:t>
      </w:r>
      <w:r w:rsidRPr="000A35AA">
        <w:rPr>
          <w:rFonts w:asciiTheme="majorBidi" w:hAnsiTheme="majorBidi" w:cstheme="majorBidi"/>
          <w:sz w:val="24"/>
          <w:szCs w:val="24"/>
        </w:rPr>
        <w:fldChar w:fldCharType="begin"/>
      </w:r>
      <w:r w:rsidRPr="000A35AA">
        <w:rPr>
          <w:rFonts w:asciiTheme="majorBidi" w:hAnsiTheme="majorBidi" w:cstheme="majorBidi"/>
          <w:sz w:val="24"/>
          <w:szCs w:val="24"/>
        </w:rPr>
        <w:instrText xml:space="preserve"> ADDIN ZOTERO_ITEM CSL_CITATION {"citationID":"J6y2mcv9","properties":{"formattedCitation":"(Rabin et al., 2009)","plainCitation":"(Rabin et al., 2009)","noteIndex":0},"citationItems":[{"id":"QSpNMjrq/67Oppl2B","uris":["http://zotero.org/users/local/7aRhqgax/items/NYSSN52G"],"uri":["http://zotero.org/users/local/7aRhqgax/items/NYSSN52G"],"itemData":{"id":259,"type":"article-journal","abstract":"CONTEXT: Intimate partner violence (IPV) screening remains controversial. Major medical organizations mandate screening, whereas the U.S. Preventive Services Task Force (USPSTF) cautions that there is insufficient evidence to recommend for or against screening. An effective IPV screening program must include a screening tool with sound psychometric properties. A systematic review was conducted to summarize IPV screening tools tested in healthcare settings, providing a discussion of existing psychometric data and an assessment of study quality.\nEVIDENCE ACQUISITION: From the end of 2007 through 2008, three published literature databases were searched from their start through December 2007; this search was augmented with a bibliography search and expert consultation. Eligible studies included English-language publications describing the psychometric testing of an IPV screening tool in a healthcare setting. Study quality was judged using USPSTF criteria for diagnostic studies.\nEVIDENCE SYNTHESIS: Of 210 potentially eligible studies, 33 met inclusion criteria. The most studied tools were the Hurt, Insult, Threaten, and Scream (HITS, sensitivity 30%-100%, specificity 86%-99%); the Woman Abuse Screening Tool (WAST, sensitivity 47%, specificity 96%); the Partner Violence Screen (PVS, sensitivity 35%-71%, specificity 80%-94%); and the Abuse Assessment Screen (AAS, sensitivity 93%-94%, specificity 55%-99%). Internal reliability (HITS, WAST); test-retest reliability (AAS); concurrent validity (HITS, WAST); discriminant validity (WAST); and predictive validity (PVS) were also assessed. Overall study quality was fair to good.\nCONCLUSIONS: No single IPV screening tool had well-established psychometric properties. Even the most common tools were evaluated in only a small number of studies. Sensitivities and specificities varied widely within and between screening tools. Further testing and validation are critically needed.","container-title":"American Journal of Preventive Medicine","DOI":"10.1016/j.amepre.2009.01.024","ISSN":"1873-2607","issue":"5","journalAbbreviation":"Am J Prev Med","language":"eng","note":"PMID: 19362697\nPMCID: PMC2688958","page":"439-445.e4","source":"PubMed","title":"Intimate partner violence screening tools: a systematic review","title-short":"Intimate partner violence screening tools","volume":"36","author":[{"family":"Rabin","given":"Rebecca F."},{"family":"Jennings","given":"Jacky M."},{"family":"Campbell","given":"Jacquelyn C."},{"family":"Bair-Merritt","given":"Megan H."}],"issued":{"date-parts":[["2009",5]]}}}],"schema":"https://github.com/citation-style-language/schema/raw/master/csl-citation.json"} </w:instrText>
      </w:r>
      <w:r w:rsidRPr="000A35AA">
        <w:rPr>
          <w:rFonts w:asciiTheme="majorBidi" w:hAnsiTheme="majorBidi" w:cstheme="majorBidi"/>
          <w:sz w:val="24"/>
          <w:szCs w:val="24"/>
        </w:rPr>
        <w:fldChar w:fldCharType="separate"/>
      </w:r>
      <w:r w:rsidRPr="000A35AA">
        <w:rPr>
          <w:rFonts w:asciiTheme="majorBidi" w:hAnsiTheme="majorBidi" w:cstheme="majorBidi"/>
          <w:sz w:val="24"/>
          <w:szCs w:val="24"/>
        </w:rPr>
        <w:t>(Rabin et al., 2009)</w:t>
      </w:r>
      <w:r w:rsidRPr="000A35AA">
        <w:rPr>
          <w:rFonts w:asciiTheme="majorBidi" w:hAnsiTheme="majorBidi" w:cstheme="majorBidi"/>
          <w:sz w:val="24"/>
          <w:szCs w:val="24"/>
        </w:rPr>
        <w:fldChar w:fldCharType="end"/>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Clinical</w:t>
      </w:r>
    </w:p>
    <w:p w:rsidR="00313509" w:rsidRPr="000A35AA" w:rsidRDefault="00313509" w:rsidP="00313509">
      <w:pPr>
        <w:pStyle w:val="ListParagraph"/>
        <w:numPr>
          <w:ilvl w:val="0"/>
          <w:numId w:val="4"/>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Acute delirium, as determined by the Confusion Assessment Method</w:t>
      </w:r>
    </w:p>
    <w:p w:rsidR="00313509" w:rsidRPr="000A35AA" w:rsidRDefault="00313509" w:rsidP="00313509">
      <w:pPr>
        <w:pStyle w:val="ListParagraph"/>
        <w:numPr>
          <w:ilvl w:val="0"/>
          <w:numId w:val="4"/>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Cannot establish peripheral access in ED</w:t>
      </w:r>
    </w:p>
    <w:p w:rsidR="00313509" w:rsidRPr="000A35AA" w:rsidRDefault="00313509" w:rsidP="00313509">
      <w:pPr>
        <w:pStyle w:val="ListParagraph"/>
        <w:numPr>
          <w:ilvl w:val="0"/>
          <w:numId w:val="4"/>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Secondary condition: active nonmelanoma/prostate cancer, end-stage renal disease, acute myocardial infarction, acute cerebral vascular accident, or acute hemorrhage</w:t>
      </w:r>
    </w:p>
    <w:p w:rsidR="00313509" w:rsidRPr="000A35AA" w:rsidRDefault="00313509" w:rsidP="00313509">
      <w:pPr>
        <w:pStyle w:val="ListParagraph"/>
        <w:numPr>
          <w:ilvl w:val="0"/>
          <w:numId w:val="4"/>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Primary diagnosis requires multiple or routine administrations of controlled substances for pain control</w:t>
      </w:r>
    </w:p>
    <w:p w:rsidR="00313509" w:rsidRPr="000A35AA" w:rsidRDefault="00313509" w:rsidP="00313509">
      <w:pPr>
        <w:pStyle w:val="ListParagraph"/>
        <w:numPr>
          <w:ilvl w:val="0"/>
          <w:numId w:val="4"/>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Cannot independently ambulate to bedside commode</w:t>
      </w:r>
    </w:p>
    <w:p w:rsidR="00313509" w:rsidRPr="000A35AA" w:rsidRDefault="00313509" w:rsidP="00313509">
      <w:pPr>
        <w:pStyle w:val="ListParagraph"/>
        <w:numPr>
          <w:ilvl w:val="0"/>
          <w:numId w:val="4"/>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As deemed by on-call physician, patient likely to require any of the following procedures: computed tomography, magnetic resonance imaging, endoscopic procedure, blood transfusion, cardiac stress test, or surgery</w:t>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For pneumonia:</w:t>
      </w:r>
    </w:p>
    <w:p w:rsidR="00313509" w:rsidRPr="000A35AA" w:rsidRDefault="00313509" w:rsidP="00313509">
      <w:pPr>
        <w:pStyle w:val="ListParagraph"/>
        <w:numPr>
          <w:ilvl w:val="0"/>
          <w:numId w:val="1"/>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 xml:space="preserve">Most recent CURB-65 score &gt;3 </w:t>
      </w:r>
      <w:r w:rsidRPr="000A35AA">
        <w:rPr>
          <w:rFonts w:asciiTheme="majorBidi" w:hAnsiTheme="majorBidi" w:cstheme="majorBidi"/>
          <w:sz w:val="24"/>
          <w:szCs w:val="24"/>
        </w:rPr>
        <w:fldChar w:fldCharType="begin"/>
      </w:r>
      <w:r w:rsidRPr="000A35AA">
        <w:rPr>
          <w:rFonts w:asciiTheme="majorBidi" w:hAnsiTheme="majorBidi" w:cstheme="majorBidi"/>
          <w:sz w:val="24"/>
          <w:szCs w:val="24"/>
        </w:rPr>
        <w:instrText xml:space="preserve"> ADDIN ZOTERO_ITEM CSL_CITATION {"citationID":"KfFTY5VX","properties":{"formattedCitation":"(Chalmers et al., 2011)","plainCitation":"(Chalmers et al., 2011)","noteIndex":0},"citationItems":[{"id":"QSpNMjrq/bK3EvfXz","uris":["http://zotero.org/users/local/7aRhqgax/items/3E9HPBEB"],"uri":["http://zotero.org/users/local/7aRhqgax/items/3E9HPBEB"],"itemData":{"id":139,"type":"article-journal","container-title":"European Respiratory Journal","DOI":"10.1183/09031936.00065610","ISSN":"0903-1936, 1399-3003","issue":"4","language":"en","page":"858-864","source":"Crossref","title":"Increasing outpatient treatment of mild community-acquired pneumonia: systematic review and meta-analysis","title-short":"Increasing outpatient treatment of mild community-acquired pneumonia","volume":"37","author":[{"family":"Chalmers","given":"J. D."},{"family":"Akram","given":"A. R."},{"family":"Hill","given":"A. T."}],"issued":{"date-parts":[["2011",4,1]]}}}],"schema":"https://github.com/citation-style-language/schema/raw/master/csl-citation.json"} </w:instrText>
      </w:r>
      <w:r w:rsidRPr="000A35AA">
        <w:rPr>
          <w:rFonts w:asciiTheme="majorBidi" w:hAnsiTheme="majorBidi" w:cstheme="majorBidi"/>
          <w:sz w:val="24"/>
          <w:szCs w:val="24"/>
        </w:rPr>
        <w:fldChar w:fldCharType="separate"/>
      </w:r>
      <w:r w:rsidRPr="000A35AA">
        <w:rPr>
          <w:rFonts w:asciiTheme="majorBidi" w:hAnsiTheme="majorBidi" w:cstheme="majorBidi"/>
          <w:sz w:val="24"/>
          <w:szCs w:val="24"/>
        </w:rPr>
        <w:t>(Chalmers et al., 2011)</w:t>
      </w:r>
      <w:r w:rsidRPr="000A35AA">
        <w:rPr>
          <w:rFonts w:asciiTheme="majorBidi" w:hAnsiTheme="majorBidi" w:cstheme="majorBidi"/>
          <w:sz w:val="24"/>
          <w:szCs w:val="24"/>
        </w:rPr>
        <w:fldChar w:fldCharType="end"/>
      </w:r>
    </w:p>
    <w:p w:rsidR="00313509" w:rsidRPr="000A35AA" w:rsidRDefault="00313509" w:rsidP="00313509">
      <w:pPr>
        <w:pStyle w:val="ListParagraph"/>
        <w:numPr>
          <w:ilvl w:val="0"/>
          <w:numId w:val="1"/>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 xml:space="preserve">Most recent SMRT-CO score &gt;2 </w:t>
      </w:r>
      <w:r w:rsidRPr="000A35AA">
        <w:rPr>
          <w:rFonts w:asciiTheme="majorBidi" w:hAnsiTheme="majorBidi" w:cstheme="majorBidi"/>
          <w:sz w:val="24"/>
          <w:szCs w:val="24"/>
        </w:rPr>
        <w:fldChar w:fldCharType="begin"/>
      </w:r>
      <w:r w:rsidRPr="000A35AA">
        <w:rPr>
          <w:rFonts w:asciiTheme="majorBidi" w:hAnsiTheme="majorBidi" w:cstheme="majorBidi"/>
          <w:sz w:val="24"/>
          <w:szCs w:val="24"/>
        </w:rPr>
        <w:instrText xml:space="preserve"> ADDIN ZOTERO_ITEM CSL_CITATION {"citationID":"Axg2Qcls","properties":{"formattedCitation":"(Charles et al., 2008)","plainCitation":"(Charles et al., 2008)","noteIndex":0},"citationItems":[{"id":"QSpNMjrq/W7sxN6V0","uris":["http://zotero.org/users/local/7aRhqgax/items/8JPD4W6J"],"uri":["http://zotero.org/users/local/7aRhqgax/items/8JPD4W6J"],"itemData":{"id":265,"type":"article-journal","abstract":"BACKGROUND: Existing severity assessment tools, such as the pneumonia severity index (PSI) and CURB-65 (tool based on confusion, urea level, respiratory rate, blood pressure, and age &gt;or=65 years), predict 30-day mortality in community-acquired pneumonia (CAP) and have limited ability to predict which patients will require intensive respiratory or vasopressor support (IRVS).\nMETHODS: The Australian CAP Study (ACAPS) was a prospective study of 882 episodes in which each patient had a detailed assessment of severity features, etiology, and treatment outcomes. Multivariate logistic regression was performed to identify features at initial assessment that were associated with receipt of IRVS. These results were converted into a simple points-based severity tool that was validated in 5 external databases, totaling 7464 patients.\nRESULTS: In ACAPS, 10.3% of patients received IRVS, and the 30-day mortality rate was 5.7%. The features statistically significantly associated with receipt of IRVS were low systolic blood pressure (2 points), multilobar chest radiography involvement (1 point), low albumin level (1 point), high respiratory rate (1 point), tachycardia (1 point), confusion (1 point), poor oxygenation (2 points), and low arterial pH (2 points): SMART-COP. A SMART-COP score of &gt;or=3 points identified 92% of patients who received IRVS, including 84% of patients who did not need immediate admission to the intensive care unit. Accuracy was also high in the 5 validation databases. Sensitivities of PSI and CURB-65 for identifying the need for IRVS were 74% and 39%, respectively.\nCONCLUSIONS: SMART-COP is a simple, practical clinical tool for accurately predicting the need for IRVS that is likely to assist clinicians in determining CAP severity.","container-title":"Clinical Infectious Diseases: An Official Publication of the Infectious Diseases Society of America","DOI":"10.1086/589754","ISSN":"1537-6591","issue":"3","journalAbbreviation":"Clin Infect Dis","language":"eng","note":"PMID: 18558884","page":"375-384","source":"PubMed","title":"SMART-COP: a tool for predicting the need for intensive respiratory or vasopressor support in community-acquired pneumonia","title-short":"SMART-COP","volume":"47","author":[{"family":"Charles","given":"Patrick G. P."},{"family":"Wolfe","given":"Rory"},{"family":"Whitby","given":"Michael"},{"family":"Fine","given":"Michael J."},{"family":"Fuller","given":"Andrew J."},{"family":"Stirling","given":"Robert"},{"family":"Wright","given":"Alistair A."},{"family":"Ramirez","given":"Julio A."},{"family":"Christiansen","given":"Keryn J."},{"family":"Waterer","given":"Grant W."},{"family":"Pierce","given":"Robert J."},{"family":"Armstrong","given":"John G."},{"family":"Korman","given":"Tony M."},{"family":"Holmes","given":"Peter"},{"family":"Obrosky","given":"D. Scott"},{"family":"Peyrani","given":"Paula"},{"family":"Johnson","given":"Barbara"},{"family":"Hooy","given":"Michelle"},{"literal":"Australian Community-Acquired Pneumonia Study Collaboration"},{"family":"Grayson","given":"M. Lindsay"}],"issued":{"date-parts":[["2008",8,1]]}}}],"schema":"https://github.com/citation-style-language/schema/raw/master/csl-citation.json"} </w:instrText>
      </w:r>
      <w:r w:rsidRPr="000A35AA">
        <w:rPr>
          <w:rFonts w:asciiTheme="majorBidi" w:hAnsiTheme="majorBidi" w:cstheme="majorBidi"/>
          <w:sz w:val="24"/>
          <w:szCs w:val="24"/>
        </w:rPr>
        <w:fldChar w:fldCharType="separate"/>
      </w:r>
      <w:r w:rsidRPr="000A35AA">
        <w:rPr>
          <w:rFonts w:asciiTheme="majorBidi" w:hAnsiTheme="majorBidi" w:cstheme="majorBidi"/>
          <w:sz w:val="24"/>
          <w:szCs w:val="24"/>
        </w:rPr>
        <w:t>(Charles et al., 2008)</w:t>
      </w:r>
      <w:r w:rsidRPr="000A35AA">
        <w:rPr>
          <w:rFonts w:asciiTheme="majorBidi" w:hAnsiTheme="majorBidi" w:cstheme="majorBidi"/>
          <w:sz w:val="24"/>
          <w:szCs w:val="24"/>
        </w:rPr>
        <w:fldChar w:fldCharType="end"/>
      </w:r>
    </w:p>
    <w:p w:rsidR="00313509" w:rsidRPr="000A35AA" w:rsidRDefault="00313509" w:rsidP="00313509">
      <w:pPr>
        <w:pStyle w:val="ListParagraph"/>
        <w:numPr>
          <w:ilvl w:val="0"/>
          <w:numId w:val="1"/>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Absence of clear inﬁltrate on imaging</w:t>
      </w:r>
    </w:p>
    <w:p w:rsidR="00313509" w:rsidRPr="000A35AA" w:rsidRDefault="00313509" w:rsidP="00313509">
      <w:pPr>
        <w:pStyle w:val="ListParagraph"/>
        <w:numPr>
          <w:ilvl w:val="0"/>
          <w:numId w:val="1"/>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Cavitary lesion on imaging</w:t>
      </w:r>
    </w:p>
    <w:p w:rsidR="00313509" w:rsidRPr="000A35AA" w:rsidRDefault="00313509" w:rsidP="00313509">
      <w:pPr>
        <w:pStyle w:val="ListParagraph"/>
        <w:numPr>
          <w:ilvl w:val="0"/>
          <w:numId w:val="1"/>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Pulmonary effusion of unknown etiology</w:t>
      </w:r>
    </w:p>
    <w:p w:rsidR="00313509" w:rsidRPr="000A35AA" w:rsidRDefault="00313509" w:rsidP="00313509">
      <w:pPr>
        <w:pStyle w:val="ListParagraph"/>
        <w:numPr>
          <w:ilvl w:val="0"/>
          <w:numId w:val="1"/>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lastRenderedPageBreak/>
        <w:t>Oxygen saturation &lt;90% despite5Lof oxygen</w:t>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For heart failure:</w:t>
      </w:r>
    </w:p>
    <w:p w:rsidR="00313509" w:rsidRPr="000A35AA" w:rsidRDefault="00313509" w:rsidP="00313509">
      <w:pPr>
        <w:pStyle w:val="ListParagraph"/>
        <w:numPr>
          <w:ilvl w:val="0"/>
          <w:numId w:val="5"/>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Implanted left ventricular assist device</w:t>
      </w:r>
    </w:p>
    <w:p w:rsidR="00313509" w:rsidRPr="000A35AA" w:rsidRDefault="00313509" w:rsidP="00313509">
      <w:pPr>
        <w:pStyle w:val="ListParagraph"/>
        <w:numPr>
          <w:ilvl w:val="0"/>
          <w:numId w:val="5"/>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 xml:space="preserve">GWTG-HF </w:t>
      </w:r>
      <w:r w:rsidRPr="000A35AA">
        <w:rPr>
          <w:rFonts w:asciiTheme="majorBidi" w:hAnsiTheme="majorBidi" w:cstheme="majorBidi"/>
          <w:sz w:val="24"/>
          <w:szCs w:val="24"/>
        </w:rPr>
        <w:fldChar w:fldCharType="begin"/>
      </w:r>
      <w:r w:rsidRPr="000A35AA">
        <w:rPr>
          <w:rFonts w:asciiTheme="majorBidi" w:hAnsiTheme="majorBidi" w:cstheme="majorBidi"/>
          <w:sz w:val="24"/>
          <w:szCs w:val="24"/>
        </w:rPr>
        <w:instrText xml:space="preserve"> ADDIN ZOTERO_ITEM CSL_CITATION {"citationID":"i6GG8l27","properties":{"formattedCitation":"(Peterson et al., 2010)","plainCitation":"(Peterson et al., 2010)","noteIndex":0},"citationItems":[{"id":"QSpNMjrq/ZfifICIh","uris":["http://zotero.org/users/local/7aRhqgax/items/VZSF4RGE"],"uri":["http://zotero.org/users/local/7aRhqgax/items/VZSF4RGE"],"itemData":{"id":268,"type":"article-journal","abstract":"BACKGROUND: Effective risk stratification can inform clinical decision-making. Our objective was to derive and validate a risk score for in-hospital mortality in patients hospitalized with heart failure using American Heart Association Get With the Guidelines-Heart Failure (GWTG-HF) program data.\nMETHODS AND RESULTS: A cohort of 39 783 patients admitted January 1, 2005, to June 26, 2007, to 198 hospitals participating in GWTG-HF was divided into derivation (70%, n=27 850) and validation (30%, n=11 933) samples. Multivariable logistic regression identified predictors of in-hospital mortality in the derivation sample from candidate demographic, medical history, and laboratory variables collected at admission. In-hospital mortality rate was 2.86% (n=1139). Age, systolic blood pressure, blood urea nitrogen, heart rate, sodium, chronic obstructive pulmonary disease, and nonblack race were predictive of in-hospital mortality. The model had good discrimination in the derivation and validation datasets (c-index, 0.75 in each). Effect estimates from the entire sample were used to generate a mortality risk score. The predicted probability of in-hospital mortality varied more than 24-fold across deciles (range, 0.4% to 9.7%) and corresponded with observed mortality rates. The model had the same operating characteristics among those with preserved and impaired left ventricular systolic function. The morality risk score can be calculated on the Web-based calculator available with the GWTG-HF data entry tool.\nCONCLUSIONS: The GWTG-HF risk score uses commonly available clinical variables to predict in-hospital mortality and provides clinicians with a validated tool for risk stratification that is applicable to a broad spectrum of patients with heart failure, including those with preserved left ventricular systolic function.","container-title":"Circulation. Cardiovascular Quality and Outcomes","DOI":"10.1161/CIRCOUTCOMES.109.854877","ISSN":"1941-7705","issue":"1","journalAbbreviation":"Circ Cardiovasc Qual Outcomes","language":"eng","note":"PMID: 20123668","page":"25-32","source":"PubMed","title":"A validated risk score for in-hospital mortality in patients with heart failure from the American Heart Association get with the guidelines program","volume":"3","author":[{"family":"Peterson","given":"Pamela N."},{"family":"Rumsfeld","given":"John S."},{"family":"Liang","given":"Li"},{"family":"Albert","given":"Nancy M."},{"family":"Hernandez","given":"Adrian F."},{"family":"Peterson","given":"Eric D."},{"family":"Fonarow","given":"Gregg C."},{"family":"Masoudi","given":"Frederick A."},{"literal":"American Heart Association Get With the Guidelines-Heart Failure Program"}],"issued":{"date-parts":[["2010",1]]}}}],"schema":"https://github.com/citation-style-language/schema/raw/master/csl-citation.json"} </w:instrText>
      </w:r>
      <w:r w:rsidRPr="000A35AA">
        <w:rPr>
          <w:rFonts w:asciiTheme="majorBidi" w:hAnsiTheme="majorBidi" w:cstheme="majorBidi"/>
          <w:sz w:val="24"/>
          <w:szCs w:val="24"/>
        </w:rPr>
        <w:fldChar w:fldCharType="separate"/>
      </w:r>
      <w:r w:rsidRPr="000A35AA">
        <w:rPr>
          <w:rFonts w:asciiTheme="majorBidi" w:hAnsiTheme="majorBidi" w:cstheme="majorBidi"/>
          <w:sz w:val="24"/>
          <w:szCs w:val="24"/>
        </w:rPr>
        <w:t>(Peterson et al., 2010)</w:t>
      </w:r>
      <w:r w:rsidRPr="000A35AA">
        <w:rPr>
          <w:rFonts w:asciiTheme="majorBidi" w:hAnsiTheme="majorBidi" w:cstheme="majorBidi"/>
          <w:sz w:val="24"/>
          <w:szCs w:val="24"/>
        </w:rPr>
        <w:fldChar w:fldCharType="end"/>
      </w:r>
      <w:r w:rsidRPr="000A35AA">
        <w:rPr>
          <w:rFonts w:asciiTheme="majorBidi" w:hAnsiTheme="majorBidi" w:cstheme="majorBidi"/>
          <w:sz w:val="24"/>
          <w:szCs w:val="24"/>
        </w:rPr>
        <w:t xml:space="preserve"> (&gt;10% in-hospital mortality) or ADHERE (43) (high risk or intermediate risk 1)</w:t>
      </w:r>
    </w:p>
    <w:p w:rsidR="00313509" w:rsidRPr="000A35AA" w:rsidRDefault="00313509" w:rsidP="00313509">
      <w:pPr>
        <w:pStyle w:val="ListParagraph"/>
        <w:numPr>
          <w:ilvl w:val="0"/>
          <w:numId w:val="5"/>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Severe pulmonary hypertension</w:t>
      </w:r>
    </w:p>
    <w:p w:rsidR="00313509" w:rsidRPr="000A35AA" w:rsidRDefault="00313509" w:rsidP="00313509">
      <w:pPr>
        <w:bidi w:val="0"/>
        <w:spacing w:after="0" w:line="480" w:lineRule="auto"/>
        <w:rPr>
          <w:rFonts w:asciiTheme="majorBidi" w:hAnsiTheme="majorBidi" w:cstheme="majorBidi"/>
          <w:sz w:val="24"/>
          <w:szCs w:val="24"/>
        </w:rPr>
      </w:pPr>
      <w:r w:rsidRPr="000A35AA">
        <w:rPr>
          <w:rFonts w:asciiTheme="majorBidi" w:hAnsiTheme="majorBidi" w:cstheme="majorBidi"/>
          <w:b/>
          <w:bCs/>
          <w:sz w:val="24"/>
          <w:szCs w:val="24"/>
        </w:rPr>
        <w:t>For complicated urinary tract infection</w:t>
      </w:r>
      <w:r w:rsidRPr="000A35AA">
        <w:rPr>
          <w:rFonts w:asciiTheme="majorBidi" w:hAnsiTheme="majorBidi" w:cstheme="majorBidi"/>
          <w:sz w:val="24"/>
          <w:szCs w:val="24"/>
        </w:rPr>
        <w:t>:</w:t>
      </w:r>
    </w:p>
    <w:p w:rsidR="00313509" w:rsidRPr="000A35AA" w:rsidRDefault="00313509" w:rsidP="00313509">
      <w:pPr>
        <w:pStyle w:val="ListParagraph"/>
        <w:numPr>
          <w:ilvl w:val="0"/>
          <w:numId w:val="5"/>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Absence of pyuria</w:t>
      </w:r>
    </w:p>
    <w:p w:rsidR="00313509" w:rsidRPr="000A35AA" w:rsidRDefault="00313509" w:rsidP="00313509">
      <w:pPr>
        <w:pStyle w:val="ListParagraph"/>
        <w:numPr>
          <w:ilvl w:val="0"/>
          <w:numId w:val="5"/>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 xml:space="preserve">Most recent qSOFA score &gt;1 </w:t>
      </w:r>
      <w:r w:rsidRPr="000A35AA">
        <w:rPr>
          <w:rFonts w:asciiTheme="majorBidi" w:hAnsiTheme="majorBidi" w:cstheme="majorBidi"/>
          <w:sz w:val="24"/>
          <w:szCs w:val="24"/>
        </w:rPr>
        <w:fldChar w:fldCharType="begin"/>
      </w:r>
      <w:r w:rsidRPr="000A35AA">
        <w:rPr>
          <w:rFonts w:asciiTheme="majorBidi" w:hAnsiTheme="majorBidi" w:cstheme="majorBidi"/>
          <w:sz w:val="24"/>
          <w:szCs w:val="24"/>
        </w:rPr>
        <w:instrText xml:space="preserve"> ADDIN ZOTERO_ITEM CSL_CITATION {"citationID":"YdO18jxO","properties":{"formattedCitation":"(Singer et al., 2016)","plainCitation":"(Singer et al., 2016)","noteIndex":0},"citationItems":[{"id":"QSpNMjrq/7UXu44Xq","uris":["http://zotero.org/users/local/7aRhqgax/items/SBYWNZ83"],"uri":["http://zotero.org/users/local/7aRhqgax/items/SBYWNZ83"],"itemData":{"id":271,"type":"article-journal","abstract":"IMPORTANCE: Definitions of sepsis and septic shock were last revised in 2001. Considerable advances have since been made into the pathobiology (changes in organ function, morphology, cell biology, biochemistry, immunology, and circulation), management, and epidemiology of sepsis, suggesting the need for reexamination.\nOBJECTIVE: To evaluate and, as needed, update definitions for sepsis and septic shock.\nPROCESS: A task force (n = 19) with expertise in sepsis pathobiology, clinical trials, and epidemiology was convened by the Society of Critical Care Medicine and the European Society of Intensive Care Medicine. Definitions and clinical criteria were generated through meetings, Delphi processes, analysis of electronic health record databases, and voting, followed by circulation to international professional societies, requesting peer review and endorsement (by 31 societies listed in the Acknowledgment).\nKEY FINDINGS FROM EVIDENCE SYNTHESIS: Limitations of previous definitions included an excessive focus on inflammation, the misleading model that sepsis follows a continuum through severe sepsis to shock, and inadequate specificity and sensitivity of the systemic inflammatory response syndrome (SIRS) criteria. Multiple definitions and terminologies are currently in use for sepsis, septic shock, and organ dysfunction, leading to discrepancies in reported incidence and observed mortality. The task force concluded the term severe sepsis was redundant.\nRECOMMENDATIONS: 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 mm Hg or greater and serum lactate level greater than 2 mmol/L (&gt;18 mg/dL) in the absence of hypovolemia. This combination is associated with hospital mortality rates greater than 40%. In out-of-hospital, emergency department, or general hospital ward settings, adult patients with suspected infection can be rapidly identified as being more likely to have poor outcomes typical of sepsis if they have at least 2 of the following clinical criteria that together constitute a new bedside clinical score termed quickSOFA (qSOFA): respiratory rate of 22/min or greater, altered mentation, or systolic blood pressure of 100 mm Hg or less.\nCONCLUSIONS AND RELEVANCE: These updated definitions and clinical criteria should replace previous definitions, offer greater consistency for epidemiologic studies and clinical trials, and facilitate earlier recognition and more timely management of patients with sepsis or at risk of developing sepsis.","container-title":"JAMA","DOI":"10.1001/jama.2016.0287","ISSN":"1538-3598","issue":"8","journalAbbreviation":"JAMA","language":"eng","note":"PMID: 26903338\nPMCID: PMC4968574","page":"801-810","source":"PubMed","title":"The Third International Consensus Definitions for Sepsis and Septic Shock (Sepsis-3)","volume":"315","author":[{"family":"Singer","given":"Mervyn"},{"family":"Deutschman","given":"Clifford S."},{"family":"Seymour","given":"Christopher Warren"},{"family":"Shankar-Hari","given":"Manu"},{"family":"Annane","given":"Djillali"},{"family":"Bauer","given":"Michael"},{"family":"Bellomo","given":"Rinaldo"},{"family":"Bernard","given":"Gordon R."},{"family":"Chiche","given":"Jean-Daniel"},{"family":"Coopersmith","given":"Craig M."},{"family":"Hotchkiss","given":"Richard S."},{"family":"Levy","given":"Mitchell M."},{"family":"Marshall","given":"John C."},{"family":"Martin","given":"Greg S."},{"family":"Opal","given":"Steven M."},{"family":"Rubenfeld","given":"Gordon D."},{"family":"Poll","given":"Tom","non-dropping-particle":"van der"},{"family":"Vincent","given":"Jean-Louis"},{"family":"Angus","given":"Derek C."}],"issued":{"date-parts":[["2016",2,23]]}}}],"schema":"https://github.com/citation-style-language/schema/raw/master/csl-citation.json"} </w:instrText>
      </w:r>
      <w:r w:rsidRPr="000A35AA">
        <w:rPr>
          <w:rFonts w:asciiTheme="majorBidi" w:hAnsiTheme="majorBidi" w:cstheme="majorBidi"/>
          <w:sz w:val="24"/>
          <w:szCs w:val="24"/>
        </w:rPr>
        <w:fldChar w:fldCharType="separate"/>
      </w:r>
      <w:r w:rsidRPr="000A35AA">
        <w:rPr>
          <w:rFonts w:asciiTheme="majorBidi" w:hAnsiTheme="majorBidi" w:cstheme="majorBidi"/>
          <w:sz w:val="24"/>
          <w:szCs w:val="24"/>
        </w:rPr>
        <w:t>(Singer et al., 2016)</w:t>
      </w:r>
      <w:r w:rsidRPr="000A35AA">
        <w:rPr>
          <w:rFonts w:asciiTheme="majorBidi" w:hAnsiTheme="majorBidi" w:cstheme="majorBidi"/>
          <w:sz w:val="24"/>
          <w:szCs w:val="24"/>
        </w:rPr>
        <w:fldChar w:fldCharType="end"/>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For other infection:</w:t>
      </w:r>
    </w:p>
    <w:p w:rsidR="00313509" w:rsidRPr="000A35AA" w:rsidRDefault="00313509" w:rsidP="00313509">
      <w:pPr>
        <w:pStyle w:val="ListParagraph"/>
        <w:numPr>
          <w:ilvl w:val="0"/>
          <w:numId w:val="6"/>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 xml:space="preserve">Most recent qSOFA score &gt;1 </w:t>
      </w:r>
      <w:r w:rsidRPr="000A35AA">
        <w:rPr>
          <w:rFonts w:asciiTheme="majorBidi" w:hAnsiTheme="majorBidi" w:cstheme="majorBidi"/>
          <w:sz w:val="24"/>
          <w:szCs w:val="24"/>
        </w:rPr>
        <w:fldChar w:fldCharType="begin"/>
      </w:r>
      <w:r w:rsidRPr="000A35AA">
        <w:rPr>
          <w:rFonts w:asciiTheme="majorBidi" w:hAnsiTheme="majorBidi" w:cstheme="majorBidi"/>
          <w:sz w:val="24"/>
          <w:szCs w:val="24"/>
        </w:rPr>
        <w:instrText xml:space="preserve"> ADDIN ZOTERO_ITEM CSL_CITATION {"citationID":"iLl3UEEr","properties":{"formattedCitation":"(Singer et al., 2016)","plainCitation":"(Singer et al., 2016)","noteIndex":0},"citationItems":[{"id":"QSpNMjrq/7UXu44Xq","uris":["http://zotero.org/users/local/7aRhqgax/items/SBYWNZ83"],"uri":["http://zotero.org/users/local/7aRhqgax/items/SBYWNZ83"],"itemData":{"id":271,"type":"article-journal","abstract":"IMPORTANCE: Definitions of sepsis and septic shock were last revised in 2001. Considerable advances have since been made into the pathobiology (changes in organ function, morphology, cell biology, biochemistry, immunology, and circulation), management, and epidemiology of sepsis, suggesting the need for reexamination.\nOBJECTIVE: To evaluate and, as needed, update definitions for sepsis and septic shock.\nPROCESS: A task force (n = 19) with expertise in sepsis pathobiology, clinical trials, and epidemiology was convened by the Society of Critical Care Medicine and the European Society of Intensive Care Medicine. Definitions and clinical criteria were generated through meetings, Delphi processes, analysis of electronic health record databases, and voting, followed by circulation to international professional societies, requesting peer review and endorsement (by 31 societies listed in the Acknowledgment).\nKEY FINDINGS FROM EVIDENCE SYNTHESIS: Limitations of previous definitions included an excessive focus on inflammation, the misleading model that sepsis follows a continuum through severe sepsis to shock, and inadequate specificity and sensitivity of the systemic inflammatory response syndrome (SIRS) criteria. Multiple definitions and terminologies are currently in use for sepsis, septic shock, and organ dysfunction, leading to discrepancies in reported incidence and observed mortality. The task force concluded the term severe sepsis was redundant.\nRECOMMENDATIONS: 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 mm Hg or greater and serum lactate level greater than 2 mmol/L (&gt;18 mg/dL) in the absence of hypovolemia. This combination is associated with hospital mortality rates greater than 40%. In out-of-hospital, emergency department, or general hospital ward settings, adult patients with suspected infection can be rapidly identified as being more likely to have poor outcomes typical of sepsis if they have at least 2 of the following clinical criteria that together constitute a new bedside clinical score termed quickSOFA (qSOFA): respiratory rate of 22/min or greater, altered mentation, or systolic blood pressure of 100 mm Hg or less.\nCONCLUSIONS AND RELEVANCE: These updated definitions and clinical criteria should replace previous definitions, offer greater consistency for epidemiologic studies and clinical trials, and facilitate earlier recognition and more timely management of patients with sepsis or at risk of developing sepsis.","container-title":"JAMA","DOI":"10.1001/jama.2016.0287","ISSN":"1538-3598","issue":"8","journalAbbreviation":"JAMA","language":"eng","note":"PMID: 26903338\nPMCID: PMC4968574","page":"801-810","source":"PubMed","title":"The Third International Consensus Definitions for Sepsis and Septic Shock (Sepsis-3)","volume":"315","author":[{"family":"Singer","given":"Mervyn"},{"family":"Deutschman","given":"Clifford S."},{"family":"Seymour","given":"Christopher Warren"},{"family":"Shankar-Hari","given":"Manu"},{"family":"Annane","given":"Djillali"},{"family":"Bauer","given":"Michael"},{"family":"Bellomo","given":"Rinaldo"},{"family":"Bernard","given":"Gordon R."},{"family":"Chiche","given":"Jean-Daniel"},{"family":"Coopersmith","given":"Craig M."},{"family":"Hotchkiss","given":"Richard S."},{"family":"Levy","given":"Mitchell M."},{"family":"Marshall","given":"John C."},{"family":"Martin","given":"Greg S."},{"family":"Opal","given":"Steven M."},{"family":"Rubenfeld","given":"Gordon D."},{"family":"Poll","given":"Tom","non-dropping-particle":"van der"},{"family":"Vincent","given":"Jean-Louis"},{"family":"Angus","given":"Derek C."}],"issued":{"date-parts":[["2016",2,23]]}}}],"schema":"https://github.com/citation-style-language/schema/raw/master/csl-citation.json"} </w:instrText>
      </w:r>
      <w:r w:rsidRPr="000A35AA">
        <w:rPr>
          <w:rFonts w:asciiTheme="majorBidi" w:hAnsiTheme="majorBidi" w:cstheme="majorBidi"/>
          <w:sz w:val="24"/>
          <w:szCs w:val="24"/>
        </w:rPr>
        <w:fldChar w:fldCharType="separate"/>
      </w:r>
      <w:r w:rsidRPr="000A35AA">
        <w:rPr>
          <w:rFonts w:asciiTheme="majorBidi" w:hAnsiTheme="majorBidi" w:cstheme="majorBidi"/>
          <w:sz w:val="24"/>
          <w:szCs w:val="24"/>
        </w:rPr>
        <w:t>(Singer et al., 2016)</w:t>
      </w:r>
      <w:r w:rsidRPr="000A35AA">
        <w:rPr>
          <w:rFonts w:asciiTheme="majorBidi" w:hAnsiTheme="majorBidi" w:cstheme="majorBidi"/>
          <w:sz w:val="24"/>
          <w:szCs w:val="24"/>
        </w:rPr>
        <w:fldChar w:fldCharType="end"/>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For COPD:</w:t>
      </w:r>
    </w:p>
    <w:p w:rsidR="00313509" w:rsidRPr="000A35AA" w:rsidRDefault="00313509" w:rsidP="00313509">
      <w:pPr>
        <w:pStyle w:val="ListParagraph"/>
        <w:numPr>
          <w:ilvl w:val="0"/>
          <w:numId w:val="6"/>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BAP-65 score &gt;3</w:t>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For asthma:</w:t>
      </w:r>
    </w:p>
    <w:p w:rsidR="00313509" w:rsidRPr="000A35AA" w:rsidRDefault="00313509" w:rsidP="00313509">
      <w:pPr>
        <w:pStyle w:val="ListParagraph"/>
        <w:numPr>
          <w:ilvl w:val="0"/>
          <w:numId w:val="6"/>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Peak expiratory ﬂow &lt;50% of normal: exercise caution</w:t>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For diabetes and its complications:</w:t>
      </w:r>
    </w:p>
    <w:p w:rsidR="00313509" w:rsidRPr="000A35AA" w:rsidRDefault="00313509" w:rsidP="00313509">
      <w:pPr>
        <w:pStyle w:val="ListParagraph"/>
        <w:numPr>
          <w:ilvl w:val="0"/>
          <w:numId w:val="6"/>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Requires IV insulin</w:t>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For hypertensive urgency:</w:t>
      </w:r>
    </w:p>
    <w:p w:rsidR="00313509" w:rsidRPr="000A35AA" w:rsidRDefault="00313509" w:rsidP="00313509">
      <w:pPr>
        <w:pStyle w:val="ListParagraph"/>
        <w:numPr>
          <w:ilvl w:val="0"/>
          <w:numId w:val="6"/>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Systolic blood pressure &gt;190 mmHg</w:t>
      </w:r>
    </w:p>
    <w:p w:rsidR="00313509" w:rsidRPr="000A35AA" w:rsidRDefault="00313509" w:rsidP="00313509">
      <w:pPr>
        <w:pStyle w:val="ListParagraph"/>
        <w:numPr>
          <w:ilvl w:val="0"/>
          <w:numId w:val="6"/>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Evidence of end-stage organ damage</w:t>
      </w:r>
    </w:p>
    <w:p w:rsidR="00313509" w:rsidRPr="000A35AA" w:rsidRDefault="00313509" w:rsidP="00313509">
      <w:pPr>
        <w:bidi w:val="0"/>
        <w:spacing w:after="0" w:line="480" w:lineRule="auto"/>
        <w:rPr>
          <w:rFonts w:asciiTheme="majorBidi" w:hAnsiTheme="majorBidi" w:cstheme="majorBidi"/>
          <w:b/>
          <w:bCs/>
          <w:sz w:val="24"/>
          <w:szCs w:val="24"/>
        </w:rPr>
      </w:pPr>
      <w:r w:rsidRPr="000A35AA">
        <w:rPr>
          <w:rFonts w:asciiTheme="majorBidi" w:hAnsiTheme="majorBidi" w:cstheme="majorBidi"/>
          <w:b/>
          <w:bCs/>
          <w:sz w:val="24"/>
          <w:szCs w:val="24"/>
        </w:rPr>
        <w:t>For atrial ﬁbrillation with rapid ventricular response:</w:t>
      </w:r>
    </w:p>
    <w:p w:rsidR="00313509" w:rsidRPr="000A35AA" w:rsidRDefault="00313509" w:rsidP="00313509">
      <w:pPr>
        <w:pStyle w:val="ListParagraph"/>
        <w:numPr>
          <w:ilvl w:val="0"/>
          <w:numId w:val="7"/>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Likely to require cardioversion</w:t>
      </w:r>
    </w:p>
    <w:p w:rsidR="00313509" w:rsidRPr="000A35AA" w:rsidRDefault="00313509" w:rsidP="00313509">
      <w:pPr>
        <w:pStyle w:val="ListParagraph"/>
        <w:numPr>
          <w:ilvl w:val="0"/>
          <w:numId w:val="7"/>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New atrial ﬁbrillation with rapid ventricular response</w:t>
      </w:r>
    </w:p>
    <w:p w:rsidR="00313509" w:rsidRPr="000A35AA" w:rsidRDefault="00313509" w:rsidP="00313509">
      <w:pPr>
        <w:pStyle w:val="ListParagraph"/>
        <w:numPr>
          <w:ilvl w:val="0"/>
          <w:numId w:val="7"/>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lastRenderedPageBreak/>
        <w:t>Unstable blood pressure, respiratory rate, or oxygenation</w:t>
      </w:r>
    </w:p>
    <w:p w:rsidR="00313509" w:rsidRPr="000A35AA" w:rsidRDefault="00313509" w:rsidP="00313509">
      <w:pPr>
        <w:pStyle w:val="ListParagraph"/>
        <w:numPr>
          <w:ilvl w:val="0"/>
          <w:numId w:val="7"/>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Despite IV  and/or calcium-channel blockade in the ED, HR remains &gt;125 beats/min and systolic blood pressure remains different from baseline</w:t>
      </w:r>
    </w:p>
    <w:p w:rsidR="00313509" w:rsidRPr="000A35AA" w:rsidRDefault="00313509" w:rsidP="00313509">
      <w:pPr>
        <w:pStyle w:val="ListParagraph"/>
        <w:numPr>
          <w:ilvl w:val="0"/>
          <w:numId w:val="7"/>
        </w:numPr>
        <w:bidi w:val="0"/>
        <w:spacing w:after="0" w:line="480" w:lineRule="auto"/>
        <w:rPr>
          <w:rFonts w:asciiTheme="majorBidi" w:hAnsiTheme="majorBidi" w:cstheme="majorBidi"/>
          <w:sz w:val="24"/>
          <w:szCs w:val="24"/>
        </w:rPr>
      </w:pPr>
      <w:r w:rsidRPr="000A35AA">
        <w:rPr>
          <w:rFonts w:asciiTheme="majorBidi" w:hAnsiTheme="majorBidi" w:cstheme="majorBidi"/>
          <w:sz w:val="24"/>
          <w:szCs w:val="24"/>
        </w:rPr>
        <w:t>&lt;1 h has elapsed with HR &lt;125 beats/min and systolic blood pressure similar to or higher than baseline</w:t>
      </w:r>
    </w:p>
    <w:p w:rsidR="00313509" w:rsidRPr="000A35AA" w:rsidRDefault="00313509" w:rsidP="00313509">
      <w:pPr>
        <w:bidi w:val="0"/>
        <w:spacing w:after="0" w:line="480" w:lineRule="auto"/>
        <w:jc w:val="both"/>
        <w:rPr>
          <w:rFonts w:asciiTheme="majorBidi" w:hAnsiTheme="majorBidi" w:cstheme="majorBidi"/>
          <w:sz w:val="24"/>
          <w:szCs w:val="24"/>
        </w:rPr>
      </w:pPr>
    </w:p>
    <w:p w:rsidR="00313509" w:rsidRPr="000A35AA" w:rsidRDefault="00313509" w:rsidP="00313509">
      <w:pPr>
        <w:bidi w:val="0"/>
        <w:spacing w:after="0" w:line="360" w:lineRule="auto"/>
        <w:rPr>
          <w:rFonts w:asciiTheme="majorBidi" w:hAnsiTheme="majorBidi" w:cstheme="majorBidi"/>
          <w:sz w:val="24"/>
          <w:szCs w:val="24"/>
        </w:rPr>
      </w:pPr>
      <w:r w:rsidRPr="000A35AA">
        <w:rPr>
          <w:rFonts w:asciiTheme="majorBidi" w:hAnsiTheme="majorBidi" w:cstheme="majorBidi"/>
          <w:sz w:val="24"/>
          <w:szCs w:val="24"/>
        </w:rPr>
        <w:t>COPD, chronic obstructive pulmonary disease; HR, heart rate</w:t>
      </w:r>
    </w:p>
    <w:p w:rsidR="00313509" w:rsidRPr="000A35AA" w:rsidRDefault="00313509" w:rsidP="00313509">
      <w:pPr>
        <w:bidi w:val="0"/>
        <w:spacing w:after="0" w:line="360" w:lineRule="auto"/>
        <w:rPr>
          <w:rFonts w:asciiTheme="majorBidi" w:hAnsiTheme="majorBidi" w:cstheme="majorBidi"/>
          <w:b/>
          <w:bCs/>
          <w:sz w:val="24"/>
          <w:szCs w:val="24"/>
        </w:rPr>
      </w:pPr>
      <w:r w:rsidRPr="000A35AA">
        <w:rPr>
          <w:rFonts w:asciiTheme="majorBidi" w:hAnsiTheme="majorBidi" w:cstheme="majorBidi"/>
          <w:sz w:val="24"/>
          <w:szCs w:val="24"/>
        </w:rPr>
        <w:t>CURB-65 - clinical prediction tool for pneumonia; SMRT-CO - scale of pneumonia severity]; GWTG-HF - heart failure risk score;  ADHERE - mortality risk score calculator; qSOFA - sepsis score HR</w:t>
      </w:r>
      <w:r w:rsidRPr="000A35AA">
        <w:rPr>
          <w:rFonts w:asciiTheme="majorBidi" w:hAnsiTheme="majorBidi" w:cstheme="majorBidi"/>
          <w:b/>
          <w:bCs/>
          <w:sz w:val="24"/>
          <w:szCs w:val="24"/>
        </w:rPr>
        <w:br w:type="page"/>
      </w:r>
    </w:p>
    <w:p w:rsidR="000A35AA" w:rsidRDefault="00313509" w:rsidP="000A35AA">
      <w:pPr>
        <w:bidi w:val="0"/>
        <w:rPr>
          <w:rFonts w:asciiTheme="majorBidi" w:hAnsiTheme="majorBidi" w:cstheme="majorBidi"/>
          <w:b/>
          <w:bCs/>
          <w:sz w:val="24"/>
          <w:szCs w:val="24"/>
        </w:rPr>
      </w:pPr>
      <w:r w:rsidRPr="000A35AA">
        <w:rPr>
          <w:rFonts w:asciiTheme="majorBidi" w:hAnsiTheme="majorBidi" w:cstheme="majorBidi"/>
          <w:b/>
          <w:bCs/>
          <w:sz w:val="24"/>
          <w:szCs w:val="24"/>
        </w:rPr>
        <w:lastRenderedPageBreak/>
        <w:t xml:space="preserve">Appendix </w:t>
      </w:r>
      <w:r w:rsidR="000A35AA">
        <w:rPr>
          <w:rFonts w:asciiTheme="majorBidi" w:hAnsiTheme="majorBidi" w:cstheme="majorBidi"/>
          <w:b/>
          <w:bCs/>
          <w:sz w:val="24"/>
          <w:szCs w:val="24"/>
        </w:rPr>
        <w:t>B</w:t>
      </w:r>
    </w:p>
    <w:tbl>
      <w:tblPr>
        <w:tblStyle w:val="TableGrid"/>
        <w:tblW w:w="0" w:type="auto"/>
        <w:tblLook w:val="04A0" w:firstRow="1" w:lastRow="0" w:firstColumn="1" w:lastColumn="0" w:noHBand="0" w:noVBand="1"/>
      </w:tblPr>
      <w:tblGrid>
        <w:gridCol w:w="2128"/>
        <w:gridCol w:w="2126"/>
        <w:gridCol w:w="2095"/>
        <w:gridCol w:w="1947"/>
      </w:tblGrid>
      <w:tr w:rsidR="00313509" w:rsidRPr="000A35AA" w:rsidTr="000A35AA">
        <w:trPr>
          <w:tblHeader/>
        </w:trPr>
        <w:tc>
          <w:tcPr>
            <w:tcW w:w="8296" w:type="dxa"/>
            <w:gridSpan w:val="4"/>
            <w:tcBorders>
              <w:top w:val="nil"/>
              <w:left w:val="nil"/>
              <w:right w:val="nil"/>
            </w:tcBorders>
            <w:shd w:val="clear" w:color="auto" w:fill="auto"/>
          </w:tcPr>
          <w:p w:rsidR="00313509" w:rsidRPr="000A35AA" w:rsidRDefault="00313509" w:rsidP="00734CC3">
            <w:pPr>
              <w:bidi w:val="0"/>
              <w:spacing w:line="360" w:lineRule="auto"/>
              <w:jc w:val="both"/>
              <w:rPr>
                <w:rFonts w:asciiTheme="majorBidi" w:hAnsiTheme="majorBidi" w:cstheme="majorBidi"/>
                <w:b/>
                <w:bCs/>
                <w:sz w:val="24"/>
                <w:szCs w:val="24"/>
              </w:rPr>
            </w:pPr>
            <w:r w:rsidRPr="000A35AA">
              <w:rPr>
                <w:rFonts w:asciiTheme="majorBidi" w:hAnsiTheme="majorBidi" w:cstheme="majorBidi"/>
                <w:b/>
                <w:bCs/>
                <w:sz w:val="24"/>
                <w:szCs w:val="24"/>
              </w:rPr>
              <w:t>Factors affecting likelihood of readmission within 30 days (2019); factor analysis (including present study)</w:t>
            </w:r>
            <w:r w:rsidR="000A35AA" w:rsidRPr="000A35AA">
              <w:rPr>
                <w:rFonts w:asciiTheme="majorBidi" w:hAnsiTheme="majorBidi" w:cstheme="majorBidi"/>
                <w:b/>
                <w:bCs/>
                <w:sz w:val="24"/>
                <w:szCs w:val="24"/>
              </w:rPr>
              <w:t>*</w:t>
            </w:r>
          </w:p>
        </w:tc>
      </w:tr>
      <w:tr w:rsidR="00313509" w:rsidRPr="000A35AA" w:rsidTr="000A35AA">
        <w:trPr>
          <w:tblHeader/>
        </w:trPr>
        <w:tc>
          <w:tcPr>
            <w:tcW w:w="2128" w:type="dxa"/>
            <w:shd w:val="clear" w:color="auto" w:fill="auto"/>
          </w:tcPr>
          <w:p w:rsidR="00313509" w:rsidRPr="000A35AA" w:rsidRDefault="00313509" w:rsidP="000A35AA">
            <w:pPr>
              <w:bidi w:val="0"/>
              <w:spacing w:after="0" w:line="360" w:lineRule="auto"/>
              <w:jc w:val="both"/>
              <w:rPr>
                <w:rFonts w:asciiTheme="majorBidi" w:hAnsiTheme="majorBidi" w:cstheme="majorBidi"/>
                <w:b/>
                <w:bCs/>
                <w:sz w:val="24"/>
                <w:szCs w:val="24"/>
              </w:rPr>
            </w:pPr>
            <w:r w:rsidRPr="000A35AA">
              <w:rPr>
                <w:rFonts w:asciiTheme="majorBidi" w:hAnsiTheme="majorBidi" w:cstheme="majorBidi"/>
                <w:b/>
                <w:bCs/>
                <w:sz w:val="24"/>
                <w:szCs w:val="24"/>
              </w:rPr>
              <w:t xml:space="preserve">Factor </w:t>
            </w:r>
          </w:p>
        </w:tc>
        <w:tc>
          <w:tcPr>
            <w:tcW w:w="2126" w:type="dxa"/>
            <w:shd w:val="clear" w:color="auto" w:fill="auto"/>
          </w:tcPr>
          <w:p w:rsidR="00313509" w:rsidRPr="000A35AA" w:rsidRDefault="00313509" w:rsidP="000A35AA">
            <w:pPr>
              <w:bidi w:val="0"/>
              <w:spacing w:after="0" w:line="360" w:lineRule="auto"/>
              <w:jc w:val="both"/>
              <w:rPr>
                <w:rFonts w:asciiTheme="majorBidi" w:hAnsiTheme="majorBidi" w:cstheme="majorBidi"/>
                <w:b/>
                <w:bCs/>
                <w:sz w:val="24"/>
                <w:szCs w:val="24"/>
              </w:rPr>
            </w:pPr>
            <w:r w:rsidRPr="000A35AA">
              <w:rPr>
                <w:rFonts w:asciiTheme="majorBidi" w:hAnsiTheme="majorBidi" w:cstheme="majorBidi"/>
                <w:b/>
                <w:bCs/>
                <w:sz w:val="24"/>
                <w:szCs w:val="24"/>
              </w:rPr>
              <w:t>Group</w:t>
            </w:r>
          </w:p>
        </w:tc>
        <w:tc>
          <w:tcPr>
            <w:tcW w:w="2095" w:type="dxa"/>
            <w:shd w:val="clear" w:color="auto" w:fill="auto"/>
          </w:tcPr>
          <w:p w:rsidR="00313509" w:rsidRPr="000A35AA" w:rsidRDefault="00313509" w:rsidP="000A35AA">
            <w:pPr>
              <w:bidi w:val="0"/>
              <w:spacing w:after="0" w:line="360" w:lineRule="auto"/>
              <w:jc w:val="both"/>
              <w:rPr>
                <w:rFonts w:asciiTheme="majorBidi" w:hAnsiTheme="majorBidi" w:cstheme="majorBidi"/>
                <w:b/>
                <w:bCs/>
                <w:sz w:val="24"/>
                <w:szCs w:val="24"/>
              </w:rPr>
            </w:pPr>
            <w:r w:rsidRPr="000A35AA">
              <w:rPr>
                <w:rFonts w:asciiTheme="majorBidi" w:hAnsiTheme="majorBidi" w:cstheme="majorBidi"/>
                <w:b/>
                <w:bCs/>
                <w:sz w:val="24"/>
                <w:szCs w:val="24"/>
              </w:rPr>
              <w:t>Odds Ratio</w:t>
            </w:r>
          </w:p>
        </w:tc>
        <w:tc>
          <w:tcPr>
            <w:tcW w:w="1947" w:type="dxa"/>
            <w:shd w:val="clear" w:color="auto" w:fill="auto"/>
          </w:tcPr>
          <w:p w:rsidR="00313509" w:rsidRPr="000A35AA" w:rsidRDefault="00313509" w:rsidP="000A35AA">
            <w:pPr>
              <w:bidi w:val="0"/>
              <w:spacing w:after="0" w:line="360" w:lineRule="auto"/>
              <w:jc w:val="both"/>
              <w:rPr>
                <w:rFonts w:asciiTheme="majorBidi" w:hAnsiTheme="majorBidi" w:cstheme="majorBidi"/>
                <w:b/>
                <w:bCs/>
                <w:sz w:val="24"/>
                <w:szCs w:val="24"/>
              </w:rPr>
            </w:pPr>
            <w:r w:rsidRPr="000A35AA">
              <w:rPr>
                <w:rFonts w:asciiTheme="majorBidi" w:hAnsiTheme="majorBidi" w:cstheme="majorBidi"/>
                <w:b/>
                <w:bCs/>
                <w:sz w:val="24"/>
                <w:szCs w:val="24"/>
              </w:rPr>
              <w:t xml:space="preserve">P Value </w:t>
            </w:r>
          </w:p>
        </w:tc>
      </w:tr>
      <w:tr w:rsidR="00313509" w:rsidRPr="000A35AA" w:rsidTr="00734CC3">
        <w:tc>
          <w:tcPr>
            <w:tcW w:w="2128" w:type="dxa"/>
            <w:vMerge w:val="restart"/>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Age (years)</w:t>
            </w: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15-44</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1.00 (ref)</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45-54</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1.19</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55-64</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1.33</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65-74</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1.3</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75-84</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1.41</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85+</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1.56</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val="restart"/>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Admission in past 6 months </w:t>
            </w: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No</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1.00 (ref)</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Yes </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2.39 </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val="restart"/>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Length of stay (days)</w:t>
            </w: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2-4 </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0.82</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5-7 </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1.00 (ref)</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8-14 </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1.18 </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15+  </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1.27</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val="restart"/>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Primary diagnosis </w:t>
            </w: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Heart failure</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1.35</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Heart attack </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1.13</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COPD</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1.35</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313509" w:rsidRPr="000A35AA" w:rsidTr="00734CC3">
        <w:tc>
          <w:tcPr>
            <w:tcW w:w="2128" w:type="dxa"/>
            <w:vMerge/>
          </w:tcPr>
          <w:p w:rsidR="00313509" w:rsidRPr="000A35AA" w:rsidRDefault="00313509" w:rsidP="000A35AA">
            <w:pPr>
              <w:bidi w:val="0"/>
              <w:spacing w:after="0" w:line="360" w:lineRule="auto"/>
              <w:jc w:val="both"/>
              <w:rPr>
                <w:rFonts w:asciiTheme="majorBidi" w:hAnsiTheme="majorBidi" w:cstheme="majorBidi"/>
                <w:sz w:val="24"/>
                <w:szCs w:val="24"/>
              </w:rPr>
            </w:pPr>
          </w:p>
        </w:tc>
        <w:tc>
          <w:tcPr>
            <w:tcW w:w="2126"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 xml:space="preserve">Diabetes mellitus </w:t>
            </w:r>
          </w:p>
        </w:tc>
        <w:tc>
          <w:tcPr>
            <w:tcW w:w="2095"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1.20</w:t>
            </w:r>
          </w:p>
        </w:tc>
        <w:tc>
          <w:tcPr>
            <w:tcW w:w="1947" w:type="dxa"/>
          </w:tcPr>
          <w:p w:rsidR="00313509" w:rsidRPr="000A35AA" w:rsidRDefault="00313509"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&gt;0.0001</w:t>
            </w:r>
          </w:p>
        </w:tc>
      </w:tr>
      <w:tr w:rsidR="000A35AA" w:rsidRPr="000A35AA" w:rsidTr="00734CC3">
        <w:tc>
          <w:tcPr>
            <w:tcW w:w="2128" w:type="dxa"/>
            <w:vMerge w:val="restart"/>
          </w:tcPr>
          <w:p w:rsidR="000A35AA" w:rsidRPr="000A35AA" w:rsidRDefault="000A35AA" w:rsidP="000A35AA">
            <w:pPr>
              <w:bidi w:val="0"/>
              <w:spacing w:after="0" w:line="360" w:lineRule="auto"/>
              <w:jc w:val="both"/>
              <w:rPr>
                <w:rFonts w:asciiTheme="majorBidi" w:hAnsiTheme="majorBidi" w:cstheme="majorBidi"/>
                <w:sz w:val="24"/>
                <w:szCs w:val="24"/>
              </w:rPr>
            </w:pPr>
            <w:r>
              <w:rPr>
                <w:rFonts w:asciiTheme="majorBidi" w:hAnsiTheme="majorBidi" w:cstheme="majorBidi"/>
                <w:sz w:val="24"/>
                <w:szCs w:val="24"/>
              </w:rPr>
              <w:t>Charlson Comorbidity Index</w:t>
            </w:r>
          </w:p>
        </w:tc>
        <w:tc>
          <w:tcPr>
            <w:tcW w:w="2126" w:type="dxa"/>
          </w:tcPr>
          <w:p w:rsidR="000A35AA" w:rsidRPr="000A35AA" w:rsidRDefault="000A35AA"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0</w:t>
            </w:r>
          </w:p>
        </w:tc>
        <w:tc>
          <w:tcPr>
            <w:tcW w:w="2095" w:type="dxa"/>
          </w:tcPr>
          <w:p w:rsidR="000A35AA" w:rsidRPr="000A35AA" w:rsidRDefault="000A35AA"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12.7%</w:t>
            </w:r>
          </w:p>
        </w:tc>
        <w:tc>
          <w:tcPr>
            <w:tcW w:w="1947" w:type="dxa"/>
          </w:tcPr>
          <w:p w:rsidR="000A35AA" w:rsidRPr="000A35AA" w:rsidRDefault="000A35AA" w:rsidP="000A35AA">
            <w:pPr>
              <w:bidi w:val="0"/>
              <w:spacing w:after="0" w:line="360" w:lineRule="auto"/>
              <w:jc w:val="both"/>
              <w:rPr>
                <w:rFonts w:asciiTheme="majorBidi" w:hAnsiTheme="majorBidi" w:cstheme="majorBidi"/>
                <w:sz w:val="24"/>
                <w:szCs w:val="24"/>
              </w:rPr>
            </w:pPr>
          </w:p>
        </w:tc>
      </w:tr>
      <w:tr w:rsidR="000A35AA" w:rsidRPr="000A35AA" w:rsidTr="00734CC3">
        <w:tc>
          <w:tcPr>
            <w:tcW w:w="2128" w:type="dxa"/>
            <w:vMerge/>
          </w:tcPr>
          <w:p w:rsidR="000A35AA" w:rsidRPr="000A35AA" w:rsidRDefault="000A35AA" w:rsidP="000A35AA">
            <w:pPr>
              <w:bidi w:val="0"/>
              <w:spacing w:after="0" w:line="360" w:lineRule="auto"/>
              <w:jc w:val="both"/>
              <w:rPr>
                <w:rFonts w:asciiTheme="majorBidi" w:hAnsiTheme="majorBidi" w:cstheme="majorBidi"/>
                <w:sz w:val="24"/>
                <w:szCs w:val="24"/>
              </w:rPr>
            </w:pPr>
          </w:p>
        </w:tc>
        <w:tc>
          <w:tcPr>
            <w:tcW w:w="2126" w:type="dxa"/>
          </w:tcPr>
          <w:p w:rsidR="000A35AA" w:rsidRPr="000A35AA" w:rsidRDefault="000A35AA"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w:t>
            </w:r>
          </w:p>
        </w:tc>
        <w:tc>
          <w:tcPr>
            <w:tcW w:w="2095" w:type="dxa"/>
          </w:tcPr>
          <w:p w:rsidR="000A35AA" w:rsidRPr="000A35AA" w:rsidRDefault="000A35AA"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16.9%</w:t>
            </w:r>
          </w:p>
        </w:tc>
        <w:tc>
          <w:tcPr>
            <w:tcW w:w="1947" w:type="dxa"/>
          </w:tcPr>
          <w:p w:rsidR="000A35AA" w:rsidRPr="000A35AA" w:rsidRDefault="000A35AA" w:rsidP="000A35AA">
            <w:pPr>
              <w:bidi w:val="0"/>
              <w:spacing w:after="0" w:line="360" w:lineRule="auto"/>
              <w:jc w:val="both"/>
              <w:rPr>
                <w:rFonts w:asciiTheme="majorBidi" w:hAnsiTheme="majorBidi" w:cstheme="majorBidi"/>
                <w:sz w:val="24"/>
                <w:szCs w:val="24"/>
              </w:rPr>
            </w:pPr>
          </w:p>
        </w:tc>
      </w:tr>
      <w:tr w:rsidR="000A35AA" w:rsidRPr="000A35AA" w:rsidTr="00734CC3">
        <w:tc>
          <w:tcPr>
            <w:tcW w:w="2128" w:type="dxa"/>
            <w:vMerge/>
          </w:tcPr>
          <w:p w:rsidR="000A35AA" w:rsidRPr="000A35AA" w:rsidRDefault="000A35AA" w:rsidP="000A35AA">
            <w:pPr>
              <w:bidi w:val="0"/>
              <w:spacing w:after="0" w:line="360" w:lineRule="auto"/>
              <w:jc w:val="both"/>
              <w:rPr>
                <w:rFonts w:asciiTheme="majorBidi" w:hAnsiTheme="majorBidi" w:cstheme="majorBidi"/>
                <w:sz w:val="24"/>
                <w:szCs w:val="24"/>
              </w:rPr>
            </w:pPr>
          </w:p>
        </w:tc>
        <w:tc>
          <w:tcPr>
            <w:tcW w:w="2126" w:type="dxa"/>
          </w:tcPr>
          <w:p w:rsidR="000A35AA" w:rsidRPr="000A35AA" w:rsidRDefault="000A35AA"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2</w:t>
            </w:r>
          </w:p>
        </w:tc>
        <w:tc>
          <w:tcPr>
            <w:tcW w:w="2095" w:type="dxa"/>
          </w:tcPr>
          <w:p w:rsidR="000A35AA" w:rsidRPr="000A35AA" w:rsidRDefault="000A35AA"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21.9%</w:t>
            </w:r>
          </w:p>
        </w:tc>
        <w:tc>
          <w:tcPr>
            <w:tcW w:w="1947" w:type="dxa"/>
          </w:tcPr>
          <w:p w:rsidR="000A35AA" w:rsidRPr="000A35AA" w:rsidRDefault="000A35AA" w:rsidP="000A35AA">
            <w:pPr>
              <w:bidi w:val="0"/>
              <w:spacing w:after="0" w:line="360" w:lineRule="auto"/>
              <w:jc w:val="both"/>
              <w:rPr>
                <w:rFonts w:asciiTheme="majorBidi" w:hAnsiTheme="majorBidi" w:cstheme="majorBidi"/>
                <w:sz w:val="24"/>
                <w:szCs w:val="24"/>
              </w:rPr>
            </w:pPr>
          </w:p>
        </w:tc>
      </w:tr>
      <w:tr w:rsidR="000A35AA" w:rsidRPr="000A35AA" w:rsidTr="00734CC3">
        <w:tc>
          <w:tcPr>
            <w:tcW w:w="2128" w:type="dxa"/>
            <w:vMerge/>
          </w:tcPr>
          <w:p w:rsidR="000A35AA" w:rsidRPr="000A35AA" w:rsidRDefault="000A35AA" w:rsidP="000A35AA">
            <w:pPr>
              <w:bidi w:val="0"/>
              <w:spacing w:after="0" w:line="360" w:lineRule="auto"/>
              <w:jc w:val="both"/>
              <w:rPr>
                <w:rFonts w:asciiTheme="majorBidi" w:hAnsiTheme="majorBidi" w:cstheme="majorBidi"/>
                <w:sz w:val="24"/>
                <w:szCs w:val="24"/>
              </w:rPr>
            </w:pPr>
          </w:p>
        </w:tc>
        <w:tc>
          <w:tcPr>
            <w:tcW w:w="2126" w:type="dxa"/>
          </w:tcPr>
          <w:p w:rsidR="000A35AA" w:rsidRPr="000A35AA" w:rsidRDefault="000A35AA"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3+</w:t>
            </w:r>
          </w:p>
        </w:tc>
        <w:tc>
          <w:tcPr>
            <w:tcW w:w="2095" w:type="dxa"/>
          </w:tcPr>
          <w:p w:rsidR="000A35AA" w:rsidRPr="000A35AA" w:rsidRDefault="000A35AA" w:rsidP="000A35AA">
            <w:pPr>
              <w:bidi w:val="0"/>
              <w:spacing w:after="0" w:line="360" w:lineRule="auto"/>
              <w:jc w:val="both"/>
              <w:rPr>
                <w:rFonts w:asciiTheme="majorBidi" w:hAnsiTheme="majorBidi" w:cstheme="majorBidi"/>
                <w:sz w:val="24"/>
                <w:szCs w:val="24"/>
              </w:rPr>
            </w:pPr>
            <w:r w:rsidRPr="000A35AA">
              <w:rPr>
                <w:rFonts w:asciiTheme="majorBidi" w:hAnsiTheme="majorBidi" w:cstheme="majorBidi"/>
                <w:sz w:val="24"/>
                <w:szCs w:val="24"/>
              </w:rPr>
              <w:t>27.8%</w:t>
            </w:r>
          </w:p>
        </w:tc>
        <w:tc>
          <w:tcPr>
            <w:tcW w:w="1947" w:type="dxa"/>
          </w:tcPr>
          <w:p w:rsidR="000A35AA" w:rsidRPr="000A35AA" w:rsidRDefault="000A35AA" w:rsidP="000A35AA">
            <w:pPr>
              <w:bidi w:val="0"/>
              <w:spacing w:after="0" w:line="360" w:lineRule="auto"/>
              <w:jc w:val="both"/>
              <w:rPr>
                <w:rFonts w:asciiTheme="majorBidi" w:hAnsiTheme="majorBidi" w:cstheme="majorBidi"/>
                <w:sz w:val="24"/>
                <w:szCs w:val="24"/>
              </w:rPr>
            </w:pPr>
          </w:p>
        </w:tc>
      </w:tr>
    </w:tbl>
    <w:p w:rsidR="000A35AA" w:rsidRPr="000A35AA" w:rsidRDefault="000A35AA" w:rsidP="000A35AA">
      <w:pPr>
        <w:bidi w:val="0"/>
        <w:rPr>
          <w:rFonts w:asciiTheme="majorBidi" w:hAnsiTheme="majorBidi" w:cstheme="majorBidi"/>
          <w:sz w:val="24"/>
          <w:szCs w:val="24"/>
        </w:rPr>
      </w:pPr>
      <w:r w:rsidRPr="000A35AA">
        <w:rPr>
          <w:rFonts w:asciiTheme="majorBidi" w:hAnsiTheme="majorBidi" w:cstheme="majorBidi"/>
          <w:sz w:val="24"/>
          <w:szCs w:val="24"/>
        </w:rPr>
        <w:t>*Factors derived from the … of the Israel Ministry of Health, 2005-2019</w:t>
      </w:r>
    </w:p>
    <w:p w:rsidR="00E77919" w:rsidRDefault="000A35AA" w:rsidP="000A35AA">
      <w:pPr>
        <w:bidi w:val="0"/>
        <w:rPr>
          <w:rFonts w:asciiTheme="majorBidi" w:hAnsiTheme="majorBidi" w:cstheme="majorBidi"/>
          <w:sz w:val="24"/>
          <w:szCs w:val="24"/>
        </w:rPr>
      </w:pPr>
      <w:r w:rsidRPr="000A35AA">
        <w:rPr>
          <w:rFonts w:asciiTheme="majorBidi" w:hAnsiTheme="majorBidi" w:cstheme="majorBidi"/>
          <w:sz w:val="24"/>
          <w:szCs w:val="24"/>
        </w:rPr>
        <w:t xml:space="preserve"> </w:t>
      </w:r>
      <w:r w:rsidRPr="000A35AA">
        <w:rPr>
          <w:rFonts w:asciiTheme="majorBidi" w:hAnsiTheme="majorBidi" w:cstheme="majorBidi"/>
          <w:sz w:val="24"/>
          <w:szCs w:val="24"/>
        </w:rPr>
        <w:fldChar w:fldCharType="begin"/>
      </w:r>
      <w:r w:rsidRPr="000A35AA">
        <w:rPr>
          <w:rFonts w:asciiTheme="majorBidi" w:hAnsiTheme="majorBidi" w:cstheme="majorBidi"/>
          <w:sz w:val="24"/>
          <w:szCs w:val="24"/>
        </w:rPr>
        <w:instrText xml:space="preserve"> ADDIN ZOTERO_ITEM CSL_CITATION {"citationID":"u011qAo3","properties":{"formattedCitation":"(Haklai et al., 2020)","plainCitation":"(Haklai et al., 2020)","noteIndex":0},"citationItems":[{"id":334,"uris":["http://zotero.org/users/local/uGfLMj8C/items/6KPFEPMV"],"uri":["http://zotero.org/users/local/uGfLMj8C/items/6KPFEPMV"],"itemData":{"id":334,"type":"article","language":"Hebrew","publisher":"Israeli Ministry of Health, Department for medical technologies, information and research","title":"Medical ward admissions, 2005-2019","author":[{"family":"Haklai","given":"Z"},{"family":"Lifshiz","given":"I"},{"family":"Gordon","given":"S"},{"family":"Appelboim","given":"Y"},{"family":"Mostovoy","given":"D"},{"family":"Aburba","given":"M"}],"accessed":{"date-parts":[["2022",1,13]]},"issued":{"date-parts":[["2020"]]}}}],"schema":"https://github.com/citation-style-language/schema/raw/master/csl-citation.json"} </w:instrText>
      </w:r>
      <w:r w:rsidRPr="000A35AA">
        <w:rPr>
          <w:rFonts w:asciiTheme="majorBidi" w:hAnsiTheme="majorBidi" w:cstheme="majorBidi"/>
          <w:sz w:val="24"/>
          <w:szCs w:val="24"/>
        </w:rPr>
        <w:fldChar w:fldCharType="separate"/>
      </w:r>
      <w:r w:rsidRPr="000A35AA">
        <w:rPr>
          <w:rFonts w:asciiTheme="majorBidi" w:hAnsiTheme="majorBidi" w:cstheme="majorBidi"/>
          <w:sz w:val="24"/>
          <w:szCs w:val="24"/>
        </w:rPr>
        <w:t>(Haklai et al., 2020)</w:t>
      </w:r>
      <w:r w:rsidRPr="000A35AA">
        <w:rPr>
          <w:rFonts w:asciiTheme="majorBidi" w:hAnsiTheme="majorBidi" w:cstheme="majorBidi"/>
          <w:sz w:val="24"/>
          <w:szCs w:val="24"/>
        </w:rPr>
        <w:fldChar w:fldCharType="end"/>
      </w:r>
    </w:p>
    <w:p w:rsidR="00E77919" w:rsidRDefault="00E77919">
      <w:pPr>
        <w:bidi w:val="0"/>
        <w:spacing w:after="0" w:line="480" w:lineRule="auto"/>
        <w:jc w:val="right"/>
        <w:rPr>
          <w:rFonts w:asciiTheme="majorBidi" w:hAnsiTheme="majorBidi" w:cstheme="majorBidi"/>
          <w:sz w:val="24"/>
          <w:szCs w:val="24"/>
        </w:rPr>
      </w:pPr>
      <w:r>
        <w:rPr>
          <w:rFonts w:asciiTheme="majorBidi" w:hAnsiTheme="majorBidi" w:cstheme="majorBidi"/>
          <w:sz w:val="24"/>
          <w:szCs w:val="24"/>
        </w:rPr>
        <w:br w:type="page"/>
      </w:r>
    </w:p>
    <w:p w:rsidR="00E77919" w:rsidRPr="000A35AA" w:rsidRDefault="00E77919" w:rsidP="00E77919">
      <w:pPr>
        <w:bidi w:val="0"/>
        <w:rPr>
          <w:rFonts w:asciiTheme="majorBidi" w:hAnsiTheme="majorBidi" w:cstheme="majorBidi"/>
          <w:b/>
          <w:bCs/>
          <w:sz w:val="24"/>
          <w:szCs w:val="24"/>
        </w:rPr>
      </w:pPr>
      <w:r w:rsidRPr="000A35AA">
        <w:rPr>
          <w:rFonts w:asciiTheme="majorBidi" w:hAnsiTheme="majorBidi" w:cstheme="majorBidi"/>
          <w:b/>
          <w:bCs/>
          <w:sz w:val="24"/>
          <w:szCs w:val="24"/>
        </w:rPr>
        <w:lastRenderedPageBreak/>
        <w:t xml:space="preserve">Appendix </w:t>
      </w:r>
      <w:r>
        <w:rPr>
          <w:rFonts w:asciiTheme="majorBidi" w:hAnsiTheme="majorBidi" w:cstheme="majorBidi"/>
          <w:b/>
          <w:bCs/>
          <w:sz w:val="24"/>
          <w:szCs w:val="24"/>
        </w:rPr>
        <w:t>C</w:t>
      </w:r>
      <w:r w:rsidRPr="000A35AA">
        <w:rPr>
          <w:rFonts w:asciiTheme="majorBidi" w:hAnsiTheme="majorBidi" w:cstheme="majorBidi"/>
          <w:b/>
          <w:bCs/>
          <w:sz w:val="24"/>
          <w:szCs w:val="24"/>
        </w:rPr>
        <w:t xml:space="preserve"> </w:t>
      </w:r>
    </w:p>
    <w:p w:rsidR="00E77919" w:rsidRPr="000A35AA" w:rsidRDefault="00E77919" w:rsidP="00E77919">
      <w:pPr>
        <w:bidi w:val="0"/>
        <w:rPr>
          <w:rFonts w:asciiTheme="majorBidi" w:hAnsiTheme="majorBidi" w:cstheme="majorBidi"/>
          <w:b/>
          <w:bCs/>
          <w:sz w:val="24"/>
          <w:szCs w:val="24"/>
        </w:rPr>
      </w:pPr>
      <w:r w:rsidRPr="000A35AA">
        <w:rPr>
          <w:rFonts w:asciiTheme="majorBidi" w:hAnsiTheme="majorBidi" w:cstheme="majorBidi"/>
          <w:b/>
          <w:bCs/>
          <w:sz w:val="24"/>
          <w:szCs w:val="24"/>
        </w:rPr>
        <w:t>Staff and Resource assumptions – In-patient vs hospital-at-home schemes</w:t>
      </w:r>
    </w:p>
    <w:p w:rsidR="00E77919" w:rsidRPr="000A35AA" w:rsidRDefault="00E77919" w:rsidP="00E77919">
      <w:pPr>
        <w:bidi w:val="0"/>
        <w:rPr>
          <w:rFonts w:asciiTheme="majorBidi" w:hAnsiTheme="majorBidi" w:cstheme="majorBidi"/>
          <w:sz w:val="24"/>
          <w:szCs w:val="24"/>
        </w:rPr>
      </w:pPr>
    </w:p>
    <w:p w:rsidR="00E77919" w:rsidRPr="000A35AA" w:rsidRDefault="00E77919" w:rsidP="00E77919">
      <w:pPr>
        <w:bidi w:val="0"/>
        <w:rPr>
          <w:rFonts w:asciiTheme="majorBidi" w:hAnsiTheme="majorBidi" w:cstheme="majorBidi"/>
          <w:sz w:val="24"/>
          <w:szCs w:val="24"/>
        </w:rPr>
      </w:pPr>
      <w:r w:rsidRPr="000A35AA">
        <w:rPr>
          <w:rFonts w:asciiTheme="majorBidi" w:hAnsiTheme="majorBidi" w:cstheme="majorBidi"/>
          <w:sz w:val="24"/>
          <w:szCs w:val="24"/>
        </w:rPr>
        <w:t xml:space="preserve">Table </w:t>
      </w:r>
      <w:r>
        <w:rPr>
          <w:rFonts w:asciiTheme="majorBidi" w:hAnsiTheme="majorBidi" w:cstheme="majorBidi"/>
          <w:sz w:val="24"/>
          <w:szCs w:val="24"/>
        </w:rPr>
        <w:t>C</w:t>
      </w:r>
      <w:r w:rsidRPr="000A35AA">
        <w:rPr>
          <w:rFonts w:asciiTheme="majorBidi" w:hAnsiTheme="majorBidi" w:cstheme="majorBidi"/>
          <w:sz w:val="24"/>
          <w:szCs w:val="24"/>
        </w:rPr>
        <w:t xml:space="preserve">1. Staff assumptions for in-patient and hospital-at-home </w:t>
      </w:r>
      <w:r>
        <w:rPr>
          <w:rFonts w:asciiTheme="majorBidi" w:hAnsiTheme="majorBidi" w:cstheme="majorBidi"/>
          <w:sz w:val="24"/>
          <w:szCs w:val="24"/>
        </w:rPr>
        <w:t>schemes</w:t>
      </w:r>
    </w:p>
    <w:tbl>
      <w:tblPr>
        <w:tblStyle w:val="TableGrid"/>
        <w:tblW w:w="0" w:type="auto"/>
        <w:tblLook w:val="04A0" w:firstRow="1" w:lastRow="0" w:firstColumn="1" w:lastColumn="0" w:noHBand="0" w:noVBand="1"/>
      </w:tblPr>
      <w:tblGrid>
        <w:gridCol w:w="4855"/>
        <w:gridCol w:w="2160"/>
      </w:tblGrid>
      <w:tr w:rsidR="00E77919" w:rsidRPr="000A35AA" w:rsidTr="00734CC3">
        <w:tc>
          <w:tcPr>
            <w:tcW w:w="485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Personnel</w:t>
            </w:r>
          </w:p>
        </w:tc>
        <w:tc>
          <w:tcPr>
            <w:tcW w:w="2160"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Number of required positions</w:t>
            </w:r>
          </w:p>
        </w:tc>
      </w:tr>
      <w:tr w:rsidR="00E77919" w:rsidRPr="000A35AA" w:rsidTr="00734CC3">
        <w:tc>
          <w:tcPr>
            <w:tcW w:w="7015" w:type="dxa"/>
            <w:gridSpan w:val="2"/>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In-patient ward</w:t>
            </w:r>
          </w:p>
        </w:tc>
      </w:tr>
      <w:tr w:rsidR="00E77919" w:rsidRPr="000A35AA" w:rsidTr="00734CC3">
        <w:tc>
          <w:tcPr>
            <w:tcW w:w="485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 xml:space="preserve">  Medical ward physicians</w:t>
            </w:r>
          </w:p>
        </w:tc>
        <w:tc>
          <w:tcPr>
            <w:tcW w:w="2160" w:type="dxa"/>
          </w:tcPr>
          <w:p w:rsidR="00E77919" w:rsidRPr="000A35AA" w:rsidRDefault="00E77919" w:rsidP="00734CC3">
            <w:pPr>
              <w:bidi w:val="0"/>
              <w:jc w:val="center"/>
              <w:rPr>
                <w:rFonts w:asciiTheme="majorBidi" w:hAnsiTheme="majorBidi" w:cstheme="majorBidi"/>
                <w:sz w:val="24"/>
                <w:szCs w:val="24"/>
              </w:rPr>
            </w:pPr>
            <w:r w:rsidRPr="000A35AA">
              <w:rPr>
                <w:rFonts w:asciiTheme="majorBidi" w:hAnsiTheme="majorBidi" w:cstheme="majorBidi"/>
                <w:sz w:val="24"/>
                <w:szCs w:val="24"/>
              </w:rPr>
              <w:t>6</w:t>
            </w:r>
          </w:p>
        </w:tc>
      </w:tr>
      <w:tr w:rsidR="00E77919" w:rsidRPr="000A35AA" w:rsidTr="00734CC3">
        <w:tc>
          <w:tcPr>
            <w:tcW w:w="485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 xml:space="preserve">  Medical ward interns</w:t>
            </w:r>
          </w:p>
        </w:tc>
        <w:tc>
          <w:tcPr>
            <w:tcW w:w="2160" w:type="dxa"/>
          </w:tcPr>
          <w:p w:rsidR="00E77919" w:rsidRPr="000A35AA" w:rsidRDefault="00E77919" w:rsidP="00734CC3">
            <w:pPr>
              <w:bidi w:val="0"/>
              <w:jc w:val="center"/>
              <w:rPr>
                <w:rFonts w:asciiTheme="majorBidi" w:hAnsiTheme="majorBidi" w:cstheme="majorBidi"/>
                <w:sz w:val="24"/>
                <w:szCs w:val="24"/>
              </w:rPr>
            </w:pPr>
            <w:r w:rsidRPr="000A35AA">
              <w:rPr>
                <w:rFonts w:asciiTheme="majorBidi" w:hAnsiTheme="majorBidi" w:cstheme="majorBidi"/>
                <w:sz w:val="24"/>
                <w:szCs w:val="24"/>
              </w:rPr>
              <w:t>9</w:t>
            </w:r>
          </w:p>
        </w:tc>
      </w:tr>
      <w:tr w:rsidR="00E77919" w:rsidRPr="000A35AA" w:rsidTr="00734CC3">
        <w:tc>
          <w:tcPr>
            <w:tcW w:w="485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 xml:space="preserve">  Nurses</w:t>
            </w:r>
          </w:p>
        </w:tc>
        <w:tc>
          <w:tcPr>
            <w:tcW w:w="2160" w:type="dxa"/>
          </w:tcPr>
          <w:p w:rsidR="00E77919" w:rsidRPr="000A35AA" w:rsidRDefault="00E77919" w:rsidP="00734CC3">
            <w:pPr>
              <w:bidi w:val="0"/>
              <w:jc w:val="center"/>
              <w:rPr>
                <w:rFonts w:asciiTheme="majorBidi" w:hAnsiTheme="majorBidi" w:cstheme="majorBidi"/>
                <w:sz w:val="24"/>
                <w:szCs w:val="24"/>
              </w:rPr>
            </w:pPr>
            <w:r w:rsidRPr="000A35AA">
              <w:rPr>
                <w:rFonts w:asciiTheme="majorBidi" w:hAnsiTheme="majorBidi" w:cstheme="majorBidi"/>
                <w:sz w:val="24"/>
                <w:szCs w:val="24"/>
              </w:rPr>
              <w:t>13</w:t>
            </w:r>
          </w:p>
        </w:tc>
      </w:tr>
      <w:tr w:rsidR="00E77919" w:rsidRPr="000A35AA" w:rsidTr="00734CC3">
        <w:tc>
          <w:tcPr>
            <w:tcW w:w="485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 xml:space="preserve">  Staff assistants</w:t>
            </w:r>
          </w:p>
        </w:tc>
        <w:tc>
          <w:tcPr>
            <w:tcW w:w="2160" w:type="dxa"/>
          </w:tcPr>
          <w:p w:rsidR="00E77919" w:rsidRPr="000A35AA" w:rsidRDefault="00E77919" w:rsidP="00734CC3">
            <w:pPr>
              <w:bidi w:val="0"/>
              <w:jc w:val="center"/>
              <w:rPr>
                <w:rFonts w:asciiTheme="majorBidi" w:hAnsiTheme="majorBidi" w:cstheme="majorBidi"/>
                <w:sz w:val="24"/>
                <w:szCs w:val="24"/>
              </w:rPr>
            </w:pPr>
            <w:r w:rsidRPr="000A35AA">
              <w:rPr>
                <w:rFonts w:asciiTheme="majorBidi" w:hAnsiTheme="majorBidi" w:cstheme="majorBidi"/>
                <w:sz w:val="24"/>
                <w:szCs w:val="24"/>
              </w:rPr>
              <w:t>4</w:t>
            </w:r>
          </w:p>
        </w:tc>
      </w:tr>
      <w:tr w:rsidR="00E77919" w:rsidRPr="000A35AA" w:rsidTr="00734CC3">
        <w:tc>
          <w:tcPr>
            <w:tcW w:w="7015" w:type="dxa"/>
            <w:gridSpan w:val="2"/>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Hospital-at home</w:t>
            </w:r>
          </w:p>
        </w:tc>
      </w:tr>
      <w:tr w:rsidR="00E77919" w:rsidRPr="000A35AA" w:rsidTr="00734CC3">
        <w:tc>
          <w:tcPr>
            <w:tcW w:w="485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 xml:space="preserve">  Medical ward physician (including on-call hours)</w:t>
            </w:r>
          </w:p>
        </w:tc>
        <w:tc>
          <w:tcPr>
            <w:tcW w:w="2160" w:type="dxa"/>
          </w:tcPr>
          <w:p w:rsidR="00E77919" w:rsidRPr="000A35AA" w:rsidRDefault="00E77919" w:rsidP="00734CC3">
            <w:pPr>
              <w:bidi w:val="0"/>
              <w:jc w:val="center"/>
              <w:rPr>
                <w:rFonts w:asciiTheme="majorBidi" w:hAnsiTheme="majorBidi" w:cstheme="majorBidi"/>
                <w:sz w:val="24"/>
                <w:szCs w:val="24"/>
              </w:rPr>
            </w:pPr>
            <w:r w:rsidRPr="000A35AA">
              <w:rPr>
                <w:rFonts w:asciiTheme="majorBidi" w:hAnsiTheme="majorBidi" w:cstheme="majorBidi"/>
                <w:sz w:val="24"/>
                <w:szCs w:val="24"/>
              </w:rPr>
              <w:t>3</w:t>
            </w:r>
          </w:p>
        </w:tc>
      </w:tr>
      <w:tr w:rsidR="00E77919" w:rsidRPr="000A35AA" w:rsidTr="00734CC3">
        <w:tc>
          <w:tcPr>
            <w:tcW w:w="485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 xml:space="preserve">  Nurses (including on-call hours)</w:t>
            </w:r>
          </w:p>
        </w:tc>
        <w:tc>
          <w:tcPr>
            <w:tcW w:w="2160" w:type="dxa"/>
          </w:tcPr>
          <w:p w:rsidR="00E77919" w:rsidRPr="000A35AA" w:rsidRDefault="00E77919" w:rsidP="00734CC3">
            <w:pPr>
              <w:bidi w:val="0"/>
              <w:jc w:val="center"/>
              <w:rPr>
                <w:rFonts w:asciiTheme="majorBidi" w:hAnsiTheme="majorBidi" w:cstheme="majorBidi"/>
                <w:sz w:val="24"/>
                <w:szCs w:val="24"/>
              </w:rPr>
            </w:pPr>
            <w:r w:rsidRPr="000A35AA">
              <w:rPr>
                <w:rFonts w:asciiTheme="majorBidi" w:hAnsiTheme="majorBidi" w:cstheme="majorBidi"/>
                <w:sz w:val="24"/>
                <w:szCs w:val="24"/>
              </w:rPr>
              <w:t>10.5</w:t>
            </w:r>
          </w:p>
        </w:tc>
      </w:tr>
      <w:tr w:rsidR="00E77919" w:rsidRPr="000A35AA" w:rsidTr="00734CC3">
        <w:tc>
          <w:tcPr>
            <w:tcW w:w="485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 xml:space="preserve">  Pharmacist</w:t>
            </w:r>
          </w:p>
        </w:tc>
        <w:tc>
          <w:tcPr>
            <w:tcW w:w="2160" w:type="dxa"/>
          </w:tcPr>
          <w:p w:rsidR="00E77919" w:rsidRPr="000A35AA" w:rsidRDefault="00E77919" w:rsidP="00734CC3">
            <w:pPr>
              <w:bidi w:val="0"/>
              <w:jc w:val="center"/>
              <w:rPr>
                <w:rFonts w:asciiTheme="majorBidi" w:hAnsiTheme="majorBidi" w:cstheme="majorBidi"/>
                <w:sz w:val="24"/>
                <w:szCs w:val="24"/>
              </w:rPr>
            </w:pPr>
            <w:r w:rsidRPr="000A35AA">
              <w:rPr>
                <w:rFonts w:asciiTheme="majorBidi" w:hAnsiTheme="majorBidi" w:cstheme="majorBidi"/>
                <w:sz w:val="24"/>
                <w:szCs w:val="24"/>
              </w:rPr>
              <w:t>0.5</w:t>
            </w:r>
          </w:p>
        </w:tc>
      </w:tr>
      <w:tr w:rsidR="00E77919" w:rsidRPr="000A35AA" w:rsidTr="00734CC3">
        <w:tc>
          <w:tcPr>
            <w:tcW w:w="485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 xml:space="preserve">  Secretary</w:t>
            </w:r>
          </w:p>
        </w:tc>
        <w:tc>
          <w:tcPr>
            <w:tcW w:w="2160" w:type="dxa"/>
          </w:tcPr>
          <w:p w:rsidR="00E77919" w:rsidRPr="000A35AA" w:rsidRDefault="00E77919" w:rsidP="00734CC3">
            <w:pPr>
              <w:bidi w:val="0"/>
              <w:jc w:val="center"/>
              <w:rPr>
                <w:rFonts w:asciiTheme="majorBidi" w:hAnsiTheme="majorBidi" w:cstheme="majorBidi"/>
                <w:sz w:val="24"/>
                <w:szCs w:val="24"/>
              </w:rPr>
            </w:pPr>
            <w:r w:rsidRPr="000A35AA">
              <w:rPr>
                <w:rFonts w:asciiTheme="majorBidi" w:hAnsiTheme="majorBidi" w:cstheme="majorBidi"/>
                <w:sz w:val="24"/>
                <w:szCs w:val="24"/>
              </w:rPr>
              <w:t>0l5</w:t>
            </w:r>
          </w:p>
        </w:tc>
      </w:tr>
    </w:tbl>
    <w:p w:rsidR="00E77919" w:rsidRPr="000A35AA" w:rsidRDefault="00E77919" w:rsidP="00E77919">
      <w:pPr>
        <w:bidi w:val="0"/>
        <w:rPr>
          <w:rFonts w:asciiTheme="majorBidi" w:hAnsiTheme="majorBidi" w:cstheme="majorBidi"/>
          <w:sz w:val="24"/>
          <w:szCs w:val="24"/>
        </w:rPr>
      </w:pPr>
    </w:p>
    <w:p w:rsidR="00E77919" w:rsidRPr="000A35AA" w:rsidRDefault="00E77919" w:rsidP="00E77919">
      <w:pPr>
        <w:bidi w:val="0"/>
        <w:spacing w:after="0" w:line="480" w:lineRule="auto"/>
        <w:jc w:val="right"/>
        <w:rPr>
          <w:rFonts w:asciiTheme="majorBidi" w:hAnsiTheme="majorBidi" w:cstheme="majorBidi"/>
          <w:sz w:val="24"/>
          <w:szCs w:val="24"/>
        </w:rPr>
      </w:pPr>
      <w:r w:rsidRPr="000A35AA">
        <w:rPr>
          <w:rFonts w:asciiTheme="majorBidi" w:hAnsiTheme="majorBidi" w:cstheme="majorBidi"/>
          <w:sz w:val="24"/>
          <w:szCs w:val="24"/>
        </w:rPr>
        <w:br w:type="page"/>
      </w:r>
    </w:p>
    <w:p w:rsidR="00E77919" w:rsidRPr="000A35AA" w:rsidRDefault="00E77919" w:rsidP="00E77919">
      <w:pPr>
        <w:bidi w:val="0"/>
        <w:rPr>
          <w:rFonts w:asciiTheme="majorBidi" w:hAnsiTheme="majorBidi" w:cstheme="majorBidi"/>
          <w:sz w:val="24"/>
          <w:szCs w:val="24"/>
        </w:rPr>
      </w:pPr>
      <w:r w:rsidRPr="000A35AA">
        <w:rPr>
          <w:rFonts w:asciiTheme="majorBidi" w:hAnsiTheme="majorBidi" w:cstheme="majorBidi"/>
          <w:sz w:val="24"/>
          <w:szCs w:val="24"/>
        </w:rPr>
        <w:lastRenderedPageBreak/>
        <w:t xml:space="preserve">Table </w:t>
      </w:r>
      <w:r>
        <w:rPr>
          <w:rFonts w:asciiTheme="majorBidi" w:hAnsiTheme="majorBidi" w:cstheme="majorBidi"/>
          <w:sz w:val="24"/>
          <w:szCs w:val="24"/>
        </w:rPr>
        <w:t>C</w:t>
      </w:r>
      <w:r w:rsidRPr="000A35AA">
        <w:rPr>
          <w:rFonts w:asciiTheme="majorBidi" w:hAnsiTheme="majorBidi" w:cstheme="majorBidi"/>
          <w:sz w:val="24"/>
          <w:szCs w:val="24"/>
        </w:rPr>
        <w:t>2. In-patient ward</w:t>
      </w:r>
      <w:r>
        <w:rPr>
          <w:rFonts w:asciiTheme="majorBidi" w:hAnsiTheme="majorBidi" w:cstheme="majorBidi"/>
          <w:sz w:val="24"/>
          <w:szCs w:val="24"/>
        </w:rPr>
        <w:t xml:space="preserve"> --</w:t>
      </w:r>
      <w:r w:rsidRPr="000A35AA">
        <w:rPr>
          <w:rFonts w:asciiTheme="majorBidi" w:hAnsiTheme="majorBidi" w:cstheme="majorBidi"/>
          <w:sz w:val="24"/>
          <w:szCs w:val="24"/>
        </w:rPr>
        <w:t xml:space="preserve"> resource assumptions</w:t>
      </w:r>
    </w:p>
    <w:tbl>
      <w:tblPr>
        <w:tblStyle w:val="TableGrid"/>
        <w:tblW w:w="0" w:type="auto"/>
        <w:tblLook w:val="04A0" w:firstRow="1" w:lastRow="0" w:firstColumn="1" w:lastColumn="0" w:noHBand="0" w:noVBand="1"/>
      </w:tblPr>
      <w:tblGrid>
        <w:gridCol w:w="4675"/>
        <w:gridCol w:w="4675"/>
      </w:tblGrid>
      <w:tr w:rsidR="00E77919" w:rsidRPr="000A35AA" w:rsidTr="00734CC3">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Products and services required</w:t>
            </w:r>
          </w:p>
        </w:tc>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Assumptions</w:t>
            </w:r>
          </w:p>
        </w:tc>
      </w:tr>
      <w:tr w:rsidR="00E77919" w:rsidRPr="000A35AA" w:rsidTr="00734CC3">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Medical consultation</w:t>
            </w:r>
          </w:p>
        </w:tc>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Assuming a fixed fee for all medical professionals (average cost calculation), cost per session (for 15 min. sessions)</w:t>
            </w:r>
          </w:p>
        </w:tc>
      </w:tr>
      <w:tr w:rsidR="00E77919" w:rsidRPr="000A35AA" w:rsidTr="00734CC3">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Physical therapist/social worker/pharmacist consultant</w:t>
            </w:r>
          </w:p>
        </w:tc>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Assuming fixed fee for all professionals (average cost calculation), cost per session (for 30 min. sessions)</w:t>
            </w:r>
          </w:p>
        </w:tc>
      </w:tr>
      <w:tr w:rsidR="00E77919" w:rsidRPr="000A35AA" w:rsidTr="00734CC3">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Dietician consultant</w:t>
            </w:r>
          </w:p>
        </w:tc>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Fixed fee for all consultations I15 min. sessions)</w:t>
            </w:r>
          </w:p>
        </w:tc>
      </w:tr>
      <w:tr w:rsidR="00E77919" w:rsidRPr="000A35AA" w:rsidTr="00734CC3">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Overhead</w:t>
            </w:r>
          </w:p>
        </w:tc>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Average fixed fee per day, calculated by hospital’s financial department based on average patient cost data in medical wards (except specialized care, such as ICU, high-need ventilation, etc.); includes: medication, medical device and supplies, management and operational overhead (utilities, variable costs, etc.), depreciation</w:t>
            </w:r>
          </w:p>
        </w:tc>
      </w:tr>
      <w:tr w:rsidR="00E77919" w:rsidRPr="000A35AA" w:rsidTr="00734CC3">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Laboratory tests</w:t>
            </w:r>
          </w:p>
        </w:tc>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 xml:space="preserve">Average cost of laboratory tests per day per patient, calculated by hospital’s financial department. Includes recurring tests related to medical wards (excluding outstanding tests required in rare cases: biochemistry, immune serology, urine, hematology, etc.) </w:t>
            </w:r>
          </w:p>
        </w:tc>
      </w:tr>
      <w:tr w:rsidR="00E77919" w:rsidRPr="000A35AA" w:rsidTr="00734CC3">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Imaging scans</w:t>
            </w:r>
          </w:p>
        </w:tc>
        <w:tc>
          <w:tcPr>
            <w:tcW w:w="467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 xml:space="preserve">Given the variance in imaging costs, 9 common types of imaging tests in medical wards were included. Costs were based on their internal hospital pricing and multiplied on a patient level according to patient use during hospitalization. Included chest/knee radiology, US, CT, duplex US, TEE, TTE, angiography, ECG. </w:t>
            </w:r>
          </w:p>
        </w:tc>
      </w:tr>
    </w:tbl>
    <w:p w:rsidR="00E77919" w:rsidRPr="000A35AA" w:rsidRDefault="00E77919" w:rsidP="00E77919">
      <w:pPr>
        <w:bidi w:val="0"/>
        <w:rPr>
          <w:rFonts w:asciiTheme="majorBidi" w:hAnsiTheme="majorBidi" w:cstheme="majorBidi"/>
          <w:sz w:val="24"/>
          <w:szCs w:val="24"/>
        </w:rPr>
      </w:pPr>
      <w:r w:rsidRPr="000A35AA">
        <w:rPr>
          <w:rFonts w:asciiTheme="majorBidi" w:hAnsiTheme="majorBidi" w:cstheme="majorBidi"/>
          <w:sz w:val="24"/>
          <w:szCs w:val="24"/>
        </w:rPr>
        <w:t>US, ultrasound; CT, computed tomography; TEE, transesophageal echoocardiography, TTE, transthoracic echocardiography; ECG, electrocardiography</w:t>
      </w:r>
    </w:p>
    <w:p w:rsidR="00E77919" w:rsidRPr="000A35AA" w:rsidRDefault="00E77919" w:rsidP="00E77919">
      <w:pPr>
        <w:bidi w:val="0"/>
        <w:spacing w:after="0" w:line="480" w:lineRule="auto"/>
        <w:jc w:val="right"/>
        <w:rPr>
          <w:rFonts w:asciiTheme="majorBidi" w:hAnsiTheme="majorBidi" w:cstheme="majorBidi"/>
          <w:sz w:val="24"/>
          <w:szCs w:val="24"/>
        </w:rPr>
      </w:pPr>
      <w:r w:rsidRPr="000A35AA">
        <w:rPr>
          <w:rFonts w:asciiTheme="majorBidi" w:hAnsiTheme="majorBidi" w:cstheme="majorBidi"/>
          <w:sz w:val="24"/>
          <w:szCs w:val="24"/>
        </w:rPr>
        <w:br w:type="page"/>
      </w:r>
    </w:p>
    <w:p w:rsidR="00E77919" w:rsidRPr="000A35AA" w:rsidRDefault="00E77919" w:rsidP="00E77919">
      <w:pPr>
        <w:bidi w:val="0"/>
        <w:rPr>
          <w:rFonts w:asciiTheme="majorBidi" w:hAnsiTheme="majorBidi" w:cstheme="majorBidi"/>
          <w:sz w:val="24"/>
          <w:szCs w:val="24"/>
        </w:rPr>
      </w:pPr>
      <w:r w:rsidRPr="000A35AA">
        <w:rPr>
          <w:rFonts w:asciiTheme="majorBidi" w:hAnsiTheme="majorBidi" w:cstheme="majorBidi"/>
          <w:sz w:val="24"/>
          <w:szCs w:val="24"/>
        </w:rPr>
        <w:lastRenderedPageBreak/>
        <w:t xml:space="preserve">Table </w:t>
      </w:r>
      <w:r>
        <w:rPr>
          <w:rFonts w:asciiTheme="majorBidi" w:hAnsiTheme="majorBidi" w:cstheme="majorBidi"/>
          <w:sz w:val="24"/>
          <w:szCs w:val="24"/>
        </w:rPr>
        <w:t>C</w:t>
      </w:r>
      <w:r w:rsidRPr="000A35AA">
        <w:rPr>
          <w:rFonts w:asciiTheme="majorBidi" w:hAnsiTheme="majorBidi" w:cstheme="majorBidi"/>
          <w:sz w:val="24"/>
          <w:szCs w:val="24"/>
        </w:rPr>
        <w:t>3. Hospital-at-home resource assumptions</w:t>
      </w:r>
    </w:p>
    <w:tbl>
      <w:tblPr>
        <w:tblStyle w:val="TableGrid"/>
        <w:tblW w:w="0" w:type="auto"/>
        <w:tblLook w:val="04A0" w:firstRow="1" w:lastRow="0" w:firstColumn="1" w:lastColumn="0" w:noHBand="0" w:noVBand="1"/>
      </w:tblPr>
      <w:tblGrid>
        <w:gridCol w:w="4405"/>
        <w:gridCol w:w="4945"/>
      </w:tblGrid>
      <w:tr w:rsidR="00E77919" w:rsidRPr="000A35AA" w:rsidTr="00734CC3">
        <w:tc>
          <w:tcPr>
            <w:tcW w:w="440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Products and services required</w:t>
            </w:r>
          </w:p>
        </w:tc>
        <w:tc>
          <w:tcPr>
            <w:tcW w:w="494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Assumptions</w:t>
            </w:r>
          </w:p>
        </w:tc>
      </w:tr>
      <w:tr w:rsidR="00E77919" w:rsidRPr="000A35AA" w:rsidTr="00734CC3">
        <w:tc>
          <w:tcPr>
            <w:tcW w:w="440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Vehicles and gas</w:t>
            </w:r>
          </w:p>
        </w:tc>
        <w:tc>
          <w:tcPr>
            <w:tcW w:w="494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Cost of vehicle use and gas consumption estimated by hospital’s finance department</w:t>
            </w:r>
          </w:p>
        </w:tc>
      </w:tr>
      <w:tr w:rsidR="00E77919" w:rsidRPr="000A35AA" w:rsidTr="00734CC3">
        <w:tc>
          <w:tcPr>
            <w:tcW w:w="440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Remote monitoring equipment</w:t>
            </w:r>
          </w:p>
        </w:tc>
        <w:tc>
          <w:tcPr>
            <w:tcW w:w="494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40 sets of remote monitoring devices + tablet; 2 years’ depreciation</w:t>
            </w:r>
          </w:p>
        </w:tc>
      </w:tr>
      <w:tr w:rsidR="00E77919" w:rsidRPr="000A35AA" w:rsidTr="00734CC3">
        <w:tc>
          <w:tcPr>
            <w:tcW w:w="440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Medical kit for staff</w:t>
            </w:r>
          </w:p>
        </w:tc>
        <w:tc>
          <w:tcPr>
            <w:tcW w:w="494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Medical kit including medical portable devices (BPAP, ECG, inhalation equipment, home oxygen device, blood pressure monitor, pulse oximeter); 1 year depreciation</w:t>
            </w:r>
          </w:p>
        </w:tc>
      </w:tr>
      <w:tr w:rsidR="00E77919" w:rsidRPr="000A35AA" w:rsidTr="00734CC3">
        <w:tc>
          <w:tcPr>
            <w:tcW w:w="440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Call center</w:t>
            </w:r>
          </w:p>
        </w:tc>
        <w:tc>
          <w:tcPr>
            <w:tcW w:w="494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Computers, screens, cameras, etc.; 3 years depreciation</w:t>
            </w:r>
          </w:p>
        </w:tc>
      </w:tr>
      <w:tr w:rsidR="00E77919" w:rsidRPr="000A35AA" w:rsidTr="00734CC3">
        <w:tc>
          <w:tcPr>
            <w:tcW w:w="440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Communication</w:t>
            </w:r>
          </w:p>
        </w:tc>
        <w:tc>
          <w:tcPr>
            <w:tcW w:w="494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Cost per day per patient, 4G SIM connection</w:t>
            </w:r>
          </w:p>
        </w:tc>
      </w:tr>
      <w:tr w:rsidR="00E77919" w:rsidRPr="000A35AA" w:rsidTr="00734CC3">
        <w:tc>
          <w:tcPr>
            <w:tcW w:w="440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Ambulance and taxis</w:t>
            </w:r>
          </w:p>
        </w:tc>
        <w:tc>
          <w:tcPr>
            <w:tcW w:w="494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Average number of ambulance /taxi calls per month and actual fee per ride</w:t>
            </w:r>
          </w:p>
        </w:tc>
      </w:tr>
      <w:tr w:rsidR="00E77919" w:rsidRPr="000A35AA" w:rsidTr="00734CC3">
        <w:tc>
          <w:tcPr>
            <w:tcW w:w="440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Logistics</w:t>
            </w:r>
          </w:p>
        </w:tc>
        <w:tc>
          <w:tcPr>
            <w:tcW w:w="494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Third party supplier of home equipment to patients as well as technical training and support</w:t>
            </w:r>
          </w:p>
        </w:tc>
      </w:tr>
      <w:tr w:rsidR="00E77919" w:rsidRPr="000A35AA" w:rsidTr="00734CC3">
        <w:tc>
          <w:tcPr>
            <w:tcW w:w="440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Medical consummables, medicine, lab tests, imaging scans</w:t>
            </w:r>
          </w:p>
        </w:tc>
        <w:tc>
          <w:tcPr>
            <w:tcW w:w="494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Similar costs to the hospital which will be providing the supplies. Similar rates and calculations as performed for in-patient cohort</w:t>
            </w:r>
          </w:p>
        </w:tc>
      </w:tr>
      <w:tr w:rsidR="00E77919" w:rsidRPr="000A35AA" w:rsidTr="00734CC3">
        <w:tc>
          <w:tcPr>
            <w:tcW w:w="440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Overhead</w:t>
            </w:r>
          </w:p>
        </w:tc>
        <w:tc>
          <w:tcPr>
            <w:tcW w:w="4945" w:type="dxa"/>
          </w:tcPr>
          <w:p w:rsidR="00E77919" w:rsidRPr="000A35AA" w:rsidRDefault="00E77919" w:rsidP="00734CC3">
            <w:pPr>
              <w:bidi w:val="0"/>
              <w:rPr>
                <w:rFonts w:asciiTheme="majorBidi" w:hAnsiTheme="majorBidi" w:cstheme="majorBidi"/>
                <w:sz w:val="24"/>
                <w:szCs w:val="24"/>
              </w:rPr>
            </w:pPr>
            <w:r w:rsidRPr="000A35AA">
              <w:rPr>
                <w:rFonts w:asciiTheme="majorBidi" w:hAnsiTheme="majorBidi" w:cstheme="majorBidi"/>
                <w:sz w:val="24"/>
                <w:szCs w:val="24"/>
              </w:rPr>
              <w:t>Additional overhead costs (fixed hospital costs, management, etc.) were not included</w:t>
            </w:r>
          </w:p>
        </w:tc>
      </w:tr>
    </w:tbl>
    <w:p w:rsidR="00E77919" w:rsidRPr="000A35AA" w:rsidRDefault="00E77919" w:rsidP="00E77919">
      <w:pPr>
        <w:bidi w:val="0"/>
        <w:rPr>
          <w:rFonts w:asciiTheme="majorBidi" w:hAnsiTheme="majorBidi" w:cstheme="majorBidi"/>
          <w:sz w:val="24"/>
          <w:szCs w:val="24"/>
        </w:rPr>
      </w:pPr>
    </w:p>
    <w:p w:rsidR="000A35AA" w:rsidRPr="000A35AA" w:rsidRDefault="000A35AA" w:rsidP="000A35AA">
      <w:pPr>
        <w:bidi w:val="0"/>
        <w:rPr>
          <w:rFonts w:asciiTheme="majorBidi" w:hAnsiTheme="majorBidi" w:cstheme="majorBidi"/>
          <w:sz w:val="24"/>
          <w:szCs w:val="24"/>
        </w:rPr>
      </w:pPr>
    </w:p>
    <w:p w:rsidR="00313509" w:rsidRPr="000A35AA" w:rsidRDefault="00313509" w:rsidP="000A35AA">
      <w:pPr>
        <w:bidi w:val="0"/>
        <w:spacing w:after="0" w:line="480" w:lineRule="auto"/>
        <w:rPr>
          <w:rFonts w:asciiTheme="majorBidi" w:hAnsiTheme="majorBidi" w:cstheme="majorBidi"/>
          <w:b/>
          <w:bCs/>
          <w:sz w:val="24"/>
          <w:szCs w:val="24"/>
        </w:rPr>
      </w:pPr>
    </w:p>
    <w:p w:rsidR="00313509" w:rsidRPr="000A35AA" w:rsidRDefault="00313509" w:rsidP="00313509">
      <w:pPr>
        <w:bidi w:val="0"/>
        <w:rPr>
          <w:rFonts w:asciiTheme="majorBidi" w:hAnsiTheme="majorBidi" w:cstheme="majorBidi"/>
          <w:sz w:val="24"/>
          <w:szCs w:val="24"/>
        </w:rPr>
      </w:pPr>
    </w:p>
    <w:p w:rsidR="00A8419F" w:rsidRPr="000A35AA" w:rsidRDefault="004A4D87">
      <w:pPr>
        <w:rPr>
          <w:rFonts w:asciiTheme="majorBidi" w:hAnsiTheme="majorBidi" w:cstheme="majorBidi"/>
          <w:sz w:val="24"/>
          <w:szCs w:val="24"/>
        </w:rPr>
      </w:pPr>
    </w:p>
    <w:sectPr w:rsidR="00A8419F" w:rsidRPr="000A35AA" w:rsidSect="00826AD8">
      <w:pgSz w:w="11906" w:h="16838" w:code="9"/>
      <w:pgMar w:top="720" w:right="720" w:bottom="720" w:left="720" w:header="720" w:footer="720" w:gutter="0"/>
      <w:cols w:space="720"/>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E322D"/>
    <w:multiLevelType w:val="hybridMultilevel"/>
    <w:tmpl w:val="4D26149C"/>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3A114DE"/>
    <w:multiLevelType w:val="hybridMultilevel"/>
    <w:tmpl w:val="17A8CA2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8D52240"/>
    <w:multiLevelType w:val="hybridMultilevel"/>
    <w:tmpl w:val="ABA8D6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387D51"/>
    <w:multiLevelType w:val="hybridMultilevel"/>
    <w:tmpl w:val="D09C79B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FAE3480"/>
    <w:multiLevelType w:val="hybridMultilevel"/>
    <w:tmpl w:val="93861C6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BA3370B"/>
    <w:multiLevelType w:val="hybridMultilevel"/>
    <w:tmpl w:val="AF3C28C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5C63174"/>
    <w:multiLevelType w:val="hybridMultilevel"/>
    <w:tmpl w:val="CC3EEC2E"/>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509"/>
    <w:rsid w:val="000A35AA"/>
    <w:rsid w:val="000F209C"/>
    <w:rsid w:val="0026659C"/>
    <w:rsid w:val="00313509"/>
    <w:rsid w:val="00353810"/>
    <w:rsid w:val="00431DC3"/>
    <w:rsid w:val="004A4D87"/>
    <w:rsid w:val="004C63B6"/>
    <w:rsid w:val="00611690"/>
    <w:rsid w:val="007F41A2"/>
    <w:rsid w:val="00826AD8"/>
    <w:rsid w:val="00E77919"/>
    <w:rsid w:val="00F0013B"/>
    <w:rsid w:val="00FC6B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692797-69D7-4E5A-A922-D0005D53E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pPr>
        <w:spacing w:line="480"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509"/>
    <w:pPr>
      <w:bidi/>
      <w:spacing w:after="160" w:line="259" w:lineRule="auto"/>
      <w:jc w:val="left"/>
    </w:pPr>
    <w:rPr>
      <w:rFonts w:asciiTheme="minorHAnsi" w:eastAsiaTheme="minorHAnsi" w:hAnsiTheme="minorHAnsi" w:cstheme="minorBidi"/>
      <w:sz w:val="22"/>
      <w:szCs w:val="22"/>
    </w:rPr>
  </w:style>
  <w:style w:type="paragraph" w:styleId="Heading2">
    <w:name w:val="heading 2"/>
    <w:basedOn w:val="Normal"/>
    <w:next w:val="Normal"/>
    <w:link w:val="Heading2Char"/>
    <w:uiPriority w:val="9"/>
    <w:qFormat/>
    <w:rsid w:val="00431DC3"/>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431DC3"/>
    <w:pPr>
      <w:keepNext/>
      <w:framePr w:hSpace="180" w:wrap="around" w:vAnchor="text" w:hAnchor="margin" w:y="165"/>
      <w:jc w:val="right"/>
      <w:outlineLvl w:val="2"/>
    </w:pPr>
    <w:rPr>
      <w:rFonts w:ascii="Times New Roman" w:eastAsia="Times New Roman" w:hAnsi="Times New Roman" w:cs="Times New Roman"/>
      <w:b/>
      <w:bCs/>
      <w:sz w:val="20"/>
      <w:szCs w:val="20"/>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פיסקת רשימה"/>
    <w:basedOn w:val="Normal"/>
    <w:uiPriority w:val="34"/>
    <w:qFormat/>
    <w:rsid w:val="00431DC3"/>
    <w:pPr>
      <w:ind w:left="720"/>
      <w:contextualSpacing/>
    </w:pPr>
  </w:style>
  <w:style w:type="character" w:customStyle="1" w:styleId="Heading2Char">
    <w:name w:val="Heading 2 Char"/>
    <w:link w:val="Heading2"/>
    <w:uiPriority w:val="9"/>
    <w:rsid w:val="00431DC3"/>
    <w:rPr>
      <w:rFonts w:ascii="Cambria" w:eastAsia="Times New Roman" w:hAnsi="Cambria" w:cs="Times New Roman"/>
      <w:b/>
      <w:bCs/>
      <w:i/>
      <w:iCs/>
      <w:sz w:val="28"/>
      <w:szCs w:val="28"/>
    </w:rPr>
  </w:style>
  <w:style w:type="character" w:customStyle="1" w:styleId="Heading3Char">
    <w:name w:val="Heading 3 Char"/>
    <w:link w:val="Heading3"/>
    <w:rsid w:val="00431DC3"/>
    <w:rPr>
      <w:rFonts w:ascii="Times New Roman" w:eastAsia="Times New Roman" w:hAnsi="Times New Roman" w:cs="Times New Roman"/>
      <w:b/>
      <w:bCs/>
      <w:lang w:eastAsia="he-IL"/>
    </w:rPr>
  </w:style>
  <w:style w:type="paragraph" w:styleId="NoSpacing">
    <w:name w:val="No Spacing"/>
    <w:uiPriority w:val="1"/>
    <w:qFormat/>
    <w:rsid w:val="00431DC3"/>
    <w:rPr>
      <w:sz w:val="22"/>
      <w:szCs w:val="22"/>
    </w:rPr>
  </w:style>
  <w:style w:type="table" w:styleId="TableGrid">
    <w:name w:val="Table Grid"/>
    <w:basedOn w:val="TableNormal"/>
    <w:uiPriority w:val="39"/>
    <w:rsid w:val="00313509"/>
    <w:pPr>
      <w:spacing w:line="240" w:lineRule="auto"/>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35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4766</Words>
  <Characters>23834</Characters>
  <Application>Microsoft Office Word</Application>
  <DocSecurity>0</DocSecurity>
  <Lines>198</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גלוריה גנזך</dc:creator>
  <cp:keywords/>
  <dc:description/>
  <cp:lastModifiedBy>user</cp:lastModifiedBy>
  <cp:revision>2</cp:revision>
  <dcterms:created xsi:type="dcterms:W3CDTF">2022-04-04T10:02:00Z</dcterms:created>
  <dcterms:modified xsi:type="dcterms:W3CDTF">2022-04-04T10:02:00Z</dcterms:modified>
</cp:coreProperties>
</file>