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24EC7" w14:textId="77777777" w:rsidR="00D50191" w:rsidRDefault="00D50191" w:rsidP="00D50191">
      <w:pPr>
        <w:jc w:val="both"/>
      </w:pPr>
      <w:r>
        <w:t>Annex 1.</w:t>
      </w:r>
    </w:p>
    <w:tbl>
      <w:tblPr>
        <w:tblStyle w:val="TableGrid"/>
        <w:tblW w:w="8494" w:type="dxa"/>
        <w:tblLayout w:type="fixed"/>
        <w:tblLook w:val="04A0" w:firstRow="1" w:lastRow="0" w:firstColumn="1" w:lastColumn="0" w:noHBand="0" w:noVBand="1"/>
      </w:tblPr>
      <w:tblGrid>
        <w:gridCol w:w="8494"/>
      </w:tblGrid>
      <w:tr w:rsidR="00D50191" w14:paraId="598165C7" w14:textId="77777777" w:rsidTr="00FB0055">
        <w:trPr>
          <w:trHeight w:val="402"/>
        </w:trPr>
        <w:tc>
          <w:tcPr>
            <w:tcW w:w="8494" w:type="dxa"/>
          </w:tcPr>
          <w:p w14:paraId="7244EE93" w14:textId="77777777" w:rsidR="00D50191" w:rsidRDefault="00D50191" w:rsidP="00FB0055">
            <w:pPr>
              <w:spacing w:before="120" w:after="120"/>
              <w:jc w:val="center"/>
              <w:rPr>
                <w:b/>
                <w:bCs/>
              </w:rPr>
            </w:pPr>
            <w:r>
              <w:rPr>
                <w:rFonts w:eastAsia="Calibri" w:cs="Arial"/>
                <w:b/>
                <w:bCs/>
              </w:rPr>
              <w:t>GLOSSARY</w:t>
            </w:r>
          </w:p>
        </w:tc>
      </w:tr>
      <w:tr w:rsidR="00D50191" w14:paraId="786BF136" w14:textId="77777777" w:rsidTr="00FB0055">
        <w:tc>
          <w:tcPr>
            <w:tcW w:w="8494" w:type="dxa"/>
          </w:tcPr>
          <w:p w14:paraId="542A5E2E" w14:textId="77777777" w:rsidR="00D50191" w:rsidRDefault="00D50191" w:rsidP="00D50191">
            <w:pPr>
              <w:pStyle w:val="ListParagraph"/>
              <w:numPr>
                <w:ilvl w:val="0"/>
                <w:numId w:val="1"/>
              </w:numPr>
              <w:spacing w:before="120" w:after="120"/>
              <w:jc w:val="both"/>
              <w:rPr>
                <w:b/>
                <w:bCs/>
              </w:rPr>
            </w:pPr>
            <w:r>
              <w:rPr>
                <w:rFonts w:eastAsia="Calibri" w:cs="Arial"/>
                <w:b/>
                <w:bCs/>
              </w:rPr>
              <w:t xml:space="preserve">Baiting: </w:t>
            </w:r>
            <w:r>
              <w:rPr>
                <w:rFonts w:eastAsia="Calibri" w:cs="Arial"/>
              </w:rPr>
              <w:t>according to Inslerman et al., (2006)</w:t>
            </w:r>
            <w:r>
              <w:rPr>
                <w:rFonts w:eastAsia="Calibri" w:cs="Arial"/>
                <w:b/>
                <w:bCs/>
              </w:rPr>
              <w:t xml:space="preserve"> </w:t>
            </w:r>
            <w:r>
              <w:rPr>
                <w:rFonts w:eastAsia="Calibri" w:cs="Arial"/>
              </w:rPr>
              <w:t>is the act of intentionally placing food attractants to manipulate the behaviour of wild species for the purpose of i) attracting wildlife to a specific location to enhance hunter harvest, trapping, or viewing opportunities; ii) capturing and treating animals for control of infectious and non-infectious diseases; iii) reducing or controlling overabundant native or exotic wildlife populations, invasive species, or problem wildlife that pose a threat to human health or safety, domestic animals, or private property; iv) capturing wildlife for relocation or population augmentation and restoration and; v) capturing wildlife for implementation of research and management programs.</w:t>
            </w:r>
          </w:p>
        </w:tc>
      </w:tr>
      <w:tr w:rsidR="00D50191" w14:paraId="1CF6002E" w14:textId="77777777" w:rsidTr="00FB0055">
        <w:tc>
          <w:tcPr>
            <w:tcW w:w="8494" w:type="dxa"/>
          </w:tcPr>
          <w:p w14:paraId="60119109" w14:textId="77777777" w:rsidR="00D50191" w:rsidRDefault="00D50191" w:rsidP="00D50191">
            <w:pPr>
              <w:pStyle w:val="ListParagraph"/>
              <w:numPr>
                <w:ilvl w:val="0"/>
                <w:numId w:val="1"/>
              </w:numPr>
              <w:spacing w:before="120" w:after="120"/>
              <w:jc w:val="both"/>
              <w:rPr>
                <w:b/>
                <w:bCs/>
              </w:rPr>
            </w:pPr>
            <w:r>
              <w:rPr>
                <w:rFonts w:eastAsia="Calibri" w:cs="Arial"/>
                <w:b/>
                <w:bCs/>
              </w:rPr>
              <w:t>Catchability</w:t>
            </w:r>
            <w:r>
              <w:rPr>
                <w:rFonts w:eastAsia="Calibri" w:cs="Arial"/>
              </w:rPr>
              <w:t>: the probability of being culled.</w:t>
            </w:r>
          </w:p>
        </w:tc>
      </w:tr>
      <w:tr w:rsidR="00D50191" w14:paraId="37F33810" w14:textId="77777777" w:rsidTr="00FB0055">
        <w:tc>
          <w:tcPr>
            <w:tcW w:w="8494" w:type="dxa"/>
          </w:tcPr>
          <w:p w14:paraId="2471AC7F"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Drive count methods:</w:t>
            </w:r>
            <w:r>
              <w:rPr>
                <w:rFonts w:eastAsia="Calibri" w:cs="Arial"/>
              </w:rPr>
              <w:t xml:space="preserve"> Methods based on  counting of individuals displaced during a beat in a knowing surfaced area intended to a density estimation.</w:t>
            </w:r>
          </w:p>
        </w:tc>
      </w:tr>
      <w:tr w:rsidR="00D50191" w14:paraId="78A39B7C" w14:textId="77777777" w:rsidTr="00FB0055">
        <w:tc>
          <w:tcPr>
            <w:tcW w:w="8494" w:type="dxa"/>
          </w:tcPr>
          <w:p w14:paraId="08BA92EF"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Hunted area:</w:t>
            </w:r>
            <w:r>
              <w:rPr>
                <w:rFonts w:eastAsia="Calibri" w:cs="Arial"/>
              </w:rPr>
              <w:t xml:space="preserve"> Area where a hunting event has been held within a game reserve or hunting ground.</w:t>
            </w:r>
          </w:p>
        </w:tc>
      </w:tr>
      <w:tr w:rsidR="00D50191" w14:paraId="4B29ED3D" w14:textId="77777777" w:rsidTr="00FB0055">
        <w:tc>
          <w:tcPr>
            <w:tcW w:w="8494" w:type="dxa"/>
          </w:tcPr>
          <w:p w14:paraId="3790DAE2"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Hunting effectiveness</w:t>
            </w:r>
            <w:r>
              <w:rPr>
                <w:rFonts w:eastAsia="Calibri" w:cs="Arial"/>
              </w:rPr>
              <w:t xml:space="preserve"> (efficiency)</w:t>
            </w:r>
            <w:r>
              <w:rPr>
                <w:rFonts w:eastAsia="Calibri" w:cs="Arial"/>
                <w:b/>
                <w:bCs/>
              </w:rPr>
              <w:t>:</w:t>
            </w:r>
            <w:r>
              <w:rPr>
                <w:rFonts w:eastAsia="Calibri" w:cs="Arial"/>
              </w:rPr>
              <w:t xml:space="preserve"> number of captured animals related to the observed animals during the hunting activity. Can be also expressed as catch-per-unit-effort. </w:t>
            </w:r>
          </w:p>
        </w:tc>
      </w:tr>
      <w:tr w:rsidR="00D50191" w14:paraId="7F5D5B48" w14:textId="77777777" w:rsidTr="00FB0055">
        <w:tc>
          <w:tcPr>
            <w:tcW w:w="8494" w:type="dxa"/>
          </w:tcPr>
          <w:p w14:paraId="227F0E89"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Hunting effort:</w:t>
            </w:r>
            <w:r>
              <w:rPr>
                <w:rFonts w:eastAsia="Calibri" w:cs="Arial"/>
              </w:rPr>
              <w:t xml:space="preserve"> set of practices carried out by hunters to capture game animals. Includes variables such as number of hunters, number of dogs, hunted area and hunting methods.</w:t>
            </w:r>
          </w:p>
        </w:tc>
      </w:tr>
      <w:tr w:rsidR="00D50191" w14:paraId="4CF147B0" w14:textId="77777777" w:rsidTr="00FB0055">
        <w:tc>
          <w:tcPr>
            <w:tcW w:w="8494" w:type="dxa"/>
          </w:tcPr>
          <w:p w14:paraId="3B83DE3B"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Hunting ground size:</w:t>
            </w:r>
            <w:r>
              <w:rPr>
                <w:rFonts w:eastAsia="Calibri" w:cs="Arial"/>
              </w:rPr>
              <w:t xml:space="preserve"> Total area of the hunting unit (hunting ground or reserve).</w:t>
            </w:r>
          </w:p>
        </w:tc>
      </w:tr>
      <w:tr w:rsidR="00D50191" w14:paraId="4EC4B794" w14:textId="77777777" w:rsidTr="00FB0055">
        <w:tc>
          <w:tcPr>
            <w:tcW w:w="8494" w:type="dxa"/>
          </w:tcPr>
          <w:p w14:paraId="5F580500"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Hunting pressure:</w:t>
            </w:r>
            <w:r>
              <w:rPr>
                <w:rFonts w:eastAsia="Calibri" w:cs="Arial"/>
              </w:rPr>
              <w:t xml:space="preserve"> Mortality rate generated after the application of a determined hunting effort.</w:t>
            </w:r>
          </w:p>
        </w:tc>
      </w:tr>
      <w:tr w:rsidR="00D50191" w14:paraId="448ABC18" w14:textId="77777777" w:rsidTr="00FB0055">
        <w:tc>
          <w:tcPr>
            <w:tcW w:w="8494" w:type="dxa"/>
          </w:tcPr>
          <w:p w14:paraId="6BC375CA"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Hunting regulations:</w:t>
            </w:r>
            <w:r>
              <w:rPr>
                <w:rFonts w:eastAsia="Calibri" w:cs="Arial"/>
              </w:rPr>
              <w:t xml:space="preserve"> set of legislative and administrative measures that modify the terms for conducting a hunting event and which are subject to change according to regions and countries.</w:t>
            </w:r>
          </w:p>
        </w:tc>
      </w:tr>
      <w:tr w:rsidR="00D50191" w14:paraId="64D22DD3" w14:textId="77777777" w:rsidTr="00FB0055">
        <w:tc>
          <w:tcPr>
            <w:tcW w:w="8494" w:type="dxa"/>
          </w:tcPr>
          <w:p w14:paraId="195ECC59"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Hunting statistics:</w:t>
            </w:r>
            <w:r>
              <w:rPr>
                <w:rFonts w:eastAsia="Calibri" w:cs="Arial"/>
              </w:rPr>
              <w:t xml:space="preserve"> set of variables related to the hunting activity, including the harvest or bag (the total number of animals seen and/or captured during a hunting event) within a given area and/or time.</w:t>
            </w:r>
          </w:p>
        </w:tc>
      </w:tr>
      <w:tr w:rsidR="00D50191" w14:paraId="7C9D51B3" w14:textId="77777777" w:rsidTr="00FB0055">
        <w:tc>
          <w:tcPr>
            <w:tcW w:w="8494" w:type="dxa"/>
          </w:tcPr>
          <w:p w14:paraId="6E34DA08"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Population density:</w:t>
            </w:r>
            <w:r>
              <w:rPr>
                <w:rFonts w:eastAsia="Calibri" w:cs="Arial"/>
              </w:rPr>
              <w:t xml:space="preserve"> Size of a population for a given area, usually expressed as number of heads or individuals per km</w:t>
            </w:r>
            <w:r>
              <w:rPr>
                <w:rFonts w:eastAsia="Calibri" w:cs="Arial"/>
                <w:vertAlign w:val="superscript"/>
              </w:rPr>
              <w:t>2</w:t>
            </w:r>
            <w:r>
              <w:rPr>
                <w:rFonts w:eastAsia="Calibri" w:cs="Arial"/>
              </w:rPr>
              <w:t>.</w:t>
            </w:r>
          </w:p>
        </w:tc>
      </w:tr>
      <w:tr w:rsidR="00D50191" w14:paraId="4BB57A40" w14:textId="77777777" w:rsidTr="00FB0055">
        <w:tc>
          <w:tcPr>
            <w:tcW w:w="8494" w:type="dxa"/>
          </w:tcPr>
          <w:p w14:paraId="3A543657" w14:textId="77777777" w:rsidR="00D50191" w:rsidRDefault="00D50191" w:rsidP="00D50191">
            <w:pPr>
              <w:pStyle w:val="ListParagraph"/>
              <w:numPr>
                <w:ilvl w:val="0"/>
                <w:numId w:val="1"/>
              </w:numPr>
              <w:spacing w:before="120" w:after="120"/>
              <w:jc w:val="both"/>
              <w:rPr>
                <w:rFonts w:ascii="Calibri" w:eastAsia="Calibri" w:hAnsi="Calibri" w:cs="Arial"/>
              </w:rPr>
            </w:pPr>
            <w:r>
              <w:rPr>
                <w:rFonts w:eastAsia="Calibri" w:cs="Arial"/>
                <w:b/>
                <w:bCs/>
              </w:rPr>
              <w:t>Population relative abundance:</w:t>
            </w:r>
            <w:r>
              <w:rPr>
                <w:rFonts w:eastAsia="Calibri" w:cs="Arial"/>
              </w:rPr>
              <w:t xml:space="preserve"> The relative representation of a species in a particular ecosystem. It could be calculated by different methods and reflects the temporal or spatial variations of the size or density of a population, but without estimate these parameters directly.</w:t>
            </w:r>
          </w:p>
        </w:tc>
      </w:tr>
      <w:tr w:rsidR="00D50191" w14:paraId="3B8EA3E1" w14:textId="77777777" w:rsidTr="00FB0055">
        <w:tc>
          <w:tcPr>
            <w:tcW w:w="8494" w:type="dxa"/>
          </w:tcPr>
          <w:p w14:paraId="0C1FD081" w14:textId="77777777" w:rsidR="00D50191" w:rsidRDefault="00D50191" w:rsidP="00D50191">
            <w:pPr>
              <w:pStyle w:val="ListParagraph"/>
              <w:numPr>
                <w:ilvl w:val="0"/>
                <w:numId w:val="1"/>
              </w:numPr>
              <w:spacing w:before="120" w:after="120"/>
              <w:jc w:val="both"/>
              <w:rPr>
                <w:b/>
                <w:bCs/>
              </w:rPr>
            </w:pPr>
            <w:r>
              <w:rPr>
                <w:rFonts w:eastAsia="Calibri" w:cs="Arial"/>
                <w:b/>
                <w:bCs/>
              </w:rPr>
              <w:t xml:space="preserve">Supplemental feeding: </w:t>
            </w:r>
            <w:r>
              <w:rPr>
                <w:rFonts w:eastAsia="Calibri" w:cs="Arial"/>
              </w:rPr>
              <w:t xml:space="preserve">according to Inslerman et al., (2006) the act of intentionally placing any food for use by wildlife on an annual, seasonal, or emergency basis with the intent of i) improving the condition of individual animals or population performance, ii) </w:t>
            </w:r>
            <w:r>
              <w:rPr>
                <w:rFonts w:eastAsia="Calibri" w:cs="Arial"/>
              </w:rPr>
              <w:lastRenderedPageBreak/>
              <w:t>providing additional food resources to wildlife in emergency situations when natural foods become unavailable or severely restricted due to natural or man-induced perturbations, iii) attracting or luring wildlife to alternate locations to reduce damage to agricultural crops, livestock, and timber stands, or to reduce threats to human health and safety and; iv) artificially attracting or concentrating wildlife to enhance recreational opportunities (e.g. hunter harvest, wildlife viewing, photography).</w:t>
            </w:r>
          </w:p>
        </w:tc>
      </w:tr>
    </w:tbl>
    <w:p w14:paraId="6A31BF5C" w14:textId="77777777" w:rsidR="00D50191" w:rsidRDefault="00D50191" w:rsidP="00D50191">
      <w:pPr>
        <w:spacing w:line="360" w:lineRule="auto"/>
        <w:jc w:val="both"/>
        <w:sectPr w:rsidR="00D50191" w:rsidSect="00D50191">
          <w:footerReference w:type="default" r:id="rId5"/>
          <w:pgSz w:w="11906" w:h="16838"/>
          <w:pgMar w:top="1440" w:right="1080" w:bottom="1440" w:left="1080" w:header="0" w:footer="709" w:gutter="0"/>
          <w:lnNumType w:countBy="1" w:distance="283" w:restart="continuous"/>
          <w:cols w:space="720"/>
          <w:formProt w:val="0"/>
          <w:docGrid w:linePitch="360" w:charSpace="4096"/>
        </w:sectPr>
      </w:pPr>
      <w:r>
        <w:lastRenderedPageBreak/>
        <w:br w:type="page"/>
      </w:r>
    </w:p>
    <w:p w14:paraId="4EF5335A" w14:textId="77777777" w:rsidR="001760E5" w:rsidRDefault="00D50191"/>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5681790"/>
      <w:docPartObj>
        <w:docPartGallery w:val="Page Numbers (Bottom of Page)"/>
        <w:docPartUnique/>
      </w:docPartObj>
    </w:sdtPr>
    <w:sdtEndPr/>
    <w:sdtContent>
      <w:p w14:paraId="11871759" w14:textId="77777777" w:rsidR="00B36B16" w:rsidRDefault="00D5019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sdtContent>
  </w:sdt>
  <w:p w14:paraId="06976C87" w14:textId="77777777" w:rsidR="00B36B16" w:rsidRDefault="00D5019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0D1FD1"/>
    <w:multiLevelType w:val="multilevel"/>
    <w:tmpl w:val="9ECEAF4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191"/>
    <w:rsid w:val="008A3324"/>
    <w:rsid w:val="00996CDB"/>
    <w:rsid w:val="009B6A41"/>
    <w:rsid w:val="00BA546E"/>
    <w:rsid w:val="00D50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E8D7"/>
  <w15:chartTrackingRefBased/>
  <w15:docId w15:val="{1677467B-A1C1-45C4-8134-58831FFA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191"/>
    <w:pPr>
      <w:suppressAutoHyphens/>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D50191"/>
  </w:style>
  <w:style w:type="character" w:styleId="PageNumber">
    <w:name w:val="page number"/>
    <w:basedOn w:val="DefaultParagraphFont"/>
    <w:uiPriority w:val="99"/>
    <w:semiHidden/>
    <w:unhideWhenUsed/>
    <w:qFormat/>
    <w:rsid w:val="00D50191"/>
  </w:style>
  <w:style w:type="paragraph" w:styleId="Footer">
    <w:name w:val="footer"/>
    <w:basedOn w:val="Normal"/>
    <w:link w:val="FooterChar"/>
    <w:uiPriority w:val="99"/>
    <w:unhideWhenUsed/>
    <w:rsid w:val="00D50191"/>
    <w:pPr>
      <w:tabs>
        <w:tab w:val="center" w:pos="4252"/>
        <w:tab w:val="right" w:pos="8504"/>
      </w:tabs>
      <w:spacing w:after="0" w:line="240" w:lineRule="auto"/>
    </w:pPr>
    <w:rPr>
      <w:lang w:val="en-US"/>
    </w:rPr>
  </w:style>
  <w:style w:type="character" w:customStyle="1" w:styleId="FooterChar1">
    <w:name w:val="Footer Char1"/>
    <w:basedOn w:val="DefaultParagraphFont"/>
    <w:uiPriority w:val="99"/>
    <w:semiHidden/>
    <w:rsid w:val="00D50191"/>
    <w:rPr>
      <w:lang w:val="en-GB"/>
    </w:rPr>
  </w:style>
  <w:style w:type="paragraph" w:styleId="ListParagraph">
    <w:name w:val="List Paragraph"/>
    <w:basedOn w:val="Normal"/>
    <w:uiPriority w:val="34"/>
    <w:qFormat/>
    <w:rsid w:val="00D50191"/>
    <w:pPr>
      <w:ind w:left="720"/>
      <w:contextualSpacing/>
    </w:pPr>
  </w:style>
  <w:style w:type="table" w:styleId="TableGrid">
    <w:name w:val="Table Grid"/>
    <w:basedOn w:val="TableNormal"/>
    <w:uiPriority w:val="39"/>
    <w:rsid w:val="00D50191"/>
    <w:pPr>
      <w:suppressAutoHyphens/>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50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2676</Characters>
  <Application>Microsoft Office Word</Application>
  <DocSecurity>0</DocSecurity>
  <Lines>22</Lines>
  <Paragraphs>6</Paragraphs>
  <ScaleCrop>false</ScaleCrop>
  <Company>Springer Nature</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2022-10-11T11:15:00Z</dcterms:created>
  <dcterms:modified xsi:type="dcterms:W3CDTF">2022-10-11T11:16:00Z</dcterms:modified>
</cp:coreProperties>
</file>