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406BB" w14:textId="735B4818" w:rsidR="002D0FDD" w:rsidRPr="000230C5" w:rsidRDefault="002D0FDD" w:rsidP="002D0F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30C5">
        <w:rPr>
          <w:rFonts w:ascii="Times New Roman" w:hAnsi="Times New Roman" w:cs="Times New Roman"/>
          <w:b/>
          <w:bCs/>
          <w:sz w:val="24"/>
          <w:szCs w:val="24"/>
        </w:rPr>
        <w:t>Supporting Information</w:t>
      </w:r>
    </w:p>
    <w:p w14:paraId="499C4948" w14:textId="77777777" w:rsidR="002D0FDD" w:rsidRPr="000230C5" w:rsidRDefault="002D0FDD">
      <w:pPr>
        <w:rPr>
          <w:rFonts w:ascii="Times New Roman" w:hAnsi="Times New Roman" w:cs="Times New Roman"/>
          <w:sz w:val="24"/>
          <w:szCs w:val="24"/>
        </w:rPr>
      </w:pPr>
    </w:p>
    <w:p w14:paraId="192F75C7" w14:textId="77777777" w:rsidR="000230C5" w:rsidRPr="000230C5" w:rsidRDefault="000230C5" w:rsidP="000230C5">
      <w:pPr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</w:pPr>
      <w:r w:rsidRPr="000230C5">
        <w:rPr>
          <w:rFonts w:ascii="Times New Roman" w:eastAsia="MS Mincho" w:hAnsi="Times New Roman" w:cs="Times New Roman"/>
          <w:b/>
          <w:sz w:val="24"/>
          <w:szCs w:val="24"/>
          <w:lang w:val="en-US" w:eastAsia="ja-JP"/>
        </w:rPr>
        <w:t>Influence of Synthesis Procedures on the Preparation of Strontium Titanate Nanoparticles and Photocatalytic application for Methylene</w:t>
      </w:r>
      <w:r w:rsidRPr="000230C5">
        <w:rPr>
          <w:rFonts w:ascii="Times New Roman" w:eastAsia="MS Mincho" w:hAnsi="Times New Roman" w:cs="Times New Roman"/>
          <w:b/>
          <w:sz w:val="24"/>
          <w:szCs w:val="24"/>
          <w:lang w:val="de-DE" w:eastAsia="ja-JP"/>
        </w:rPr>
        <w:t xml:space="preserve"> blue degradation </w:t>
      </w:r>
    </w:p>
    <w:p w14:paraId="4CC60798" w14:textId="77777777" w:rsidR="000230C5" w:rsidRPr="000230C5" w:rsidRDefault="000230C5" w:rsidP="000230C5">
      <w:pPr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</w:pPr>
      <w:r w:rsidRPr="000230C5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>Emriye Ay</w:t>
      </w:r>
      <w:r w:rsidRPr="000230C5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val="en-GB" w:eastAsia="ja-JP"/>
        </w:rPr>
        <w:t>1</w:t>
      </w:r>
      <w:r w:rsidRPr="000230C5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 xml:space="preserve"> and Pelin Sözen Aktaş</w:t>
      </w:r>
      <w:r w:rsidRPr="000230C5">
        <w:rPr>
          <w:rFonts w:ascii="Times New Roman" w:eastAsia="MS Mincho" w:hAnsi="Times New Roman" w:cs="Times New Roman"/>
          <w:b/>
          <w:sz w:val="24"/>
          <w:szCs w:val="24"/>
          <w:vertAlign w:val="superscript"/>
          <w:lang w:val="en-GB" w:eastAsia="ja-JP"/>
        </w:rPr>
        <w:t>2</w:t>
      </w:r>
      <w:r w:rsidRPr="000230C5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t xml:space="preserve">* </w:t>
      </w:r>
    </w:p>
    <w:p w14:paraId="641E23D0" w14:textId="77777777" w:rsidR="000230C5" w:rsidRPr="000230C5" w:rsidRDefault="000230C5" w:rsidP="000230C5">
      <w:pPr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</w:pPr>
      <w:r w:rsidRPr="000230C5">
        <w:rPr>
          <w:rFonts w:ascii="Times New Roman" w:eastAsia="MS Mincho" w:hAnsi="Times New Roman" w:cs="Times New Roman"/>
          <w:b/>
          <w:sz w:val="24"/>
          <w:szCs w:val="24"/>
          <w:lang w:val="en-GB" w:eastAsia="ja-JP"/>
        </w:rPr>
        <w:br/>
      </w:r>
      <w:r w:rsidRPr="000230C5">
        <w:rPr>
          <w:rFonts w:ascii="Times New Roman" w:eastAsia="MS Mincho" w:hAnsi="Times New Roman" w:cs="Times New Roman"/>
          <w:bCs/>
          <w:sz w:val="24"/>
          <w:szCs w:val="24"/>
          <w:vertAlign w:val="superscript"/>
          <w:lang w:val="de-DE" w:eastAsia="ja-JP"/>
        </w:rPr>
        <w:t>1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de-DE" w:eastAsia="ja-JP"/>
        </w:rPr>
        <w:t>Department of TobaccoTechnology Engineering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t xml:space="preserve">, </w:t>
      </w:r>
      <w:r w:rsidRPr="000230C5">
        <w:rPr>
          <w:rFonts w:ascii="Times New Roman" w:eastAsia="MS Mincho" w:hAnsi="Times New Roman" w:cs="Times New Roman"/>
          <w:bCs/>
          <w:iCs/>
          <w:sz w:val="24"/>
          <w:szCs w:val="24"/>
          <w:lang w:val="en-US" w:eastAsia="ja-JP"/>
        </w:rPr>
        <w:t>Manisa Celal Bayar University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t>,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de-DE" w:eastAsia="ja-JP"/>
        </w:rPr>
        <w:t xml:space="preserve"> School of Tobacco Expertise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t xml:space="preserve">, 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de-DE" w:eastAsia="ja-JP"/>
        </w:rPr>
        <w:t>Manisa, Türkiye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t xml:space="preserve"> </w:t>
      </w:r>
    </w:p>
    <w:p w14:paraId="7350DB58" w14:textId="77777777" w:rsidR="000230C5" w:rsidRPr="000230C5" w:rsidRDefault="000230C5" w:rsidP="000230C5">
      <w:pPr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</w:pP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br/>
      </w:r>
      <w:r w:rsidRPr="000230C5">
        <w:rPr>
          <w:rFonts w:ascii="Times New Roman" w:eastAsia="MS Mincho" w:hAnsi="Times New Roman" w:cs="Times New Roman"/>
          <w:bCs/>
          <w:sz w:val="24"/>
          <w:szCs w:val="24"/>
          <w:vertAlign w:val="superscript"/>
          <w:lang w:val="en-GB" w:eastAsia="ja-JP"/>
        </w:rPr>
        <w:t>2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t xml:space="preserve">Department of Chemistry, </w:t>
      </w:r>
      <w:r w:rsidRPr="000230C5">
        <w:rPr>
          <w:rFonts w:ascii="Times New Roman" w:eastAsia="MS Mincho" w:hAnsi="Times New Roman" w:cs="Times New Roman"/>
          <w:bCs/>
          <w:iCs/>
          <w:sz w:val="24"/>
          <w:szCs w:val="24"/>
          <w:lang w:val="en-US" w:eastAsia="ja-JP"/>
        </w:rPr>
        <w:t>Manisa Celal Bayar University, Faculty of Arts &amp; Sciences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br/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US" w:eastAsia="ja-JP"/>
        </w:rPr>
        <w:t>Prof. Dr. İlhan Varank Campus 45140 Muradiye-Manisa, Türkiye</w:t>
      </w: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br/>
        <w:t xml:space="preserve">E-mail: </w:t>
      </w:r>
      <w:hyperlink r:id="rId6" w:history="1">
        <w:r w:rsidRPr="000230C5">
          <w:rPr>
            <w:rStyle w:val="Kpr"/>
            <w:rFonts w:ascii="Times New Roman" w:eastAsia="MS Mincho" w:hAnsi="Times New Roman" w:cs="Times New Roman"/>
            <w:bCs/>
            <w:sz w:val="24"/>
            <w:szCs w:val="24"/>
            <w:lang w:val="en-GB" w:eastAsia="ja-JP"/>
          </w:rPr>
          <w:t>pelin.sozen@cbu.edu.tr</w:t>
        </w:r>
      </w:hyperlink>
    </w:p>
    <w:p w14:paraId="7FFBB7AD" w14:textId="77777777" w:rsidR="000230C5" w:rsidRPr="000230C5" w:rsidRDefault="000230C5" w:rsidP="000230C5">
      <w:pPr>
        <w:rPr>
          <w:rFonts w:ascii="Times New Roman" w:eastAsia="MS Mincho" w:hAnsi="Times New Roman" w:cs="Times New Roman"/>
          <w:bCs/>
          <w:sz w:val="24"/>
          <w:szCs w:val="24"/>
          <w:u w:val="single"/>
          <w:lang w:val="en-GB" w:eastAsia="ja-JP"/>
        </w:rPr>
      </w:pPr>
      <w:r w:rsidRPr="000230C5">
        <w:rPr>
          <w:rFonts w:ascii="Times New Roman" w:eastAsia="MS Mincho" w:hAnsi="Times New Roman" w:cs="Times New Roman"/>
          <w:bCs/>
          <w:sz w:val="24"/>
          <w:szCs w:val="24"/>
          <w:lang w:val="en-GB" w:eastAsia="ja-JP"/>
        </w:rPr>
        <w:t>ORCID ID: 0000-0003-2140-2650</w:t>
      </w:r>
    </w:p>
    <w:p w14:paraId="01915151" w14:textId="43FD89A2" w:rsidR="002D0FDD" w:rsidRPr="002D0FDD" w:rsidRDefault="002D0FDD">
      <w:pPr>
        <w:rPr>
          <w:rFonts w:ascii="Arial" w:hAnsi="Arial" w:cs="Arial"/>
        </w:rPr>
      </w:pPr>
    </w:p>
    <w:p w14:paraId="7095D547" w14:textId="3F24054C" w:rsidR="002D0FDD" w:rsidRPr="002D0FDD" w:rsidRDefault="002D0FDD">
      <w:pPr>
        <w:rPr>
          <w:rFonts w:ascii="Arial" w:hAnsi="Arial" w:cs="Arial"/>
        </w:rPr>
      </w:pPr>
    </w:p>
    <w:p w14:paraId="63EBFBDD" w14:textId="6F2A4385" w:rsidR="002D0FDD" w:rsidRPr="002D0FDD" w:rsidRDefault="002D0FDD">
      <w:pPr>
        <w:rPr>
          <w:rFonts w:ascii="Arial" w:hAnsi="Arial" w:cs="Arial"/>
        </w:rPr>
      </w:pPr>
    </w:p>
    <w:p w14:paraId="436D3748" w14:textId="4FEEA9A2" w:rsidR="002D0FDD" w:rsidRPr="002D0FDD" w:rsidRDefault="002D0FDD">
      <w:pPr>
        <w:rPr>
          <w:rFonts w:ascii="Arial" w:hAnsi="Arial" w:cs="Arial"/>
        </w:rPr>
      </w:pPr>
    </w:p>
    <w:p w14:paraId="11EE9BF3" w14:textId="09E16291" w:rsidR="002D0FDD" w:rsidRPr="002D0FDD" w:rsidRDefault="002D0FDD">
      <w:pPr>
        <w:rPr>
          <w:rFonts w:ascii="Arial" w:hAnsi="Arial" w:cs="Arial"/>
        </w:rPr>
      </w:pPr>
    </w:p>
    <w:p w14:paraId="268F0B60" w14:textId="58B42C47" w:rsidR="002D0FDD" w:rsidRPr="002D0FDD" w:rsidRDefault="002D0FDD">
      <w:pPr>
        <w:rPr>
          <w:rFonts w:ascii="Arial" w:hAnsi="Arial" w:cs="Arial"/>
        </w:rPr>
      </w:pPr>
    </w:p>
    <w:p w14:paraId="131387CC" w14:textId="6F4D5514" w:rsidR="002D0FDD" w:rsidRPr="002D0FDD" w:rsidRDefault="002D0FDD">
      <w:pPr>
        <w:rPr>
          <w:rFonts w:ascii="Arial" w:hAnsi="Arial" w:cs="Arial"/>
        </w:rPr>
      </w:pPr>
    </w:p>
    <w:p w14:paraId="04C5D469" w14:textId="3472623D" w:rsidR="002D0FDD" w:rsidRPr="002D0FDD" w:rsidRDefault="002D0FDD">
      <w:pPr>
        <w:rPr>
          <w:rFonts w:ascii="Arial" w:hAnsi="Arial" w:cs="Arial"/>
        </w:rPr>
      </w:pPr>
    </w:p>
    <w:p w14:paraId="232F8A70" w14:textId="7D6D7483" w:rsidR="002D0FDD" w:rsidRDefault="002D0FDD">
      <w:pPr>
        <w:rPr>
          <w:rFonts w:ascii="Arial" w:hAnsi="Arial" w:cs="Arial"/>
        </w:rPr>
      </w:pPr>
    </w:p>
    <w:p w14:paraId="6B1BC9FC" w14:textId="2420C741" w:rsidR="00661263" w:rsidRDefault="00661263">
      <w:pPr>
        <w:rPr>
          <w:rFonts w:ascii="Arial" w:hAnsi="Arial" w:cs="Arial"/>
        </w:rPr>
      </w:pPr>
    </w:p>
    <w:p w14:paraId="1888C216" w14:textId="518A85AE" w:rsidR="00661263" w:rsidRDefault="00661263">
      <w:pPr>
        <w:rPr>
          <w:rFonts w:ascii="Arial" w:hAnsi="Arial" w:cs="Arial"/>
        </w:rPr>
      </w:pPr>
    </w:p>
    <w:p w14:paraId="4A374D2F" w14:textId="4698F045" w:rsidR="00661263" w:rsidRDefault="00661263">
      <w:pPr>
        <w:rPr>
          <w:rFonts w:ascii="Arial" w:hAnsi="Arial" w:cs="Arial"/>
        </w:rPr>
      </w:pPr>
    </w:p>
    <w:p w14:paraId="74466BFE" w14:textId="4CA9E2D0" w:rsidR="00661263" w:rsidRDefault="00661263">
      <w:pPr>
        <w:rPr>
          <w:rFonts w:ascii="Arial" w:hAnsi="Arial" w:cs="Arial"/>
        </w:rPr>
      </w:pPr>
    </w:p>
    <w:p w14:paraId="2C6F2300" w14:textId="3E9E7DE2" w:rsidR="00661263" w:rsidRDefault="00661263">
      <w:pPr>
        <w:rPr>
          <w:rFonts w:ascii="Arial" w:hAnsi="Arial" w:cs="Arial"/>
        </w:rPr>
      </w:pPr>
    </w:p>
    <w:p w14:paraId="61501A7F" w14:textId="5599E149" w:rsidR="00661263" w:rsidRDefault="00661263">
      <w:pPr>
        <w:rPr>
          <w:rFonts w:ascii="Arial" w:hAnsi="Arial" w:cs="Arial"/>
        </w:rPr>
      </w:pPr>
    </w:p>
    <w:p w14:paraId="0B6489AF" w14:textId="2B02C216" w:rsidR="009422DC" w:rsidRDefault="009422DC">
      <w:pPr>
        <w:rPr>
          <w:rFonts w:ascii="Arial" w:hAnsi="Arial" w:cs="Arial"/>
        </w:rPr>
      </w:pPr>
    </w:p>
    <w:p w14:paraId="23DC92B9" w14:textId="1D1FE6B2" w:rsidR="009422DC" w:rsidRDefault="009422DC">
      <w:pPr>
        <w:rPr>
          <w:rFonts w:ascii="Arial" w:hAnsi="Arial" w:cs="Arial"/>
        </w:rPr>
      </w:pPr>
    </w:p>
    <w:p w14:paraId="6BE202BE" w14:textId="77777777" w:rsidR="000230C5" w:rsidRPr="002D0FDD" w:rsidRDefault="000230C5">
      <w:pPr>
        <w:rPr>
          <w:rFonts w:ascii="Arial" w:hAnsi="Arial" w:cs="Arial"/>
        </w:rPr>
      </w:pPr>
    </w:p>
    <w:p w14:paraId="5108B345" w14:textId="52EA84BC" w:rsidR="002D0FDD" w:rsidRDefault="002D0FDD" w:rsidP="00661263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B00FF">
        <w:rPr>
          <w:rFonts w:ascii="Arial" w:hAnsi="Arial" w:cs="Arial"/>
          <w:b/>
          <w:bCs/>
          <w:sz w:val="20"/>
          <w:szCs w:val="20"/>
        </w:rPr>
        <w:lastRenderedPageBreak/>
        <w:t>FİGURES</w:t>
      </w:r>
    </w:p>
    <w:p w14:paraId="09F2F079" w14:textId="77777777" w:rsidR="002B00FF" w:rsidRPr="002B00FF" w:rsidRDefault="002B00FF" w:rsidP="00661263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oKlavuzu"/>
        <w:tblW w:w="9863" w:type="dxa"/>
        <w:tblLook w:val="04A0" w:firstRow="1" w:lastRow="0" w:firstColumn="1" w:lastColumn="0" w:noHBand="0" w:noVBand="1"/>
      </w:tblPr>
      <w:tblGrid>
        <w:gridCol w:w="9863"/>
      </w:tblGrid>
      <w:tr w:rsidR="002B00FF" w:rsidRPr="002B00FF" w14:paraId="38183DF9" w14:textId="77777777" w:rsidTr="002B00FF">
        <w:trPr>
          <w:trHeight w:val="474"/>
        </w:trPr>
        <w:tc>
          <w:tcPr>
            <w:tcW w:w="9863" w:type="dxa"/>
          </w:tcPr>
          <w:p w14:paraId="026814E1" w14:textId="77777777" w:rsidR="002B00FF" w:rsidRPr="002B00FF" w:rsidRDefault="002B00FF" w:rsidP="002B00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Figure S1. </w:t>
            </w:r>
            <w:r w:rsidRPr="002B00FF">
              <w:rPr>
                <w:rFonts w:ascii="Arial" w:hAnsi="Arial" w:cs="Arial"/>
                <w:sz w:val="20"/>
                <w:szCs w:val="20"/>
              </w:rPr>
              <w:t>FT-IR spectra of ST1 samples were treated at different temperatures, as prepared at 120 °C and calcined at 400 °C.</w:t>
            </w:r>
            <w:r w:rsidRPr="002B0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2D67D38D" w14:textId="77777777" w:rsidR="002B00FF" w:rsidRPr="002B00FF" w:rsidRDefault="002B0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0FF" w:rsidRPr="002B00FF" w14:paraId="2A791F20" w14:textId="77777777" w:rsidTr="002B00FF">
        <w:trPr>
          <w:trHeight w:val="496"/>
        </w:trPr>
        <w:tc>
          <w:tcPr>
            <w:tcW w:w="9863" w:type="dxa"/>
          </w:tcPr>
          <w:p w14:paraId="55EAD8AF" w14:textId="3882CE40" w:rsidR="002B00FF" w:rsidRPr="002B00FF" w:rsidRDefault="002B00FF" w:rsidP="002B00FF">
            <w:pPr>
              <w:rPr>
                <w:rFonts w:ascii="Arial" w:hAnsi="Arial" w:cs="Arial"/>
                <w:sz w:val="20"/>
                <w:szCs w:val="20"/>
              </w:rPr>
            </w:pPr>
            <w:r w:rsidRPr="002B00FF">
              <w:rPr>
                <w:rFonts w:ascii="Arial" w:hAnsi="Arial" w:cs="Arial"/>
                <w:b/>
                <w:bCs/>
                <w:sz w:val="20"/>
                <w:szCs w:val="20"/>
              </w:rPr>
              <w:t>Figure 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B00FF">
              <w:rPr>
                <w:rFonts w:ascii="Arial" w:hAnsi="Arial" w:cs="Arial"/>
                <w:sz w:val="20"/>
                <w:szCs w:val="20"/>
              </w:rPr>
              <w:t>. FTIR spectra of ST1 and ST2 samples synthesized by Pechini and high energy ball milling processes.</w:t>
            </w:r>
          </w:p>
          <w:p w14:paraId="150E510E" w14:textId="7B528AA8" w:rsidR="002B00FF" w:rsidRPr="002B00FF" w:rsidRDefault="002B00FF" w:rsidP="002B0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00FF" w:rsidRPr="002B00FF" w14:paraId="41595174" w14:textId="77777777" w:rsidTr="002B00FF">
        <w:trPr>
          <w:trHeight w:val="474"/>
        </w:trPr>
        <w:tc>
          <w:tcPr>
            <w:tcW w:w="9863" w:type="dxa"/>
          </w:tcPr>
          <w:p w14:paraId="18131CC8" w14:textId="42C0180B" w:rsidR="002B00FF" w:rsidRPr="002B00FF" w:rsidRDefault="002B00FF" w:rsidP="002B00F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00FF">
              <w:rPr>
                <w:rFonts w:ascii="Arial" w:hAnsi="Arial" w:cs="Arial"/>
                <w:b/>
                <w:bCs/>
                <w:sz w:val="20"/>
                <w:szCs w:val="20"/>
              </w:rPr>
              <w:t>Figure S</w:t>
            </w:r>
            <w:r w:rsidR="00594C5D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B00F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Pr="002B00FF">
              <w:rPr>
                <w:rFonts w:ascii="Arial" w:hAnsi="Arial" w:cs="Arial"/>
                <w:sz w:val="20"/>
                <w:szCs w:val="20"/>
              </w:rPr>
              <w:t>EDX analysis of ST1 and ST2 nanoparticles.</w:t>
            </w:r>
          </w:p>
          <w:p w14:paraId="03ABD270" w14:textId="77777777" w:rsidR="002B00FF" w:rsidRPr="002B00FF" w:rsidRDefault="002B00FF" w:rsidP="002B00F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92A13AC" w14:textId="77777777" w:rsidR="002B00FF" w:rsidRPr="002B00FF" w:rsidRDefault="002B00FF" w:rsidP="00661263">
      <w:pPr>
        <w:rPr>
          <w:rFonts w:ascii="Arial" w:hAnsi="Arial" w:cs="Arial"/>
          <w:b/>
          <w:bCs/>
          <w:sz w:val="20"/>
          <w:szCs w:val="20"/>
        </w:rPr>
      </w:pPr>
      <w:bookmarkStart w:id="0" w:name="_Hlk101221318"/>
    </w:p>
    <w:p w14:paraId="57E9ABF0" w14:textId="64612B49" w:rsidR="000F0803" w:rsidRPr="002B00FF" w:rsidRDefault="000F0803" w:rsidP="00661263">
      <w:pPr>
        <w:rPr>
          <w:rFonts w:ascii="Arial" w:hAnsi="Arial" w:cs="Arial"/>
          <w:b/>
          <w:bCs/>
          <w:sz w:val="20"/>
          <w:szCs w:val="20"/>
        </w:rPr>
      </w:pPr>
      <w:r w:rsidRPr="002B00FF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E44D1E3" wp14:editId="4C445AAB">
            <wp:extent cx="6408000" cy="2356504"/>
            <wp:effectExtent l="0" t="0" r="0" b="571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35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C2746" w14:textId="4B7FF8BA" w:rsidR="002B00FF" w:rsidRDefault="002B00FF" w:rsidP="002B00FF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2B00FF">
        <w:rPr>
          <w:rFonts w:ascii="Arial" w:hAnsi="Arial" w:cs="Arial"/>
          <w:b/>
          <w:bCs/>
          <w:sz w:val="20"/>
          <w:szCs w:val="20"/>
        </w:rPr>
        <w:t xml:space="preserve">Figure S1. </w:t>
      </w:r>
      <w:r w:rsidRPr="002B00FF">
        <w:rPr>
          <w:rFonts w:ascii="Arial" w:hAnsi="Arial" w:cs="Arial"/>
          <w:sz w:val="20"/>
          <w:szCs w:val="20"/>
        </w:rPr>
        <w:t>FT-IR spectra of ST1 samples were treated at different temperatures, as prepared at 120 °C and calcined at 400 °C.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D713856" w14:textId="77777777" w:rsidR="002B00FF" w:rsidRPr="002B00FF" w:rsidRDefault="002B00FF" w:rsidP="00661263">
      <w:pPr>
        <w:rPr>
          <w:rFonts w:ascii="Arial" w:hAnsi="Arial" w:cs="Arial"/>
          <w:b/>
          <w:bCs/>
          <w:sz w:val="20"/>
          <w:szCs w:val="20"/>
        </w:rPr>
      </w:pPr>
    </w:p>
    <w:bookmarkEnd w:id="0"/>
    <w:p w14:paraId="7C97FF36" w14:textId="0839F708" w:rsidR="00D31B65" w:rsidRPr="002B00FF" w:rsidRDefault="00C53573" w:rsidP="00661263">
      <w:pPr>
        <w:rPr>
          <w:rFonts w:ascii="Arial" w:hAnsi="Arial" w:cs="Arial"/>
          <w:sz w:val="20"/>
          <w:szCs w:val="20"/>
        </w:rPr>
      </w:pPr>
      <w:r w:rsidRPr="002B00FF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7C830C58" wp14:editId="1B55287A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3024835" cy="2723083"/>
            <wp:effectExtent l="0" t="0" r="4445" b="1270"/>
            <wp:wrapThrough wrapText="bothSides">
              <wp:wrapPolygon edited="0">
                <wp:start x="0" y="0"/>
                <wp:lineTo x="0" y="21459"/>
                <wp:lineTo x="21496" y="21459"/>
                <wp:lineTo x="21496" y="0"/>
                <wp:lineTo x="0" y="0"/>
              </wp:wrapPolygon>
            </wp:wrapThrough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4835" cy="2723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C6ACD9" w14:textId="2CFE9DDF" w:rsidR="00B9182D" w:rsidRDefault="00B9182D" w:rsidP="00661263">
      <w:pPr>
        <w:rPr>
          <w:rFonts w:ascii="Arial" w:hAnsi="Arial" w:cs="Arial"/>
          <w:sz w:val="20"/>
          <w:szCs w:val="20"/>
        </w:rPr>
      </w:pPr>
    </w:p>
    <w:p w14:paraId="3EFB4DC7" w14:textId="49E395FF" w:rsidR="002B00FF" w:rsidRDefault="002B00FF" w:rsidP="00661263">
      <w:pPr>
        <w:rPr>
          <w:rFonts w:ascii="Arial" w:hAnsi="Arial" w:cs="Arial"/>
          <w:sz w:val="20"/>
          <w:szCs w:val="20"/>
        </w:rPr>
      </w:pPr>
    </w:p>
    <w:p w14:paraId="3AFE3526" w14:textId="4549C0A8" w:rsidR="002B00FF" w:rsidRDefault="002B00FF" w:rsidP="00661263">
      <w:pPr>
        <w:rPr>
          <w:rFonts w:ascii="Arial" w:hAnsi="Arial" w:cs="Arial"/>
          <w:sz w:val="20"/>
          <w:szCs w:val="20"/>
        </w:rPr>
      </w:pPr>
    </w:p>
    <w:p w14:paraId="3970BC4E" w14:textId="34F4DCEB" w:rsidR="002B00FF" w:rsidRDefault="002B00FF" w:rsidP="00661263">
      <w:pPr>
        <w:rPr>
          <w:rFonts w:ascii="Arial" w:hAnsi="Arial" w:cs="Arial"/>
          <w:sz w:val="20"/>
          <w:szCs w:val="20"/>
        </w:rPr>
      </w:pPr>
    </w:p>
    <w:p w14:paraId="30CC0262" w14:textId="1D84295E" w:rsidR="002B00FF" w:rsidRDefault="002B00FF" w:rsidP="00661263">
      <w:pPr>
        <w:rPr>
          <w:rFonts w:ascii="Arial" w:hAnsi="Arial" w:cs="Arial"/>
          <w:sz w:val="20"/>
          <w:szCs w:val="20"/>
        </w:rPr>
      </w:pPr>
    </w:p>
    <w:p w14:paraId="7233C4BA" w14:textId="77777777" w:rsidR="002B00FF" w:rsidRPr="002B00FF" w:rsidRDefault="002B00FF" w:rsidP="00661263">
      <w:pPr>
        <w:rPr>
          <w:rFonts w:ascii="Arial" w:hAnsi="Arial" w:cs="Arial"/>
          <w:sz w:val="20"/>
          <w:szCs w:val="20"/>
        </w:rPr>
      </w:pPr>
    </w:p>
    <w:p w14:paraId="5E3BC313" w14:textId="5861EE04" w:rsidR="00D31B65" w:rsidRPr="002B00FF" w:rsidRDefault="00D31B65" w:rsidP="002B00FF">
      <w:pPr>
        <w:jc w:val="both"/>
        <w:rPr>
          <w:rFonts w:ascii="Arial" w:hAnsi="Arial" w:cs="Arial"/>
          <w:sz w:val="20"/>
          <w:szCs w:val="20"/>
        </w:rPr>
      </w:pPr>
      <w:r w:rsidRPr="002B00FF">
        <w:rPr>
          <w:rFonts w:ascii="Arial" w:hAnsi="Arial" w:cs="Arial"/>
          <w:b/>
          <w:bCs/>
          <w:sz w:val="20"/>
          <w:szCs w:val="20"/>
        </w:rPr>
        <w:t>Figure S</w:t>
      </w:r>
      <w:r w:rsidR="002B00FF" w:rsidRPr="002B00FF">
        <w:rPr>
          <w:rFonts w:ascii="Arial" w:hAnsi="Arial" w:cs="Arial"/>
          <w:b/>
          <w:bCs/>
          <w:sz w:val="20"/>
          <w:szCs w:val="20"/>
        </w:rPr>
        <w:t>2</w:t>
      </w:r>
      <w:r w:rsidRPr="002B00FF">
        <w:rPr>
          <w:rFonts w:ascii="Arial" w:hAnsi="Arial" w:cs="Arial"/>
          <w:sz w:val="20"/>
          <w:szCs w:val="20"/>
        </w:rPr>
        <w:t>. FTIR spectra of ST1 and ST2 samples</w:t>
      </w:r>
      <w:r w:rsidR="00C53573" w:rsidRPr="002B00FF">
        <w:rPr>
          <w:rFonts w:ascii="Arial" w:hAnsi="Arial" w:cs="Arial"/>
          <w:sz w:val="20"/>
          <w:szCs w:val="20"/>
        </w:rPr>
        <w:t xml:space="preserve"> synthesized by Pechini and high energy ball milling processes.</w:t>
      </w:r>
    </w:p>
    <w:p w14:paraId="69814BF9" w14:textId="77777777" w:rsidR="00B9182D" w:rsidRPr="002B00FF" w:rsidRDefault="00B9182D" w:rsidP="00661263">
      <w:pPr>
        <w:rPr>
          <w:rFonts w:ascii="Arial" w:hAnsi="Arial" w:cs="Arial"/>
          <w:sz w:val="20"/>
          <w:szCs w:val="20"/>
        </w:rPr>
      </w:pPr>
    </w:p>
    <w:p w14:paraId="7AD74ED5" w14:textId="4BFE735C" w:rsidR="00C53573" w:rsidRPr="002B00FF" w:rsidRDefault="00B9182D" w:rsidP="00B9182D">
      <w:pPr>
        <w:jc w:val="center"/>
        <w:rPr>
          <w:rFonts w:ascii="Arial" w:hAnsi="Arial" w:cs="Arial"/>
          <w:sz w:val="20"/>
          <w:szCs w:val="20"/>
        </w:rPr>
      </w:pPr>
      <w:r w:rsidRPr="002B00F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B9C62D7" wp14:editId="5AD960DD">
            <wp:extent cx="6408000" cy="2622864"/>
            <wp:effectExtent l="0" t="0" r="0" b="635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622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D1645" w14:textId="6B576621" w:rsidR="00B9182D" w:rsidRPr="002B00FF" w:rsidRDefault="00B9182D" w:rsidP="00B9182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B00FF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12F5F21B" wp14:editId="13B4D7CD">
            <wp:extent cx="6408000" cy="2533755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sim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000" cy="25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04BF5" w14:textId="77777777" w:rsidR="00B9182D" w:rsidRPr="002B00FF" w:rsidRDefault="00B9182D" w:rsidP="00661263">
      <w:pPr>
        <w:rPr>
          <w:rFonts w:ascii="Arial" w:hAnsi="Arial" w:cs="Arial"/>
          <w:b/>
          <w:bCs/>
          <w:sz w:val="20"/>
          <w:szCs w:val="20"/>
        </w:rPr>
      </w:pPr>
    </w:p>
    <w:p w14:paraId="3E018E00" w14:textId="6E41847A" w:rsidR="00C53573" w:rsidRDefault="00C53573" w:rsidP="00661263">
      <w:pPr>
        <w:rPr>
          <w:rFonts w:ascii="Arial" w:hAnsi="Arial" w:cs="Arial"/>
          <w:b/>
          <w:bCs/>
          <w:sz w:val="20"/>
          <w:szCs w:val="20"/>
        </w:rPr>
      </w:pPr>
      <w:r w:rsidRPr="002B00FF">
        <w:rPr>
          <w:rFonts w:ascii="Arial" w:hAnsi="Arial" w:cs="Arial"/>
          <w:b/>
          <w:bCs/>
          <w:sz w:val="20"/>
          <w:szCs w:val="20"/>
        </w:rPr>
        <w:t>Figure S</w:t>
      </w:r>
      <w:r w:rsidR="002B00FF">
        <w:rPr>
          <w:rFonts w:ascii="Arial" w:hAnsi="Arial" w:cs="Arial"/>
          <w:b/>
          <w:bCs/>
          <w:sz w:val="20"/>
          <w:szCs w:val="20"/>
        </w:rPr>
        <w:t>3</w:t>
      </w:r>
      <w:r w:rsidRPr="002B00FF">
        <w:rPr>
          <w:rFonts w:ascii="Arial" w:hAnsi="Arial" w:cs="Arial"/>
          <w:b/>
          <w:bCs/>
          <w:sz w:val="20"/>
          <w:szCs w:val="20"/>
        </w:rPr>
        <w:t xml:space="preserve">. </w:t>
      </w:r>
      <w:r w:rsidRPr="002B00FF">
        <w:rPr>
          <w:rFonts w:ascii="Arial" w:hAnsi="Arial" w:cs="Arial"/>
          <w:sz w:val="20"/>
          <w:szCs w:val="20"/>
        </w:rPr>
        <w:t xml:space="preserve">EDX analysis of ST1 </w:t>
      </w:r>
      <w:r w:rsidR="00B9182D" w:rsidRPr="002B00FF">
        <w:rPr>
          <w:rFonts w:ascii="Arial" w:hAnsi="Arial" w:cs="Arial"/>
          <w:sz w:val="20"/>
          <w:szCs w:val="20"/>
        </w:rPr>
        <w:t xml:space="preserve">(a) </w:t>
      </w:r>
      <w:r w:rsidRPr="002B00FF">
        <w:rPr>
          <w:rFonts w:ascii="Arial" w:hAnsi="Arial" w:cs="Arial"/>
          <w:sz w:val="20"/>
          <w:szCs w:val="20"/>
        </w:rPr>
        <w:t>and ST2</w:t>
      </w:r>
      <w:r w:rsidR="00B9182D" w:rsidRPr="002B00FF">
        <w:rPr>
          <w:rFonts w:ascii="Arial" w:hAnsi="Arial" w:cs="Arial"/>
          <w:sz w:val="20"/>
          <w:szCs w:val="20"/>
        </w:rPr>
        <w:t xml:space="preserve"> (b)</w:t>
      </w:r>
      <w:r w:rsidRPr="002B00FF">
        <w:rPr>
          <w:rFonts w:ascii="Arial" w:hAnsi="Arial" w:cs="Arial"/>
          <w:sz w:val="20"/>
          <w:szCs w:val="20"/>
        </w:rPr>
        <w:t xml:space="preserve"> nanoparticles.</w:t>
      </w:r>
    </w:p>
    <w:p w14:paraId="62841D33" w14:textId="0161287D" w:rsidR="002B00FF" w:rsidRPr="002B00FF" w:rsidRDefault="002B00FF" w:rsidP="002B00FF">
      <w:pPr>
        <w:rPr>
          <w:rFonts w:ascii="Arial" w:hAnsi="Arial" w:cs="Arial"/>
          <w:sz w:val="20"/>
          <w:szCs w:val="20"/>
        </w:rPr>
      </w:pPr>
    </w:p>
    <w:p w14:paraId="075AF9A9" w14:textId="48288F5A" w:rsidR="002B00FF" w:rsidRPr="002B00FF" w:rsidRDefault="002B00FF" w:rsidP="002B00FF">
      <w:pPr>
        <w:rPr>
          <w:rFonts w:ascii="Arial" w:hAnsi="Arial" w:cs="Arial"/>
          <w:sz w:val="20"/>
          <w:szCs w:val="20"/>
        </w:rPr>
      </w:pPr>
    </w:p>
    <w:p w14:paraId="654361F4" w14:textId="3B1AE4B5" w:rsidR="002B00FF" w:rsidRPr="002B00FF" w:rsidRDefault="002B00FF" w:rsidP="002B00FF">
      <w:pPr>
        <w:rPr>
          <w:rFonts w:ascii="Arial" w:hAnsi="Arial" w:cs="Arial"/>
          <w:sz w:val="20"/>
          <w:szCs w:val="20"/>
        </w:rPr>
      </w:pPr>
    </w:p>
    <w:sectPr w:rsidR="002B00FF" w:rsidRPr="002B00FF" w:rsidSect="0066126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65060" w14:textId="77777777" w:rsidR="00056D01" w:rsidRDefault="00056D01" w:rsidP="00F76726">
      <w:pPr>
        <w:spacing w:after="0" w:line="240" w:lineRule="auto"/>
      </w:pPr>
      <w:r>
        <w:separator/>
      </w:r>
    </w:p>
  </w:endnote>
  <w:endnote w:type="continuationSeparator" w:id="0">
    <w:p w14:paraId="154EF829" w14:textId="77777777" w:rsidR="00056D01" w:rsidRDefault="00056D01" w:rsidP="00F76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3A87" w14:textId="77777777" w:rsidR="00F76726" w:rsidRDefault="00F7672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7180A" w14:textId="77777777" w:rsidR="00F76726" w:rsidRDefault="00F767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AE96C" w14:textId="77777777" w:rsidR="00F76726" w:rsidRDefault="00F767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94129" w14:textId="77777777" w:rsidR="00056D01" w:rsidRDefault="00056D01" w:rsidP="00F76726">
      <w:pPr>
        <w:spacing w:after="0" w:line="240" w:lineRule="auto"/>
      </w:pPr>
      <w:r>
        <w:separator/>
      </w:r>
    </w:p>
  </w:footnote>
  <w:footnote w:type="continuationSeparator" w:id="0">
    <w:p w14:paraId="0EBDDAF0" w14:textId="77777777" w:rsidR="00056D01" w:rsidRDefault="00056D01" w:rsidP="00F76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BE6F7" w14:textId="77777777" w:rsidR="00F76726" w:rsidRDefault="00F7672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B6E7B" w14:textId="77777777" w:rsidR="00F76726" w:rsidRDefault="00F76726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6E08F" w14:textId="77777777" w:rsidR="00F76726" w:rsidRDefault="00F7672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xMDUyNzOzMDc1NzVW0lEKTi0uzszPAykwNKgFAO+kkdItAAAA"/>
  </w:docVars>
  <w:rsids>
    <w:rsidRoot w:val="002D0FDD"/>
    <w:rsid w:val="000230C5"/>
    <w:rsid w:val="000436C6"/>
    <w:rsid w:val="00056D01"/>
    <w:rsid w:val="000F0803"/>
    <w:rsid w:val="002B00FF"/>
    <w:rsid w:val="002D0FDD"/>
    <w:rsid w:val="00357125"/>
    <w:rsid w:val="00402ED3"/>
    <w:rsid w:val="0044072E"/>
    <w:rsid w:val="00594C5D"/>
    <w:rsid w:val="00661263"/>
    <w:rsid w:val="009422DC"/>
    <w:rsid w:val="009C4354"/>
    <w:rsid w:val="00B54053"/>
    <w:rsid w:val="00B9182D"/>
    <w:rsid w:val="00C3647B"/>
    <w:rsid w:val="00C53573"/>
    <w:rsid w:val="00D04852"/>
    <w:rsid w:val="00D31B65"/>
    <w:rsid w:val="00D910B5"/>
    <w:rsid w:val="00F7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C8436"/>
  <w15:chartTrackingRefBased/>
  <w15:docId w15:val="{AA6BA6C8-DE69-459C-9C52-02DA6D6D5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tle1">
    <w:name w:val="Title1"/>
    <w:basedOn w:val="Normal"/>
    <w:next w:val="Normal"/>
    <w:qFormat/>
    <w:rsid w:val="002D0FDD"/>
    <w:pPr>
      <w:spacing w:before="120" w:after="0" w:line="480" w:lineRule="exact"/>
    </w:pPr>
    <w:rPr>
      <w:rFonts w:ascii="Arial" w:eastAsia="MS Mincho" w:hAnsi="Arial" w:cs="Times New Roman"/>
      <w:b/>
      <w:sz w:val="32"/>
      <w:szCs w:val="28"/>
      <w:lang w:val="de-DE" w:eastAsia="ja-JP"/>
    </w:rPr>
  </w:style>
  <w:style w:type="paragraph" w:customStyle="1" w:styleId="Authors">
    <w:name w:val="Authors"/>
    <w:basedOn w:val="Normal"/>
    <w:qFormat/>
    <w:rsid w:val="002D0FDD"/>
    <w:pPr>
      <w:spacing w:before="120" w:after="120" w:line="320" w:lineRule="exact"/>
    </w:pPr>
    <w:rPr>
      <w:rFonts w:ascii="Arial" w:eastAsia="MS Mincho" w:hAnsi="Arial" w:cs="Times New Roman"/>
      <w:szCs w:val="24"/>
      <w:lang w:val="en-GB" w:eastAsia="ja-JP"/>
    </w:rPr>
  </w:style>
  <w:style w:type="table" w:styleId="TabloKlavuzu">
    <w:name w:val="Table Grid"/>
    <w:basedOn w:val="NormalTablo"/>
    <w:uiPriority w:val="39"/>
    <w:rsid w:val="002D0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F767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76726"/>
  </w:style>
  <w:style w:type="paragraph" w:styleId="AltBilgi">
    <w:name w:val="footer"/>
    <w:basedOn w:val="Normal"/>
    <w:link w:val="AltBilgiChar"/>
    <w:uiPriority w:val="99"/>
    <w:unhideWhenUsed/>
    <w:rsid w:val="00F767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76726"/>
  </w:style>
  <w:style w:type="character" w:styleId="Kpr">
    <w:name w:val="Hyperlink"/>
    <w:basedOn w:val="VarsaylanParagrafYazTipi"/>
    <w:uiPriority w:val="99"/>
    <w:unhideWhenUsed/>
    <w:rsid w:val="000230C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23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09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mailto:pelin.sozen@cbu.edu.t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tiff"/><Relationship Id="rId4" Type="http://schemas.openxmlformats.org/officeDocument/2006/relationships/footnotes" Target="footnotes.xml"/><Relationship Id="rId9" Type="http://schemas.openxmlformats.org/officeDocument/2006/relationships/image" Target="media/image3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sözen</dc:creator>
  <cp:keywords/>
  <dc:description/>
  <cp:lastModifiedBy>Pelin AKTAŞ</cp:lastModifiedBy>
  <cp:revision>2</cp:revision>
  <cp:lastPrinted>2022-04-29T21:21:00Z</cp:lastPrinted>
  <dcterms:created xsi:type="dcterms:W3CDTF">2022-10-06T07:34:00Z</dcterms:created>
  <dcterms:modified xsi:type="dcterms:W3CDTF">2022-10-06T07:34:00Z</dcterms:modified>
</cp:coreProperties>
</file>