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74C58" w14:textId="77777777" w:rsidR="00A631B0" w:rsidRPr="00CC725E" w:rsidRDefault="00A631B0" w:rsidP="00A631B0">
      <w:pPr>
        <w:widowControl/>
        <w:wordWrap/>
        <w:autoSpaceDE/>
        <w:autoSpaceDN/>
        <w:rPr>
          <w:rFonts w:ascii="Times New Roman" w:eastAsia="Gulim" w:hAnsi="Times New Roman" w:cs="Times New Roman"/>
          <w:color w:val="000000"/>
          <w:kern w:val="0"/>
          <w:sz w:val="24"/>
        </w:rPr>
      </w:pPr>
      <w:r>
        <w:rPr>
          <w:rFonts w:ascii="Times New Roman" w:eastAsia="Gulim" w:hAnsi="Times New Roman" w:cs="Times New Roman"/>
          <w:noProof/>
          <w:color w:val="000000"/>
          <w:kern w:val="0"/>
          <w:sz w:val="24"/>
        </w:rPr>
        <w:drawing>
          <wp:inline distT="0" distB="0" distL="0" distR="0" wp14:anchorId="7DE8F682" wp14:editId="6D45CABE">
            <wp:extent cx="5270500" cy="4206240"/>
            <wp:effectExtent l="0" t="0" r="0" b="0"/>
            <wp:docPr id="25" name="그림 2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5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8C55B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</w:p>
    <w:p w14:paraId="7F97F16C" w14:textId="77777777" w:rsidR="00A631B0" w:rsidRPr="00CC725E" w:rsidRDefault="00A631B0" w:rsidP="00A631B0">
      <w:pPr>
        <w:wordWrap/>
        <w:spacing w:line="360" w:lineRule="auto"/>
        <w:rPr>
          <w:rFonts w:ascii="Times New Roman" w:eastAsia="휴먼명조" w:hAnsi="Times New Roman" w:cs="Times New Roman"/>
          <w:b/>
          <w:color w:val="000000"/>
          <w:sz w:val="24"/>
        </w:rPr>
      </w:pP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Extended Data Figure 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fldChar w:fldCharType="begin"/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instrText xml:space="preserve"> SEQ Supplementary_figure \* ARABIC </w:instrTex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fldChar w:fldCharType="separate"/>
      </w:r>
      <w:r>
        <w:rPr>
          <w:rFonts w:ascii="Times New Roman" w:eastAsia="휴먼명조" w:hAnsi="Times New Roman" w:cs="Times New Roman"/>
          <w:b/>
          <w:noProof/>
          <w:color w:val="000000"/>
          <w:sz w:val="24"/>
        </w:rPr>
        <w:t>1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fldChar w:fldCharType="end"/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. Starvation-induced hypoglycemia increases EHP, and this is rescued by feeding carbohydrate </w:t>
      </w:r>
    </w:p>
    <w:p w14:paraId="0315B360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(a) Mating frequencies of virgin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females in the indicated feeding conditions. Females were starved for the indicated hours before mating individually with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Data are shown as the percentage of females that copulate within 1 hour. The number in parentheses indicates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n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. Two-sided Fisher’s exact test (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p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&gt; 0.05).</w:t>
      </w:r>
    </w:p>
    <w:p w14:paraId="728F1628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(b) Copulation duration of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females of the indicated conditions paired individually with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Data are shown as means ± SEM.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>One-way ANOVA with Bonferroni post-hoc test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(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p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&gt; 0.05).</w:t>
      </w:r>
    </w:p>
    <w:p w14:paraId="7651E3C8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(c-e) Normalized EHP (ΔEHP) from females in the indicated feeding conditions mated with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Circles indicate ΔEHP measured from individual females. (c)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females were starved for the indicated hours before mating with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(d)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 xml:space="preserve">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females were kept on a standard diet (SD) or a carbohydrate-only diet (CD) for 3-4 days before mating with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(e)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 xml:space="preserve">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females were starved for 12 hours and then fed for additional 12 hours with the indicated diets before mating with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PD, protein-only diet. VH, vehicle. Data are shown as means ± SEM.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>One-way ANOVA with Bonferroni post-hoc test (c, e).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Two-tailed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>Mann Whitney test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(d). T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he 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lastRenderedPageBreak/>
        <w:t xml:space="preserve">number above the column is the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value (*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0.05, 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0.01, 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0.005, ****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>&lt;0.001).</w:t>
      </w:r>
    </w:p>
    <w:p w14:paraId="3E9C6C1D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(f) Whole-body sugar levels from a pool of 15-17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females from the indicated conditions. Data are shown as means ± SEM.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 xml:space="preserve">Unpaired two-tailed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t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-test.</w:t>
      </w:r>
    </w:p>
    <w:p w14:paraId="11EC6323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(g) Hemolymph glycemia from a pool of 30-40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females from the indicated conditions. Data are shown as means ± SEM.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 xml:space="preserve">Unpaired two-tailed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t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-test.</w:t>
      </w:r>
    </w:p>
    <w:p w14:paraId="34A3FDF2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(h) Food preference of starved flies of the indicated genotypes choosing between nutritive sugar (D-glucose) and nonnutritive sugar (L-glucose). Data are shown as means ± SEM.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>One-way ANOVA with Bonferroni post-hoc test.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</w:t>
      </w:r>
    </w:p>
    <w:p w14:paraId="12520AA7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(</w:t>
      </w:r>
      <w:proofErr w:type="spellStart"/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i</w:t>
      </w:r>
      <w:proofErr w:type="spellEnd"/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) Normalized EHP (ΔEHP) from females of the indicated genotypes mated with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CS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males. Circles indicate ΔEHP measured from individual females. Data are shown as means ± SEM.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>One-way ANOVA with Bonferroni post-hoc test.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</w:t>
      </w:r>
    </w:p>
    <w:p w14:paraId="706F650F" w14:textId="77777777" w:rsidR="00A631B0" w:rsidRPr="00CC725E" w:rsidRDefault="00A631B0" w:rsidP="00A631B0">
      <w:pPr>
        <w:widowControl/>
        <w:wordWrap/>
        <w:autoSpaceDE/>
        <w:autoSpaceDN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br w:type="page"/>
      </w:r>
    </w:p>
    <w:p w14:paraId="7C84D9B8" w14:textId="77777777" w:rsidR="00A631B0" w:rsidRPr="00CC725E" w:rsidRDefault="00A631B0" w:rsidP="00A631B0">
      <w:pPr>
        <w:widowControl/>
        <w:wordWrap/>
        <w:autoSpaceDE/>
        <w:autoSpaceDN/>
        <w:rPr>
          <w:rFonts w:ascii="Times New Roman" w:eastAsia="Gulim" w:hAnsi="Times New Roman" w:cs="Times New Roman"/>
          <w:color w:val="000000"/>
          <w:kern w:val="0"/>
          <w:sz w:val="24"/>
        </w:rPr>
      </w:pPr>
      <w:r>
        <w:rPr>
          <w:rFonts w:ascii="Times New Roman" w:eastAsia="Gulim" w:hAnsi="Times New Roman" w:cs="Times New Roman"/>
          <w:noProof/>
          <w:color w:val="000000"/>
          <w:kern w:val="0"/>
          <w:sz w:val="24"/>
        </w:rPr>
        <w:lastRenderedPageBreak/>
        <w:drawing>
          <wp:inline distT="0" distB="0" distL="0" distR="0" wp14:anchorId="297FBC0F" wp14:editId="245E479E">
            <wp:extent cx="5270500" cy="2171700"/>
            <wp:effectExtent l="0" t="0" r="0" b="0"/>
            <wp:docPr id="26" name="그림 2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그림 26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16FFE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</w:p>
    <w:p w14:paraId="3F521866" w14:textId="77777777" w:rsidR="00A631B0" w:rsidRPr="00CC725E" w:rsidRDefault="00A631B0" w:rsidP="00A631B0">
      <w:pPr>
        <w:wordWrap/>
        <w:spacing w:line="360" w:lineRule="auto"/>
        <w:rPr>
          <w:rFonts w:ascii="Times New Roman" w:eastAsia="휴먼명조" w:hAnsi="Times New Roman" w:cs="Times New Roman"/>
          <w:b/>
          <w:color w:val="000000"/>
          <w:sz w:val="24"/>
        </w:rPr>
      </w:pP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Extended Data Figure 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fldChar w:fldCharType="begin"/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instrText xml:space="preserve"> SEQ Supplementary_figure \* ARABIC </w:instrTex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fldChar w:fldCharType="separate"/>
      </w:r>
      <w:r>
        <w:rPr>
          <w:rFonts w:ascii="Times New Roman" w:eastAsia="휴먼명조" w:hAnsi="Times New Roman" w:cs="Times New Roman"/>
          <w:b/>
          <w:noProof/>
          <w:color w:val="000000"/>
          <w:sz w:val="24"/>
        </w:rPr>
        <w:t>2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fldChar w:fldCharType="end"/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>. Starvation and mating effects on Ca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  <w:vertAlign w:val="superscript"/>
        </w:rPr>
        <w:t>2+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 activity of Dh44-PI neurons </w:t>
      </w:r>
    </w:p>
    <w:p w14:paraId="4B7ED294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(a-c) TRIC images of Dh44-PI neurons (left) and normalized TRIC activity 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(right)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from females under the indicated feeding and mating conditions. Scale bars, 10 µm. The f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>luorescence intensity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of the square box in each image is quantified. The dotted line and white arrowhead indicate somas and neural processes, respectively. In the mating state, V indicates virgin females and M indicates mated females. Circles indicate normalized GFP intensity from individual females, and the means ± SEM of the data are shown. The number in parentheses indicates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n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.</w:t>
      </w:r>
      <w:r w:rsidRPr="00CC725E">
        <w:rPr>
          <w:rFonts w:ascii="Times New Roman" w:eastAsia="휴먼명조" w:hAnsi="Times New Roman" w:cs="Times New Roman" w:hint="eastAsia"/>
          <w:color w:val="000000"/>
          <w:kern w:val="0"/>
          <w:sz w:val="24"/>
        </w:rPr>
        <w:t xml:space="preserve">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 xml:space="preserve">Unpaired two-tailed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t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-tests. T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he number above the column is the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value (***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0.005).</w:t>
      </w:r>
    </w:p>
    <w:p w14:paraId="5B614338" w14:textId="77777777" w:rsidR="00A631B0" w:rsidRPr="00CC725E" w:rsidRDefault="00A631B0" w:rsidP="00A631B0">
      <w:pPr>
        <w:widowControl/>
        <w:wordWrap/>
        <w:autoSpaceDE/>
        <w:autoSpaceDN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br w:type="page"/>
      </w:r>
    </w:p>
    <w:p w14:paraId="3D5C91D0" w14:textId="77777777" w:rsidR="00A631B0" w:rsidRPr="00CC725E" w:rsidRDefault="00A631B0" w:rsidP="00A631B0">
      <w:pPr>
        <w:widowControl/>
        <w:wordWrap/>
        <w:autoSpaceDE/>
        <w:autoSpaceDN/>
        <w:rPr>
          <w:rFonts w:ascii="Times New Roman" w:eastAsia="Gulim" w:hAnsi="Times New Roman" w:cs="Times New Roman"/>
          <w:color w:val="000000"/>
          <w:kern w:val="0"/>
          <w:sz w:val="24"/>
        </w:rPr>
      </w:pPr>
      <w:r>
        <w:rPr>
          <w:rFonts w:ascii="Times New Roman" w:eastAsia="Gulim" w:hAnsi="Times New Roman" w:cs="Times New Roman"/>
          <w:noProof/>
          <w:color w:val="000000"/>
          <w:kern w:val="0"/>
          <w:sz w:val="24"/>
        </w:rPr>
        <w:lastRenderedPageBreak/>
        <w:drawing>
          <wp:inline distT="0" distB="0" distL="0" distR="0" wp14:anchorId="4FEE4CC4" wp14:editId="0403E947">
            <wp:extent cx="5270500" cy="5843905"/>
            <wp:effectExtent l="0" t="0" r="0" b="0"/>
            <wp:docPr id="28" name="그림 2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8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4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2A391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</w:p>
    <w:p w14:paraId="3459C4B3" w14:textId="77777777" w:rsidR="00A631B0" w:rsidRPr="00CC725E" w:rsidRDefault="00A631B0" w:rsidP="00A631B0">
      <w:pPr>
        <w:wordWrap/>
        <w:spacing w:line="360" w:lineRule="auto"/>
        <w:rPr>
          <w:rFonts w:ascii="Times New Roman" w:eastAsia="휴먼명조" w:hAnsi="Times New Roman" w:cs="Times New Roman"/>
          <w:b/>
          <w:color w:val="000000"/>
          <w:sz w:val="24"/>
        </w:rPr>
      </w:pP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>Extended Data Figure 3. Detection of SG377 in male and female reproductive tissues and hemolymph</w:t>
      </w:r>
    </w:p>
    <w:p w14:paraId="72DBC464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(a) LC-MS profile of the C18 flow-through of male (left) and female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(right)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reproductive 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>tissue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s. Virgin females were analyzed.</w:t>
      </w:r>
    </w:p>
    <w:p w14:paraId="740A2776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(b) LC-MS profile of the C18 flow-through of male testis (left) and the ejaculatory duct and seminal vesicle complex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(right</w:t>
      </w:r>
      <w:proofErr w:type="gramStart"/>
      <w:r>
        <w:rPr>
          <w:rFonts w:ascii="Times New Roman" w:eastAsia="휴먼명조" w:hAnsi="Times New Roman" w:cs="Times New Roman"/>
          <w:color w:val="000000"/>
          <w:kern w:val="0"/>
          <w:sz w:val="24"/>
        </w:rPr>
        <w:t>)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.</w:t>
      </w:r>
      <w:proofErr w:type="gramEnd"/>
    </w:p>
    <w:p w14:paraId="4498D2E0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(c) Relative SG377 levels in the three major male reproductive organs. The means ± SEM of the data are shown. The number in parentheses indicates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n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.</w:t>
      </w:r>
    </w:p>
    <w:p w14:paraId="35DEC2B4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(d) LC-MS profile of the C18 flow-through of virgin 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(left)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and mated 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(right)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female hemolymph.</w:t>
      </w:r>
    </w:p>
    <w:p w14:paraId="3DE03960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lastRenderedPageBreak/>
        <w:t xml:space="preserve">(e) Relative SG377 levels in male reproductive organs before, and at indicated times after, mating. 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 xml:space="preserve">One-way ANOVA with Bonferroni post-hoc test compares virgin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and mated males</w:t>
      </w:r>
      <w:r w:rsidRPr="00CC725E">
        <w:rPr>
          <w:rFonts w:ascii="Times New Roman" w:eastAsia="Apple SD Gothic Neo" w:hAnsi="Times New Roman" w:cs="Times New Roman"/>
          <w:color w:val="000000"/>
          <w:kern w:val="0"/>
          <w:sz w:val="24"/>
        </w:rPr>
        <w:t xml:space="preserve">.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T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he number above the column is the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value (*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0.05, 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0.005).</w:t>
      </w:r>
    </w:p>
    <w:p w14:paraId="5E05E460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>
        <w:rPr>
          <w:rFonts w:ascii="Times New Roman" w:eastAsia="휴먼명조" w:hAnsi="Times New Roman" w:cs="Times New Roman"/>
          <w:color w:val="000000"/>
          <w:kern w:val="0"/>
          <w:sz w:val="24"/>
        </w:rPr>
        <w:br w:type="column"/>
      </w:r>
      <w:r>
        <w:rPr>
          <w:rFonts w:ascii="Times New Roman" w:eastAsia="휴먼명조" w:hAnsi="Times New Roman" w:cs="Times New Roman"/>
          <w:noProof/>
          <w:color w:val="000000"/>
          <w:kern w:val="0"/>
          <w:sz w:val="24"/>
        </w:rPr>
        <w:lastRenderedPageBreak/>
        <w:drawing>
          <wp:inline distT="0" distB="0" distL="0" distR="0" wp14:anchorId="2518F5C0" wp14:editId="49989FFD">
            <wp:extent cx="5270500" cy="4886960"/>
            <wp:effectExtent l="0" t="0" r="0" b="2540"/>
            <wp:docPr id="29" name="그림 29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그림 29" descr="Diagram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8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7222D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</w:p>
    <w:p w14:paraId="4986D005" w14:textId="77777777" w:rsidR="00A631B0" w:rsidRPr="00CC725E" w:rsidRDefault="00A631B0" w:rsidP="00A631B0">
      <w:pPr>
        <w:wordWrap/>
        <w:spacing w:line="360" w:lineRule="auto"/>
        <w:rPr>
          <w:rFonts w:ascii="Times New Roman" w:eastAsia="휴먼명조" w:hAnsi="Times New Roman" w:cs="Times New Roman"/>
          <w:b/>
          <w:color w:val="000000"/>
          <w:sz w:val="24"/>
        </w:rPr>
      </w:pP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>Extended Data Figure 4. SG377 induces Ca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  <w:vertAlign w:val="superscript"/>
        </w:rPr>
        <w:t>2+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 responses in Dh44-PI neurons via glucose transporters</w:t>
      </w:r>
    </w:p>
    <w:p w14:paraId="53E72815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(a-c) GCaMP fluorescence response of Dh44-PI neurons from virgin females to </w:t>
      </w:r>
      <w:r w:rsidRPr="00CC725E">
        <w:rPr>
          <w:rFonts w:ascii="Times New Roman" w:eastAsia="휴먼명조" w:hAnsi="Times New Roman" w:cs="Times New Roman"/>
          <w:iCs/>
          <w:color w:val="000000"/>
          <w:kern w:val="0"/>
          <w:sz w:val="24"/>
        </w:rPr>
        <w:t>D-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glucose or MAG extracts of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D. melanogaster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</w:t>
      </w:r>
      <w:r w:rsidRPr="00CC725E">
        <w:rPr>
          <w:rFonts w:ascii="Times New Roman" w:eastAsia="휴먼명조" w:hAnsi="Times New Roman" w:cs="Times New Roman"/>
          <w:iCs/>
          <w:color w:val="000000"/>
          <w:kern w:val="0"/>
          <w:sz w:val="24"/>
        </w:rPr>
        <w:t>(a), D-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glucose or synthetic SG377 at indicated concentrations (b), and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 xml:space="preserve">D. melanogaster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MAG extracts (c). In (c), Dh44-PI neurons were pre-treated with 1 µM phlorizin or 8 µM alloxan. 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In this experimental setup, MAG extracts collected from 20 </w:t>
      </w:r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D. melanogaster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(</w:t>
      </w:r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CS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strain) males yielded 0.48</w:t>
      </w:r>
      <w:r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mM SG377.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For % responders (upper), data are shown as means. Two-sided Fisher’s exact test compares vehicle control and the indicated treatments (a-c). For the maximum peak amplitude (middle) and area under curve (lower), data are shown as means ± SEM. One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>-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way ANOVA with Bonferroni post-hoc test (a, middle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>;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b, lower). Kruskal-</w:t>
      </w:r>
      <w:proofErr w:type="gramStart"/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Wallis</w:t>
      </w:r>
      <w:proofErr w:type="gramEnd"/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test with Dunn post-hoc test (</w:t>
      </w:r>
      <w:r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a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lower; b middle). The letters above the columns in (a) and (b) indicate significant differences (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p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&lt; 0.05) for comparisons of treatments. Unpaired two-tailed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t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-test compares vehicle and drug pretreatment groups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lastRenderedPageBreak/>
        <w:t>(c). T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he number above the column is the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value (*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0.05, 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0.01, 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0.005, 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0.001).</w:t>
      </w:r>
    </w:p>
    <w:p w14:paraId="65F9866B" w14:textId="77777777" w:rsidR="00A631B0" w:rsidRPr="00CC725E" w:rsidRDefault="00A631B0" w:rsidP="00A631B0">
      <w:pPr>
        <w:widowControl/>
        <w:wordWrap/>
        <w:autoSpaceDE/>
        <w:autoSpaceDN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br w:type="page"/>
      </w:r>
    </w:p>
    <w:p w14:paraId="30A69A14" w14:textId="77777777" w:rsidR="00A631B0" w:rsidRPr="00CC725E" w:rsidRDefault="00A631B0" w:rsidP="00A631B0">
      <w:pPr>
        <w:widowControl/>
        <w:wordWrap/>
        <w:autoSpaceDE/>
        <w:autoSpaceDN/>
        <w:rPr>
          <w:rFonts w:ascii="Times New Roman" w:eastAsia="Gulim" w:hAnsi="Times New Roman" w:cs="Times New Roman"/>
          <w:color w:val="000000"/>
          <w:kern w:val="0"/>
          <w:sz w:val="24"/>
        </w:rPr>
      </w:pPr>
      <w:r>
        <w:rPr>
          <w:rFonts w:ascii="Times New Roman" w:eastAsia="Gulim" w:hAnsi="Times New Roman" w:cs="Times New Roman"/>
          <w:noProof/>
          <w:color w:val="000000"/>
          <w:kern w:val="0"/>
          <w:sz w:val="24"/>
        </w:rPr>
        <w:lastRenderedPageBreak/>
        <w:drawing>
          <wp:inline distT="0" distB="0" distL="0" distR="0" wp14:anchorId="7F3E938F" wp14:editId="1EAFCF4F">
            <wp:extent cx="5270500" cy="4175760"/>
            <wp:effectExtent l="0" t="0" r="0" b="2540"/>
            <wp:docPr id="30" name="그림 3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그림 30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1B7A1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</w:p>
    <w:p w14:paraId="5F9E3E1B" w14:textId="77777777" w:rsidR="00A631B0" w:rsidRPr="00CC725E" w:rsidRDefault="00A631B0" w:rsidP="00A631B0">
      <w:pPr>
        <w:wordWrap/>
        <w:spacing w:line="360" w:lineRule="auto"/>
        <w:rPr>
          <w:rFonts w:ascii="Times New Roman" w:eastAsia="휴먼명조" w:hAnsi="Times New Roman" w:cs="Times New Roman"/>
          <w:b/>
          <w:color w:val="000000"/>
          <w:sz w:val="24"/>
        </w:rPr>
      </w:pP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Extended Data Figure 5. RNAi knockdown of some GT28 genes expressed in the male accessory gland </w:t>
      </w:r>
      <w:r w:rsidRPr="00CC725E">
        <w:rPr>
          <w:rFonts w:ascii="Times New Roman" w:eastAsia="휴먼명조" w:hAnsi="Times New Roman" w:cs="Times New Roman"/>
          <w:b/>
          <w:iCs/>
          <w:color w:val="000000"/>
          <w:sz w:val="24"/>
        </w:rPr>
        <w:t xml:space="preserve">reduces </w:t>
      </w:r>
      <w:r w:rsidRPr="00CC725E">
        <w:rPr>
          <w:rFonts w:ascii="Times New Roman" w:eastAsia="휴먼명조" w:hAnsi="Times New Roman" w:cs="Times New Roman"/>
          <w:b/>
          <w:color w:val="000000"/>
          <w:sz w:val="24"/>
        </w:rPr>
        <w:t xml:space="preserve">SG377 production </w:t>
      </w:r>
    </w:p>
    <w:p w14:paraId="54C16881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(a) 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Heatmap representation (scaled expression) of the transcriptional changes at the indicated times after </w:t>
      </w:r>
      <w:proofErr w:type="spellStart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>eclosion</w:t>
      </w:r>
      <w:proofErr w:type="spellEnd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for six GT28 genes expressed in the male accessory gland. Count value, </w:t>
      </w:r>
      <w:proofErr w:type="spellStart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>tpm</w:t>
      </w:r>
      <w:proofErr w:type="spellEnd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value and scaled value are available in Supplementary Table 3.</w:t>
      </w:r>
    </w:p>
    <w:p w14:paraId="1AD2ED6A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(b) Relative SG377 levels in the reproductive organs of well-nourished males of the indicated genotypes. Data are shown as means ± SEM. The number in parentheses indicates </w:t>
      </w:r>
      <w:r w:rsidRPr="00CC725E">
        <w:rPr>
          <w:rFonts w:ascii="Times New Roman" w:eastAsia="휴먼명조" w:hAnsi="Times New Roman" w:cs="Times New Roman"/>
          <w:i/>
          <w:color w:val="000000"/>
          <w:kern w:val="0"/>
          <w:sz w:val="24"/>
        </w:rPr>
        <w:t>n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. 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One-way ANOVA with Bonferroni post-hoc test compares 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control (gray circle) and the indicated RNAi lines (red circle). T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he number above the column is the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value (ns,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&gt; 0.05; 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0.05; 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0.01; 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0.005; ***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&lt; 0.001).</w:t>
      </w:r>
    </w:p>
    <w:p w14:paraId="28EAB91A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(c) The amount SG377 of wild type male reproductive organs collected at the indicated days after </w:t>
      </w:r>
      <w:proofErr w:type="spellStart"/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eclosion</w:t>
      </w:r>
      <w:proofErr w:type="spellEnd"/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>. Data are shown as means ± SEM.</w:t>
      </w:r>
    </w:p>
    <w:p w14:paraId="4FCBD9C2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(d) Sperm competition analysis. 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For defense assays (left), a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cn</w:t>
      </w:r>
      <w:proofErr w:type="spellEnd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 xml:space="preserve">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bw</w:t>
      </w:r>
      <w:proofErr w:type="spellEnd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female mates first with a male of the indicated genotype and then mates a second time with a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cn</w:t>
      </w:r>
      <w:proofErr w:type="spellEnd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 xml:space="preserve">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bw</w:t>
      </w:r>
      <w:proofErr w:type="spellEnd"/>
      <w:r w:rsidRPr="00CC725E" w:rsidDel="007052E5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male. The proportion of offspring produced by the first mating was measured. For offense assays, a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cn</w:t>
      </w:r>
      <w:proofErr w:type="spellEnd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 xml:space="preserve">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bw</w:t>
      </w:r>
      <w:proofErr w:type="spellEnd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female mates first with a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cn</w:t>
      </w:r>
      <w:proofErr w:type="spellEnd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 xml:space="preserve"> </w:t>
      </w:r>
      <w:proofErr w:type="spellStart"/>
      <w:r w:rsidRPr="00CC725E">
        <w:rPr>
          <w:rFonts w:ascii="Times New Roman" w:eastAsia="Gulim" w:hAnsi="Times New Roman" w:cs="Times New Roman"/>
          <w:i/>
          <w:iCs/>
          <w:color w:val="000000"/>
          <w:kern w:val="0"/>
          <w:sz w:val="24"/>
        </w:rPr>
        <w:t>bw</w:t>
      </w:r>
      <w:proofErr w:type="spellEnd"/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t xml:space="preserve"> male and then mates a second </w:t>
      </w:r>
      <w:r w:rsidRPr="00CC725E">
        <w:rPr>
          <w:rFonts w:ascii="Times New Roman" w:eastAsia="Gulim" w:hAnsi="Times New Roman" w:cs="Times New Roman"/>
          <w:color w:val="000000"/>
          <w:kern w:val="0"/>
          <w:sz w:val="24"/>
        </w:rPr>
        <w:lastRenderedPageBreak/>
        <w:t>time with a male of the indicated genotype. The proportion of offspring produced by the second mating was measured.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Data are shown as means ± SEM. 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>One-way ANOVA with Bonferroni post-hoc test (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ns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,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&gt; 0.05).</w:t>
      </w:r>
    </w:p>
    <w:p w14:paraId="5A6DD3F9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(e) Survival rate from egg to pupa. Each circle represents the egg-to-pupa survival rate of eggs laid by individual 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</w:rPr>
        <w:t>w</w:t>
      </w:r>
      <w:r w:rsidRPr="00CC725E">
        <w:rPr>
          <w:rFonts w:ascii="Times New Roman" w:eastAsia="휴먼명조" w:hAnsi="Times New Roman" w:cs="Times New Roman"/>
          <w:i/>
          <w:iCs/>
          <w:color w:val="000000"/>
          <w:kern w:val="0"/>
          <w:sz w:val="24"/>
          <w:vertAlign w:val="superscript"/>
        </w:rPr>
        <w:t>1118</w:t>
      </w:r>
      <w:r w:rsidRPr="00CC725E">
        <w:rPr>
          <w:rFonts w:ascii="Times New Roman" w:eastAsia="휴먼명조" w:hAnsi="Times New Roman" w:cs="Times New Roman"/>
          <w:color w:val="000000"/>
          <w:kern w:val="0"/>
          <w:sz w:val="24"/>
        </w:rPr>
        <w:t xml:space="preserve"> females over two days. Data are shown as means ± SEM. 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>One-way ANOVA with Bonferroni post-hoc test (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ns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, </w:t>
      </w:r>
      <w:r w:rsidRPr="00CC725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hd w:val="clear" w:color="auto" w:fill="FFFFFF"/>
        </w:rPr>
        <w:t>p</w:t>
      </w:r>
      <w:r w:rsidRPr="00CC725E">
        <w:rPr>
          <w:rFonts w:ascii="Times New Roman" w:eastAsia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 &gt; 0.05).</w:t>
      </w:r>
    </w:p>
    <w:p w14:paraId="4269D1E5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휴먼명조" w:hAnsi="Times New Roman" w:cs="Times New Roman"/>
          <w:color w:val="000000"/>
          <w:kern w:val="0"/>
          <w:sz w:val="24"/>
        </w:rPr>
      </w:pPr>
    </w:p>
    <w:p w14:paraId="70A6213E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  <w:r w:rsidRPr="00CC725E">
        <w:rPr>
          <w:rFonts w:ascii="Times New Roman" w:eastAsia="Malgun Gothic" w:hAnsi="Times New Roman" w:cs="Times New Roman"/>
          <w:b/>
          <w:kern w:val="0"/>
          <w:sz w:val="24"/>
        </w:rPr>
        <w:br w:type="page"/>
      </w:r>
    </w:p>
    <w:p w14:paraId="30564CAC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  <w:r>
        <w:rPr>
          <w:rFonts w:ascii="Times New Roman" w:eastAsia="Malgun Gothic" w:hAnsi="Times New Roman" w:cs="Times New Roman"/>
          <w:b/>
          <w:noProof/>
          <w:kern w:val="0"/>
          <w:sz w:val="24"/>
        </w:rPr>
        <w:lastRenderedPageBreak/>
        <w:drawing>
          <wp:inline distT="0" distB="0" distL="0" distR="0" wp14:anchorId="59B0D500" wp14:editId="6FE84FE4">
            <wp:extent cx="5232400" cy="4394200"/>
            <wp:effectExtent l="0" t="0" r="0" b="0"/>
            <wp:docPr id="31" name="그림 31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그림 31" descr="Chart, rada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833C7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Malgun Gothic" w:hAnsi="Times New Roman" w:cs="Times New Roman"/>
          <w:kern w:val="0"/>
          <w:sz w:val="24"/>
        </w:rPr>
      </w:pPr>
    </w:p>
    <w:p w14:paraId="10775C92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CC725E">
        <w:rPr>
          <w:rFonts w:ascii="Times New Roman" w:eastAsia="Malgun Gothic" w:hAnsi="Times New Roman" w:cs="Times New Roman"/>
          <w:b/>
          <w:kern w:val="0"/>
          <w:sz w:val="24"/>
        </w:rPr>
        <w:t>Expended Data Figure 6. Current model for the energy state-dependent modulation of EHP</w:t>
      </w:r>
    </w:p>
    <w:p w14:paraId="4E270981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CC725E">
        <w:rPr>
          <w:rFonts w:ascii="Times New Roman" w:eastAsia="Malgun Gothic" w:hAnsi="Times New Roman" w:cs="Times New Roman"/>
          <w:kern w:val="0"/>
          <w:sz w:val="24"/>
        </w:rPr>
        <w:t>(a) Before mating, glycaemia continuously induces basal levels of Dh44 secretion and determines the size of the Dh44 pool in Dh44-PI neurons available for mating or SG377-induced Dh44 secretion. After mating, SG377 from the male ejaculate enters the female hemocoel, stimulates the activity of Dh44-PI neurons, and augments the secretion of Dh44, thereby increasing EHP.</w:t>
      </w:r>
    </w:p>
    <w:p w14:paraId="4AA48A1B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CC725E">
        <w:rPr>
          <w:rFonts w:ascii="Times New Roman" w:eastAsia="Malgun Gothic" w:hAnsi="Times New Roman" w:cs="Times New Roman"/>
          <w:kern w:val="0"/>
          <w:sz w:val="24"/>
        </w:rPr>
        <w:t xml:space="preserve">(b-c) When females mate with well-nourished males transferring SG377 large enough to sustain Dh44 secretion until depletion, the size of the Dh44 pool, determined by pre-mating </w:t>
      </w:r>
      <w:proofErr w:type="spellStart"/>
      <w:r w:rsidRPr="00CC725E">
        <w:rPr>
          <w:rFonts w:ascii="Times New Roman" w:eastAsia="Malgun Gothic" w:hAnsi="Times New Roman" w:cs="Times New Roman"/>
          <w:kern w:val="0"/>
          <w:sz w:val="24"/>
        </w:rPr>
        <w:t>glycaemic</w:t>
      </w:r>
      <w:proofErr w:type="spellEnd"/>
      <w:r w:rsidRPr="00CC725E">
        <w:rPr>
          <w:rFonts w:ascii="Times New Roman" w:eastAsia="Malgun Gothic" w:hAnsi="Times New Roman" w:cs="Times New Roman"/>
          <w:kern w:val="0"/>
          <w:sz w:val="24"/>
        </w:rPr>
        <w:t xml:space="preserve"> status, is a major determinant of EHP duration. Thus, mating with well-nourished males allows starved females to have longer EHPs than well-nourished females.</w:t>
      </w:r>
    </w:p>
    <w:p w14:paraId="25530B65" w14:textId="77777777" w:rsidR="00A631B0" w:rsidRPr="00CC725E" w:rsidRDefault="00A631B0" w:rsidP="00A631B0">
      <w:pPr>
        <w:widowControl/>
        <w:wordWrap/>
        <w:autoSpaceDE/>
        <w:autoSpaceDN/>
        <w:spacing w:line="360" w:lineRule="auto"/>
        <w:jc w:val="left"/>
      </w:pPr>
      <w:r w:rsidRPr="00CC725E">
        <w:rPr>
          <w:rFonts w:ascii="Times New Roman" w:eastAsia="Malgun Gothic" w:hAnsi="Times New Roman" w:cs="Times New Roman"/>
          <w:kern w:val="0"/>
          <w:sz w:val="24"/>
        </w:rPr>
        <w:t>(d-e) When females mate with starved males producing ~50% less SG377 than well-nourished males, the amount of SG377 in the ejaculate determines EHP. Thus, when mated with starved males, the EHP of starved females and well-nourished females show limited differences in EHP.</w:t>
      </w:r>
    </w:p>
    <w:p w14:paraId="123EF0EC" w14:textId="77777777" w:rsidR="005775EB" w:rsidRDefault="005775EB"/>
    <w:sectPr w:rsidR="005775EB" w:rsidSect="00CC72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휴먼명조">
    <w:altName w:val="Malgun Gothic"/>
    <w:charset w:val="81"/>
    <w:family w:val="auto"/>
    <w:pitch w:val="variable"/>
    <w:sig w:usb0="800002A7" w:usb1="19D77CFB" w:usb2="00000010" w:usb3="00000000" w:csb0="00080000" w:csb1="00000000"/>
  </w:font>
  <w:font w:name="Apple SD Gothic Neo">
    <w:altName w:val="Malgun Gothic"/>
    <w:charset w:val="81"/>
    <w:family w:val="auto"/>
    <w:pitch w:val="variable"/>
    <w:sig w:usb0="00000203" w:usb1="29D72C10" w:usb2="00000010" w:usb3="00000000" w:csb0="00280005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1B0"/>
    <w:rsid w:val="005775EB"/>
    <w:rsid w:val="00A6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1CCCF"/>
  <w15:chartTrackingRefBased/>
  <w15:docId w15:val="{F5B2A738-CA42-4244-A0EB-0E4DD838B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1B0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1157</Words>
  <Characters>6600</Characters>
  <Application>Microsoft Office Word</Application>
  <DocSecurity>0</DocSecurity>
  <Lines>55</Lines>
  <Paragraphs>15</Paragraphs>
  <ScaleCrop>false</ScaleCrop>
  <Company/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2023-01-16T21:04:00Z</dcterms:created>
  <dcterms:modified xsi:type="dcterms:W3CDTF">2023-01-16T21:04:00Z</dcterms:modified>
</cp:coreProperties>
</file>