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C9216" w14:textId="273AD044" w:rsidR="009167F8" w:rsidRDefault="009167F8" w:rsidP="009167F8">
      <w:pPr>
        <w:jc w:val="both"/>
        <w:rPr>
          <w:rFonts w:ascii="Arial Narrow" w:hAnsi="Arial Narrow"/>
          <w:sz w:val="24"/>
          <w:szCs w:val="24"/>
        </w:rPr>
      </w:pPr>
    </w:p>
    <w:p w14:paraId="4143DF12" w14:textId="77777777" w:rsidR="00392F94" w:rsidRPr="00E25618" w:rsidRDefault="00392F94" w:rsidP="00392F94">
      <w:pPr>
        <w:jc w:val="center"/>
        <w:rPr>
          <w:rFonts w:ascii="Arial Narrow" w:hAnsi="Arial Narrow"/>
          <w:sz w:val="24"/>
        </w:rPr>
      </w:pPr>
      <w:r w:rsidRPr="00C2674D">
        <w:rPr>
          <w:b/>
          <w:bCs/>
          <w:sz w:val="24"/>
          <w:szCs w:val="24"/>
        </w:rPr>
        <w:t xml:space="preserve">Appendix </w:t>
      </w:r>
      <w:r w:rsidRPr="008501A9">
        <w:rPr>
          <w:b/>
          <w:bCs/>
          <w:sz w:val="24"/>
          <w:szCs w:val="24"/>
        </w:rPr>
        <w:t>-</w:t>
      </w:r>
      <w:r w:rsidRPr="008501A9">
        <w:rPr>
          <w:rFonts w:ascii="Arial Narrow" w:hAnsi="Arial Narrow"/>
          <w:b/>
          <w:bCs/>
          <w:sz w:val="24"/>
        </w:rPr>
        <w:t xml:space="preserve"> Proof of the main result</w:t>
      </w:r>
    </w:p>
    <w:p w14:paraId="63D199A4"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The loss of the portfolio </w:t>
      </w:r>
      <m:oMath>
        <m:r>
          <w:rPr>
            <w:rFonts w:ascii="Cambria Math" w:hAnsi="Cambria Math" w:cs="Times New Roman"/>
            <w:sz w:val="20"/>
            <w:szCs w:val="20"/>
          </w:rPr>
          <m:t>L</m:t>
        </m:r>
      </m:oMath>
      <w:r w:rsidRPr="00047851">
        <w:rPr>
          <w:rFonts w:ascii="Arial Narrow" w:eastAsia="Times New Roman" w:hAnsi="Arial Narrow"/>
          <w:sz w:val="20"/>
          <w:szCs w:val="20"/>
          <w:lang w:val="en-GB" w:eastAsia="fr-FR"/>
        </w:rPr>
        <w:t xml:space="preserve"> is a random variable, a priori, not distributed according to a known distribution (defined in the manuscript – see the Equation (3)) but can be studied empirically by simulating each term separately, and by adding them thereafter.</w:t>
      </w:r>
    </w:p>
    <w:p w14:paraId="7B001C30"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Let us determine first, the characteristics of the random variable </w:t>
      </w:r>
      <m:oMath>
        <m:r>
          <w:rPr>
            <w:rFonts w:ascii="Cambria Math" w:hAnsi="Cambria Math" w:cs="Times New Roman"/>
            <w:sz w:val="20"/>
            <w:szCs w:val="20"/>
          </w:rPr>
          <m:t>L</m:t>
        </m:r>
      </m:oMath>
      <w:r w:rsidRPr="00047851">
        <w:rPr>
          <w:rFonts w:ascii="Arial Narrow" w:eastAsia="Times New Roman" w:hAnsi="Arial Narrow"/>
          <w:sz w:val="20"/>
          <w:szCs w:val="20"/>
          <w:lang w:val="en-GB" w:eastAsia="fr-FR"/>
        </w:rPr>
        <w:t>:</w:t>
      </w:r>
    </w:p>
    <w:p w14:paraId="4E46680E" w14:textId="77777777" w:rsidR="00392F94" w:rsidRPr="00047851" w:rsidRDefault="00392F94" w:rsidP="00392F94">
      <w:pPr>
        <w:pStyle w:val="ListParagraph"/>
        <w:numPr>
          <w:ilvl w:val="0"/>
          <w:numId w:val="30"/>
        </w:numPr>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The expected loss </w:t>
      </w:r>
      <m:oMath>
        <m:r>
          <w:rPr>
            <w:rFonts w:ascii="Cambria Math" w:eastAsia="Times New Roman" w:hAnsi="Cambria Math"/>
            <w:sz w:val="20"/>
            <w:szCs w:val="20"/>
            <w:lang w:val="en-GB" w:eastAsia="fr-FR"/>
          </w:rPr>
          <m:t>E</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e>
        </m:d>
      </m:oMath>
      <w:r w:rsidRPr="00047851">
        <w:rPr>
          <w:rFonts w:ascii="Arial Narrow" w:eastAsia="Times New Roman" w:hAnsi="Arial Narrow"/>
          <w:sz w:val="20"/>
          <w:szCs w:val="20"/>
          <w:lang w:val="en-GB" w:eastAsia="fr-FR"/>
        </w:rPr>
        <w:t xml:space="preserve"> is expressed as:</w:t>
      </w:r>
      <w:r w:rsidRPr="00047851">
        <w:rPr>
          <w:rFonts w:ascii="Arial Narrow" w:eastAsia="Times New Roman" w:hAnsi="Arial Narrow"/>
          <w:sz w:val="20"/>
          <w:szCs w:val="20"/>
          <w:lang w:val="en-GB" w:eastAsia="fr-FR"/>
        </w:rPr>
        <w:tab/>
      </w:r>
    </w:p>
    <w:p w14:paraId="7E12BC6C" w14:textId="77777777" w:rsidR="00392F94" w:rsidRPr="00047851" w:rsidRDefault="00392F94" w:rsidP="00392F94">
      <w:pPr>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E</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e>
        </m:d>
        <m:r>
          <m:rPr>
            <m:sty m:val="p"/>
          </m:rPr>
          <w:rPr>
            <w:rFonts w:ascii="Cambria Math" w:eastAsia="Times New Roman" w:hAnsi="Cambria Math"/>
            <w:sz w:val="20"/>
            <w:szCs w:val="20"/>
            <w:lang w:val="en-GB" w:eastAsia="fr-FR"/>
          </w:rPr>
          <m:t>=</m:t>
        </m:r>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A</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e>
        </m:nary>
      </m:oMath>
      <w:r w:rsidRPr="00047851">
        <w:rPr>
          <w:rFonts w:ascii="Arial Narrow" w:eastAsia="Times New Roman" w:hAnsi="Arial Narrow"/>
          <w:sz w:val="20"/>
          <w:szCs w:val="20"/>
          <w:lang w:val="en-GB" w:eastAsia="fr-FR"/>
        </w:rPr>
        <w:t xml:space="preserve">     </w:t>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t>(2)</w:t>
      </w:r>
    </w:p>
    <w:p w14:paraId="2FD3652F" w14:textId="77777777" w:rsidR="00392F94" w:rsidRPr="00047851" w:rsidRDefault="00392F94" w:rsidP="00392F94">
      <w:pPr>
        <w:pStyle w:val="ListParagraph"/>
        <w:numPr>
          <w:ilvl w:val="0"/>
          <w:numId w:val="30"/>
        </w:num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The variance of L, under the assumption of the independence of the counterparties, is given by:</w:t>
      </w:r>
    </w:p>
    <w:p w14:paraId="5BDD8FEB" w14:textId="77777777" w:rsidR="00392F94" w:rsidRPr="00047851" w:rsidRDefault="00392F94" w:rsidP="00392F94">
      <w:pPr>
        <w:spacing w:line="360" w:lineRule="auto"/>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σ</m:t>
        </m:r>
        <m:r>
          <m:rPr>
            <m:sty m:val="p"/>
          </m:rPr>
          <w:rPr>
            <w:rFonts w:ascii="Cambria Math" w:eastAsia="Times New Roman" w:hAnsi="Cambria Math"/>
            <w:sz w:val="20"/>
            <w:szCs w:val="20"/>
            <w:lang w:val="en-GB" w:eastAsia="fr-FR"/>
          </w:rPr>
          <m:t>²</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e>
        </m:d>
        <m:r>
          <m:rPr>
            <m:sty m:val="p"/>
          </m:rPr>
          <w:rPr>
            <w:rFonts w:ascii="Cambria Math" w:eastAsia="Times New Roman" w:hAnsi="Cambria Math"/>
            <w:sz w:val="20"/>
            <w:szCs w:val="20"/>
            <w:lang w:val="en-GB" w:eastAsia="fr-FR"/>
          </w:rPr>
          <m:t>=</m:t>
        </m:r>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A</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up>
                <m:r>
                  <m:rPr>
                    <m:sty m:val="p"/>
                  </m:rPr>
                  <w:rPr>
                    <w:rFonts w:ascii="Cambria Math" w:eastAsia="Times New Roman" w:hAnsi="Cambria Math"/>
                    <w:sz w:val="20"/>
                    <w:szCs w:val="20"/>
                    <w:lang w:val="en-GB" w:eastAsia="fr-FR"/>
                  </w:rPr>
                  <m:t>2</m:t>
                </m:r>
              </m:sup>
            </m:sSubSup>
          </m:e>
        </m:nary>
      </m:oMath>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t>(3)</w:t>
      </w:r>
    </w:p>
    <w:p w14:paraId="5DE70E06"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We define </w:t>
      </w:r>
      <w:r w:rsidRPr="00047851">
        <w:rPr>
          <w:rFonts w:ascii="Arial Narrow" w:eastAsia="Times New Roman" w:hAnsi="Arial Narrow"/>
          <w:sz w:val="20"/>
          <w:szCs w:val="20"/>
          <w:lang w:val="en-GB" w:eastAsia="fr-FR"/>
        </w:rPr>
        <w:sym w:font="Symbol" w:char="F078"/>
      </w:r>
      <w:r w:rsidRPr="00047851">
        <w:rPr>
          <w:rFonts w:ascii="Arial Narrow" w:eastAsia="Times New Roman" w:hAnsi="Arial Narrow"/>
          <w:sz w:val="20"/>
          <w:szCs w:val="20"/>
          <w:lang w:val="en-GB" w:eastAsia="fr-FR"/>
        </w:rPr>
        <w:t>(</w:t>
      </w:r>
      <w:r w:rsidRPr="00047851">
        <w:rPr>
          <w:rFonts w:ascii="Arial Narrow" w:eastAsia="Times New Roman" w:hAnsi="Arial Narrow"/>
          <w:sz w:val="20"/>
          <w:szCs w:val="20"/>
          <w:lang w:val="en-GB" w:eastAsia="fr-FR"/>
        </w:rPr>
        <w:sym w:font="Symbol" w:char="F061"/>
      </w:r>
      <w:r w:rsidRPr="00047851">
        <w:rPr>
          <w:rFonts w:ascii="Arial Narrow" w:eastAsia="Times New Roman" w:hAnsi="Arial Narrow"/>
          <w:sz w:val="20"/>
          <w:szCs w:val="20"/>
          <w:lang w:val="en-GB" w:eastAsia="fr-FR"/>
        </w:rPr>
        <w:t xml:space="preserve">) as the multiplier of the loss distribution at a confidence level </w:t>
      </w:r>
      <w:r w:rsidRPr="00047851">
        <w:rPr>
          <w:rFonts w:ascii="Arial Narrow" w:eastAsia="Times New Roman" w:hAnsi="Arial Narrow"/>
          <w:sz w:val="20"/>
          <w:szCs w:val="20"/>
          <w:lang w:val="en-GB" w:eastAsia="fr-FR"/>
        </w:rPr>
        <w:sym w:font="Symbol" w:char="F061"/>
      </w:r>
      <w:r w:rsidRPr="00047851">
        <w:rPr>
          <w:rFonts w:ascii="Arial Narrow" w:eastAsia="Times New Roman" w:hAnsi="Arial Narrow"/>
          <w:sz w:val="20"/>
          <w:szCs w:val="20"/>
          <w:lang w:val="en-GB" w:eastAsia="fr-FR"/>
        </w:rPr>
        <w:t>, this parameter is deducted from the following formula:</w:t>
      </w:r>
    </w:p>
    <w:p w14:paraId="0411EC5A" w14:textId="77777777" w:rsidR="00392F94" w:rsidRPr="00047851" w:rsidRDefault="00392F94" w:rsidP="00392F94">
      <w:pPr>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P</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r>
              <m:rPr>
                <m:sty m:val="p"/>
              </m:rPr>
              <w:rPr>
                <w:rFonts w:ascii="Cambria Math" w:eastAsia="Times New Roman" w:hAnsi="Cambria Math"/>
                <w:sz w:val="20"/>
                <w:szCs w:val="20"/>
                <w:lang w:val="en-GB" w:eastAsia="fr-FR"/>
              </w:rPr>
              <m:t>&lt;</m:t>
            </m:r>
            <m:r>
              <w:rPr>
                <w:rFonts w:ascii="Cambria Math" w:eastAsia="Times New Roman" w:hAnsi="Cambria Math"/>
                <w:sz w:val="20"/>
                <w:szCs w:val="20"/>
                <w:lang w:val="en-GB" w:eastAsia="fr-FR"/>
              </w:rPr>
              <m:t>E</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e>
            </m:d>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ξ</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α</m:t>
                </m:r>
              </m:e>
            </m:d>
            <m:r>
              <w:rPr>
                <w:rFonts w:ascii="Cambria Math" w:eastAsia="Times New Roman" w:hAnsi="Cambria Math"/>
                <w:sz w:val="20"/>
                <w:szCs w:val="20"/>
                <w:lang w:val="en-GB" w:eastAsia="fr-FR"/>
              </w:rPr>
              <m:t>σ</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e>
            </m:d>
          </m:e>
        </m:d>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α</m:t>
        </m:r>
      </m:oMath>
      <w:r w:rsidRPr="00047851">
        <w:rPr>
          <w:rFonts w:ascii="Arial Narrow" w:eastAsia="Times New Roman" w:hAnsi="Arial Narrow"/>
          <w:sz w:val="20"/>
          <w:szCs w:val="20"/>
          <w:lang w:val="en-GB" w:eastAsia="fr-FR"/>
        </w:rPr>
        <w:tab/>
        <w:t>(4)</w:t>
      </w:r>
    </w:p>
    <w:p w14:paraId="3EA4E8F3"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This formula specifies the probability of loss due to the limited risk by the term:</w:t>
      </w:r>
    </w:p>
    <w:p w14:paraId="57898B37" w14:textId="77777777" w:rsidR="00392F94" w:rsidRPr="00047851" w:rsidRDefault="00392F94" w:rsidP="00392F94">
      <w:pPr>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E</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e>
        </m:d>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ξ</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α</m:t>
            </m:r>
          </m:e>
        </m:d>
        <m:r>
          <w:rPr>
            <w:rFonts w:ascii="Cambria Math" w:eastAsia="Times New Roman" w:hAnsi="Cambria Math"/>
            <w:sz w:val="20"/>
            <w:szCs w:val="20"/>
            <w:lang w:val="en-GB" w:eastAsia="fr-FR"/>
          </w:rPr>
          <m:t xml:space="preserve"> σ</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L</m:t>
            </m:r>
          </m:e>
        </m:d>
      </m:oMath>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t>(5)</w:t>
      </w:r>
    </w:p>
    <w:p w14:paraId="52AEAE1F"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Using the Monte Carlo simulation of the Value at Risk (</w:t>
      </w:r>
      <w:proofErr w:type="spellStart"/>
      <w:r w:rsidRPr="00047851">
        <w:rPr>
          <w:rFonts w:ascii="Arial Narrow" w:eastAsia="Times New Roman" w:hAnsi="Arial Narrow"/>
          <w:sz w:val="20"/>
          <w:szCs w:val="20"/>
          <w:lang w:val="en-GB" w:eastAsia="fr-FR"/>
        </w:rPr>
        <w:t>VaR</w:t>
      </w:r>
      <w:proofErr w:type="spellEnd"/>
      <w:r w:rsidRPr="00047851">
        <w:rPr>
          <w:rFonts w:ascii="Arial Narrow" w:eastAsia="Times New Roman" w:hAnsi="Arial Narrow"/>
          <w:sz w:val="20"/>
          <w:szCs w:val="20"/>
          <w:lang w:val="en-GB" w:eastAsia="fr-FR"/>
        </w:rPr>
        <w:t xml:space="preserve">) of the bank portfolio, the multiplier of the loss distribution at the confidence level </w:t>
      </w:r>
      <w:r w:rsidRPr="00047851">
        <w:rPr>
          <w:rFonts w:ascii="Arial Narrow" w:eastAsia="Times New Roman" w:hAnsi="Arial Narrow"/>
          <w:sz w:val="20"/>
          <w:szCs w:val="20"/>
          <w:lang w:val="en-GB" w:eastAsia="fr-FR"/>
        </w:rPr>
        <w:sym w:font="Symbol" w:char="F061"/>
      </w:r>
      <w:r w:rsidRPr="00047851">
        <w:rPr>
          <w:rFonts w:ascii="Arial Narrow" w:eastAsia="Times New Roman" w:hAnsi="Arial Narrow"/>
          <w:sz w:val="20"/>
          <w:szCs w:val="20"/>
          <w:lang w:val="en-GB" w:eastAsia="fr-FR"/>
        </w:rPr>
        <w:t xml:space="preserve">, which is </w:t>
      </w:r>
      <m:oMath>
        <m:r>
          <w:rPr>
            <w:rFonts w:ascii="Cambria Math" w:eastAsia="Times New Roman" w:hAnsi="Cambria Math"/>
            <w:sz w:val="20"/>
            <w:szCs w:val="20"/>
            <w:lang w:val="en-GB" w:eastAsia="fr-FR"/>
          </w:rPr>
          <m:t>ξ</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α</m:t>
            </m:r>
          </m:e>
        </m:d>
      </m:oMath>
      <w:r w:rsidRPr="00047851">
        <w:rPr>
          <w:rFonts w:ascii="Arial Narrow" w:eastAsia="Times New Roman" w:hAnsi="Arial Narrow"/>
          <w:sz w:val="20"/>
          <w:szCs w:val="20"/>
          <w:lang w:val="en-GB" w:eastAsia="fr-FR"/>
        </w:rPr>
        <w:t>, is expressed below:</w:t>
      </w:r>
    </w:p>
    <w:p w14:paraId="125ABFBE" w14:textId="77777777" w:rsidR="00392F94" w:rsidRPr="00047851" w:rsidRDefault="00392F94" w:rsidP="00392F94">
      <w:pPr>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ξ</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α</m:t>
            </m:r>
          </m:e>
        </m:d>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r>
              <w:rPr>
                <w:rFonts w:ascii="Cambria Math" w:eastAsia="Times New Roman" w:hAnsi="Cambria Math"/>
                <w:sz w:val="20"/>
                <w:szCs w:val="20"/>
                <w:lang w:val="en-GB" w:eastAsia="fr-FR"/>
              </w:rPr>
              <m:t>VaR</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α</m:t>
                </m:r>
              </m:e>
            </m:d>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E(L)</m:t>
            </m:r>
          </m:num>
          <m:den>
            <m:r>
              <w:rPr>
                <w:rFonts w:ascii="Cambria Math" w:eastAsia="Times New Roman" w:hAnsi="Cambria Math"/>
                <w:sz w:val="20"/>
                <w:szCs w:val="20"/>
                <w:lang w:val="en-GB" w:eastAsia="fr-FR"/>
              </w:rPr>
              <m:t>σ</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L</m:t>
            </m:r>
            <m:r>
              <m:rPr>
                <m:sty m:val="p"/>
              </m:rPr>
              <w:rPr>
                <w:rFonts w:ascii="Cambria Math" w:eastAsia="Times New Roman" w:hAnsi="Cambria Math"/>
                <w:sz w:val="20"/>
                <w:szCs w:val="20"/>
                <w:lang w:val="en-GB" w:eastAsia="fr-FR"/>
              </w:rPr>
              <m:t>)</m:t>
            </m:r>
          </m:den>
        </m:f>
      </m:oMath>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t>(6)</w:t>
      </w:r>
    </w:p>
    <w:p w14:paraId="3E7AA5C1"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From the equation (3) provided above, and under the assumption of the independence of the counterparties, we derive the standard deviation of L as: </w:t>
      </w:r>
    </w:p>
    <w:p w14:paraId="0235ACC4" w14:textId="77777777" w:rsidR="00392F94" w:rsidRPr="00047851" w:rsidRDefault="00392F94" w:rsidP="00392F94">
      <w:pPr>
        <w:pStyle w:val="ListParagraph"/>
        <w:jc w:val="center"/>
        <w:rPr>
          <w:rFonts w:ascii="Arial Narrow" w:eastAsia="Times New Roman" w:hAnsi="Arial Narrow"/>
          <w:sz w:val="20"/>
          <w:szCs w:val="20"/>
          <w:lang w:val="en-GB" w:eastAsia="fr-FR"/>
        </w:rPr>
      </w:pPr>
      <m:oMath>
        <m:r>
          <m:rPr>
            <m:sty m:val="p"/>
          </m:rPr>
          <w:rPr>
            <w:rFonts w:ascii="Cambria Math" w:eastAsia="Times New Roman" w:hAnsi="Cambria Math"/>
            <w:sz w:val="20"/>
            <w:szCs w:val="20"/>
            <w:lang w:val="en-GB" w:eastAsia="fr-FR"/>
          </w:rPr>
          <w:sym w:font="Symbol" w:char="F073"/>
        </m:r>
        <m:r>
          <m:rPr>
            <m:sty m:val="p"/>
          </m:rPr>
          <w:rPr>
            <w:rFonts w:ascii="Cambria Math" w:eastAsia="Times New Roman" w:hAnsi="Cambria Math"/>
            <w:sz w:val="20"/>
            <w:szCs w:val="20"/>
            <w:lang w:val="en-GB" w:eastAsia="fr-FR"/>
          </w:rPr>
          <m:t xml:space="preserve">(L) = </m:t>
        </m:r>
        <m:rad>
          <m:radPr>
            <m:degHide m:val="1"/>
            <m:ctrlPr>
              <w:rPr>
                <w:rFonts w:ascii="Cambria Math" w:eastAsia="Times New Roman" w:hAnsi="Cambria Math"/>
                <w:sz w:val="20"/>
                <w:szCs w:val="20"/>
                <w:lang w:val="en-GB" w:eastAsia="fr-FR"/>
              </w:rPr>
            </m:ctrlPr>
          </m:radPr>
          <m:deg/>
          <m:e>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A</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up>
                    <m:r>
                      <m:rPr>
                        <m:sty m:val="p"/>
                      </m:rPr>
                      <w:rPr>
                        <w:rFonts w:ascii="Cambria Math" w:eastAsia="Times New Roman" w:hAnsi="Cambria Math"/>
                        <w:sz w:val="20"/>
                        <w:szCs w:val="20"/>
                        <w:lang w:val="en-GB" w:eastAsia="fr-FR"/>
                      </w:rPr>
                      <m:t>2</m:t>
                    </m:r>
                  </m:sup>
                </m:sSubSup>
              </m:e>
            </m:nary>
          </m:e>
        </m:rad>
      </m:oMath>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t>(3a)</w:t>
      </w:r>
    </w:p>
    <w:p w14:paraId="603191E6" w14:textId="77777777" w:rsidR="00392F94" w:rsidRPr="00047851" w:rsidRDefault="00392F94" w:rsidP="00392F94">
      <w:pPr>
        <w:spacing w:after="0"/>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After first derivation of the term (6) related to the probability of loss (provided above in the manuscript), we get the risk contributions with confidence level </w:t>
      </w:r>
      <m:oMath>
        <m:r>
          <w:rPr>
            <w:rFonts w:ascii="Cambria Math" w:eastAsia="Times New Roman" w:hAnsi="Cambria Math"/>
            <w:sz w:val="20"/>
            <w:szCs w:val="20"/>
            <w:lang w:val="en-GB" w:eastAsia="fr-FR"/>
          </w:rPr>
          <m:t>α</m:t>
        </m:r>
      </m:oMath>
      <w:r w:rsidRPr="00047851">
        <w:rPr>
          <w:rFonts w:ascii="Arial Narrow" w:eastAsia="Times New Roman" w:hAnsi="Arial Narrow"/>
          <w:sz w:val="20"/>
          <w:szCs w:val="20"/>
          <w:lang w:val="en-GB" w:eastAsia="fr-FR"/>
        </w:rPr>
        <w:t xml:space="preserve"> for each counterparty:</w:t>
      </w:r>
    </w:p>
    <w:p w14:paraId="68B71552" w14:textId="77777777" w:rsidR="00392F94" w:rsidRPr="00047851" w:rsidRDefault="00392F94" w:rsidP="00392F94">
      <w:pPr>
        <w:spacing w:after="0"/>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E</m:t>
        </m:r>
        <m:d>
          <m:dPr>
            <m:ctrlPr>
              <w:rPr>
                <w:rFonts w:ascii="Cambria Math" w:eastAsia="Times New Roman" w:hAnsi="Cambria Math"/>
                <w:sz w:val="20"/>
                <w:szCs w:val="20"/>
                <w:lang w:val="en-GB" w:eastAsia="fr-FR"/>
              </w:rPr>
            </m:ctrlPr>
          </m:dPr>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a</m:t>
                </m:r>
              </m:sub>
            </m:sSub>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 xml:space="preserve"> E</m:t>
                </m:r>
              </m:e>
              <m:sub>
                <m:r>
                  <w:rPr>
                    <w:rFonts w:ascii="Cambria Math" w:eastAsia="Times New Roman" w:hAnsi="Cambria Math"/>
                    <w:sz w:val="20"/>
                    <w:szCs w:val="20"/>
                    <w:lang w:val="en-GB" w:eastAsia="fr-FR"/>
                  </w:rPr>
                  <m:t>a</m:t>
                </m:r>
              </m:sub>
            </m:sSub>
          </m:e>
        </m:d>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ξ</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α</m:t>
        </m:r>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r>
              <w:rPr>
                <w:rFonts w:ascii="Cambria Math" w:eastAsia="Times New Roman" w:hAnsi="Cambria Math"/>
                <w:sz w:val="20"/>
                <w:szCs w:val="20"/>
                <w:lang w:val="en-GB" w:eastAsia="fr-FR"/>
              </w:rPr>
              <m:t>∂σ</m:t>
            </m:r>
          </m:num>
          <m:den>
            <m:r>
              <w:rPr>
                <w:rFonts w:ascii="Cambria Math" w:eastAsia="Times New Roman" w:hAnsi="Cambria Math"/>
                <w:sz w:val="20"/>
                <w:szCs w:val="20"/>
                <w:lang w:val="en-GB" w:eastAsia="fr-FR"/>
              </w:rPr>
              <m:t>∂</m:t>
            </m:r>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den>
        </m:f>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oMath>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t>(7)</w:t>
      </w:r>
    </w:p>
    <w:p w14:paraId="52B9E9CB" w14:textId="77777777" w:rsidR="00392F94" w:rsidRPr="00047851" w:rsidRDefault="00392F94" w:rsidP="00392F94">
      <w:pPr>
        <w:spacing w:after="0"/>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In other words:</w:t>
      </w:r>
    </w:p>
    <w:p w14:paraId="414AE604" w14:textId="77777777" w:rsidR="00392F94" w:rsidRPr="00047851" w:rsidRDefault="00D37809" w:rsidP="00392F94">
      <w:pPr>
        <w:spacing w:after="0"/>
        <w:jc w:val="center"/>
        <w:rPr>
          <w:rFonts w:ascii="Arial Narrow" w:eastAsia="Times New Roman" w:hAnsi="Arial Narrow"/>
          <w:sz w:val="20"/>
          <w:szCs w:val="20"/>
          <w:lang w:val="en-GB" w:eastAsia="fr-FR"/>
        </w:rPr>
      </w:pPr>
      <m:oMath>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ξ</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α</m:t>
        </m:r>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up>
                <m:r>
                  <m:rPr>
                    <m:sty m:val="p"/>
                  </m:rPr>
                  <w:rPr>
                    <w:rFonts w:ascii="Cambria Math" w:eastAsia="Times New Roman" w:hAnsi="Cambria Math"/>
                    <w:sz w:val="20"/>
                    <w:szCs w:val="20"/>
                    <w:lang w:val="en-GB" w:eastAsia="fr-FR"/>
                  </w:rPr>
                  <m:t>2</m:t>
                </m:r>
              </m:sup>
            </m:sSubSup>
          </m:num>
          <m:den>
            <m:rad>
              <m:radPr>
                <m:degHide m:val="1"/>
                <m:ctrlPr>
                  <w:rPr>
                    <w:rFonts w:ascii="Cambria Math" w:eastAsia="Times New Roman" w:hAnsi="Cambria Math"/>
                    <w:sz w:val="20"/>
                    <w:szCs w:val="20"/>
                    <w:lang w:val="en-GB" w:eastAsia="fr-FR"/>
                  </w:rPr>
                </m:ctrlPr>
              </m:radPr>
              <m:deg/>
              <m:e>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A</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up>
                        <m:r>
                          <m:rPr>
                            <m:sty m:val="p"/>
                          </m:rPr>
                          <w:rPr>
                            <w:rFonts w:ascii="Cambria Math" w:eastAsia="Times New Roman" w:hAnsi="Cambria Math"/>
                            <w:sz w:val="20"/>
                            <w:szCs w:val="20"/>
                            <w:lang w:val="en-GB" w:eastAsia="fr-FR"/>
                          </w:rPr>
                          <m:t>2</m:t>
                        </m:r>
                      </m:sup>
                    </m:sSubSup>
                  </m:e>
                </m:nary>
              </m:e>
            </m:rad>
          </m:den>
        </m:f>
      </m:oMath>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t>(8)</w:t>
      </w:r>
    </w:p>
    <w:p w14:paraId="7166F60D"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The own funds consumption of counterparty risk which is commonly known as the risk contribution of a sector, also called The Regulatory consumed Capital (RC), is the contribution at 99.9% confidence level. Therefore, the risk contribution of a sector (RC) is obtained by summing the risk contributions of counterparties belonging to the sector.</w:t>
      </w:r>
    </w:p>
    <w:p w14:paraId="15FA3F52"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Given </w:t>
      </w:r>
      <m:oMath>
        <m:r>
          <m:rPr>
            <m:sty m:val="p"/>
          </m:rPr>
          <w:rPr>
            <w:rFonts w:ascii="Cambria Math" w:eastAsia="Times New Roman" w:hAnsi="Cambria Math"/>
            <w:sz w:val="20"/>
            <w:szCs w:val="20"/>
            <w:lang w:val="en-GB" w:eastAsia="fr-FR"/>
          </w:rPr>
          <m:t xml:space="preserve"> </m:t>
        </m:r>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Sub>
      </m:oMath>
      <w:r w:rsidRPr="00047851">
        <w:rPr>
          <w:rFonts w:ascii="Arial Narrow" w:eastAsia="Times New Roman" w:hAnsi="Arial Narrow"/>
          <w:sz w:val="20"/>
          <w:szCs w:val="20"/>
          <w:lang w:val="en-GB" w:eastAsia="fr-FR"/>
        </w:rPr>
        <w:t xml:space="preserve"> the risk exposure of the sector k, the risk contribution of the sector k (with 99.9% confidence level) is measured as follows:</w:t>
      </w:r>
    </w:p>
    <w:p w14:paraId="3C5BE429" w14:textId="77777777" w:rsidR="00392F94" w:rsidRPr="00047851" w:rsidRDefault="00D37809" w:rsidP="00392F94">
      <w:pPr>
        <w:spacing w:after="0"/>
        <w:jc w:val="center"/>
        <w:rPr>
          <w:rFonts w:ascii="Arial Narrow" w:eastAsia="Times New Roman" w:hAnsi="Arial Narrow"/>
          <w:sz w:val="20"/>
          <w:szCs w:val="20"/>
          <w:lang w:val="en-GB" w:eastAsia="fr-FR"/>
        </w:rPr>
      </w:pPr>
      <m:oMath>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RC</m:t>
            </m:r>
          </m:e>
          <m:sub>
            <m:r>
              <w:rPr>
                <w:rFonts w:ascii="Cambria Math" w:eastAsia="Times New Roman" w:hAnsi="Cambria Math"/>
                <w:sz w:val="20"/>
                <w:szCs w:val="20"/>
                <w:lang w:val="en-GB" w:eastAsia="fr-FR"/>
              </w:rPr>
              <m:t>k</m:t>
            </m:r>
          </m:sub>
        </m:sSub>
        <m:r>
          <m:rPr>
            <m:sty m:val="p"/>
          </m:rPr>
          <w:rPr>
            <w:rFonts w:ascii="Cambria Math" w:eastAsia="Times New Roman" w:hAnsi="Cambria Math"/>
            <w:sz w:val="20"/>
            <w:szCs w:val="20"/>
            <w:lang w:val="en-GB" w:eastAsia="fr-FR"/>
          </w:rPr>
          <m:t>=</m:t>
        </m:r>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ξ</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α</m:t>
        </m:r>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up>
                <m:r>
                  <m:rPr>
                    <m:sty m:val="p"/>
                  </m:rPr>
                  <w:rPr>
                    <w:rFonts w:ascii="Cambria Math" w:eastAsia="Times New Roman" w:hAnsi="Cambria Math"/>
                    <w:sz w:val="20"/>
                    <w:szCs w:val="20"/>
                    <w:lang w:val="en-GB" w:eastAsia="fr-FR"/>
                  </w:rPr>
                  <m:t>2</m:t>
                </m:r>
              </m:sup>
            </m:sSubSup>
          </m:num>
          <m:den>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den>
        </m:f>
      </m:oMath>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t>(9)</w:t>
      </w:r>
    </w:p>
    <w:p w14:paraId="2C4CDBA7"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With:</w:t>
      </w:r>
    </w:p>
    <w:p w14:paraId="1B935895" w14:textId="77777777" w:rsidR="00392F94" w:rsidRPr="00047851" w:rsidRDefault="00D37809" w:rsidP="00392F94">
      <w:pPr>
        <w:jc w:val="center"/>
        <w:rPr>
          <w:rFonts w:ascii="Arial Narrow" w:eastAsia="Times New Roman" w:hAnsi="Arial Narrow"/>
          <w:sz w:val="20"/>
          <w:szCs w:val="20"/>
          <w:lang w:val="en-GB" w:eastAsia="fr-FR"/>
        </w:rPr>
      </w:pPr>
      <m:oMath>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k</m:t>
            </m:r>
          </m:sub>
        </m:sSub>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k</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k</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e>
                </m:nary>
              </m:e>
            </m:nary>
          </m:num>
          <m:den>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k</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Sub>
              </m:e>
            </m:nary>
          </m:den>
        </m:f>
      </m:oMath>
      <w:r w:rsidR="00392F94" w:rsidRPr="00047851">
        <w:rPr>
          <w:rFonts w:ascii="Arial Narrow" w:eastAsia="Times New Roman" w:hAnsi="Arial Narrow"/>
          <w:sz w:val="20"/>
          <w:szCs w:val="20"/>
          <w:lang w:val="en-GB" w:eastAsia="fr-FR"/>
        </w:rPr>
        <w:t xml:space="preserve">  is mean probability default of a sector k.</w:t>
      </w:r>
    </w:p>
    <w:p w14:paraId="7EBA0778" w14:textId="77777777" w:rsidR="00392F94" w:rsidRPr="00047851" w:rsidRDefault="00D37809" w:rsidP="00392F94">
      <w:pPr>
        <w:jc w:val="center"/>
        <w:rPr>
          <w:rFonts w:ascii="Arial Narrow" w:eastAsia="Times New Roman" w:hAnsi="Arial Narrow"/>
          <w:sz w:val="20"/>
          <w:szCs w:val="20"/>
          <w:lang w:val="en-GB" w:eastAsia="fr-FR"/>
        </w:rPr>
      </w:pPr>
      <m:oMath>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k</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k</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a</m:t>
                        </m:r>
                      </m:sub>
                    </m:sSub>
                  </m:e>
                </m:nary>
              </m:e>
            </m:nary>
          </m:num>
          <m:den>
            <m:nary>
              <m:naryPr>
                <m:chr m:val="∑"/>
                <m:limLoc m:val="undOvr"/>
                <m:supHide m:val="1"/>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a</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k</m:t>
                </m:r>
              </m:sub>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a</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up>
                    <m:r>
                      <m:rPr>
                        <m:sty m:val="p"/>
                      </m:rPr>
                      <w:rPr>
                        <w:rFonts w:ascii="Cambria Math" w:eastAsia="Times New Roman" w:hAnsi="Cambria Math"/>
                        <w:sz w:val="20"/>
                        <w:szCs w:val="20"/>
                        <w:lang w:val="en-GB" w:eastAsia="fr-FR"/>
                      </w:rPr>
                      <m:t>2</m:t>
                    </m:r>
                  </m:sup>
                </m:sSubSup>
              </m:e>
            </m:nary>
          </m:den>
        </m:f>
      </m:oMath>
      <w:r w:rsidR="00392F94" w:rsidRPr="00047851">
        <w:rPr>
          <w:rFonts w:ascii="Arial Narrow" w:eastAsia="Times New Roman" w:hAnsi="Arial Narrow"/>
          <w:sz w:val="20"/>
          <w:szCs w:val="20"/>
          <w:lang w:val="en-GB" w:eastAsia="fr-FR"/>
        </w:rPr>
        <w:t xml:space="preserve">   is the concentration index of the sector k.</w:t>
      </w:r>
    </w:p>
    <w:p w14:paraId="41BD8167" w14:textId="77777777" w:rsidR="00392F94" w:rsidRPr="00047851" w:rsidRDefault="00392F94" w:rsidP="00392F94">
      <w:pPr>
        <w:spacing w:line="360" w:lineRule="auto"/>
        <w:jc w:val="both"/>
        <w:rPr>
          <w:rFonts w:ascii="Arial Narrow" w:hAnsi="Arial Narrow" w:cs="Times New Roman"/>
          <w:b/>
          <w:sz w:val="20"/>
          <w:szCs w:val="20"/>
          <w:u w:val="single"/>
        </w:rPr>
      </w:pPr>
      <w:r w:rsidRPr="00047851">
        <w:rPr>
          <w:rFonts w:ascii="Arial Narrow" w:hAnsi="Arial Narrow" w:cs="Times New Roman"/>
          <w:b/>
          <w:sz w:val="20"/>
          <w:szCs w:val="20"/>
          <w:u w:val="single"/>
        </w:rPr>
        <w:t>Resolution of optimization problem:</w:t>
      </w:r>
    </w:p>
    <w:p w14:paraId="1E1A1B2C"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lastRenderedPageBreak/>
        <w:t>To determine sectoral limits, we must solve the following problem: we seek the portfolio that minimizes the economic capital consumed by the portfolio. For this reason, we need to minimize the expected loss which is equivalent to minimize the dispersion of the aggregate loss of the overall portfolio of the bank.</w:t>
      </w:r>
    </w:p>
    <w:p w14:paraId="6A9116C9"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The system to be solved is as follows:</w:t>
      </w:r>
    </w:p>
    <w:p w14:paraId="5B2418E0" w14:textId="77777777" w:rsidR="00392F94" w:rsidRPr="00047851" w:rsidRDefault="00D37809" w:rsidP="00392F94">
      <w:pPr>
        <w:jc w:val="center"/>
        <w:rPr>
          <w:rFonts w:ascii="Arial Narrow" w:eastAsia="Times New Roman" w:hAnsi="Arial Narrow"/>
          <w:sz w:val="20"/>
          <w:szCs w:val="20"/>
          <w:lang w:val="en-GB" w:eastAsia="fr-FR"/>
        </w:rPr>
      </w:pPr>
      <m:oMath>
        <m:d>
          <m:dPr>
            <m:begChr m:val="{"/>
            <m:endChr m:val=""/>
            <m:ctrlPr>
              <w:rPr>
                <w:rFonts w:ascii="Cambria Math" w:eastAsia="Times New Roman" w:hAnsi="Cambria Math"/>
                <w:sz w:val="20"/>
                <w:szCs w:val="20"/>
                <w:lang w:val="en-GB" w:eastAsia="fr-FR"/>
              </w:rPr>
            </m:ctrlPr>
          </m:dPr>
          <m:e>
            <m:eqArr>
              <m:eqArrPr>
                <m:ctrlPr>
                  <w:rPr>
                    <w:rFonts w:ascii="Cambria Math" w:eastAsia="Times New Roman" w:hAnsi="Cambria Math"/>
                    <w:sz w:val="20"/>
                    <w:szCs w:val="20"/>
                    <w:lang w:val="en-GB" w:eastAsia="fr-FR"/>
                  </w:rPr>
                </m:ctrlPr>
              </m:eqArrPr>
              <m:e>
                <m:func>
                  <m:funcPr>
                    <m:ctrlPr>
                      <w:rPr>
                        <w:rFonts w:ascii="Cambria Math" w:eastAsia="Times New Roman" w:hAnsi="Cambria Math"/>
                        <w:sz w:val="20"/>
                        <w:szCs w:val="20"/>
                        <w:lang w:val="en-GB" w:eastAsia="fr-FR"/>
                      </w:rPr>
                    </m:ctrlPr>
                  </m:funcPr>
                  <m:fName>
                    <m:r>
                      <m:rPr>
                        <m:sty m:val="p"/>
                      </m:rPr>
                      <w:rPr>
                        <w:rFonts w:ascii="Cambria Math" w:eastAsia="Times New Roman" w:hAnsi="Cambria Math"/>
                        <w:sz w:val="20"/>
                        <w:szCs w:val="20"/>
                        <w:lang w:val="en-GB" w:eastAsia="fr-FR"/>
                      </w:rPr>
                      <m:t>min</m:t>
                    </m:r>
                  </m:fName>
                  <m:e>
                    <m:sSup>
                      <m:sSupPr>
                        <m:ctrlPr>
                          <w:rPr>
                            <w:rFonts w:ascii="Cambria Math" w:eastAsia="Times New Roman" w:hAnsi="Cambria Math"/>
                            <w:sz w:val="20"/>
                            <w:szCs w:val="20"/>
                            <w:lang w:val="en-GB" w:eastAsia="fr-FR"/>
                          </w:rPr>
                        </m:ctrlPr>
                      </m:sSupPr>
                      <m:e>
                        <m:r>
                          <w:rPr>
                            <w:rFonts w:ascii="Cambria Math" w:eastAsia="Times New Roman" w:hAnsi="Cambria Math"/>
                            <w:sz w:val="20"/>
                            <w:szCs w:val="20"/>
                            <w:lang w:val="en-GB" w:eastAsia="fr-FR"/>
                          </w:rPr>
                          <m:t>σ</m:t>
                        </m:r>
                      </m:e>
                      <m:sup>
                        <m:r>
                          <m:rPr>
                            <m:sty m:val="p"/>
                          </m:rPr>
                          <w:rPr>
                            <w:rFonts w:ascii="Cambria Math" w:eastAsia="Times New Roman" w:hAnsi="Cambria Math"/>
                            <w:sz w:val="20"/>
                            <w:szCs w:val="20"/>
                            <w:lang w:val="en-GB" w:eastAsia="fr-FR"/>
                          </w:rPr>
                          <m:t>2</m:t>
                        </m:r>
                      </m:sup>
                    </m:sSup>
                    <m:r>
                      <m:rPr>
                        <m:sty m:val="p"/>
                      </m:rPr>
                      <w:rPr>
                        <w:rFonts w:ascii="Cambria Math" w:eastAsia="Times New Roman" w:hAnsi="Cambria Math"/>
                        <w:sz w:val="20"/>
                        <w:szCs w:val="20"/>
                        <w:lang w:val="en-GB" w:eastAsia="fr-FR"/>
                      </w:rPr>
                      <m:t>=</m:t>
                    </m:r>
                    <m:nary>
                      <m:naryPr>
                        <m:chr m:val="∑"/>
                        <m:limLoc m:val="undOvr"/>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k</m:t>
                        </m:r>
                        <m:r>
                          <m:rPr>
                            <m:sty m:val="p"/>
                          </m:rPr>
                          <w:rPr>
                            <w:rFonts w:ascii="Cambria Math" w:eastAsia="Times New Roman" w:hAnsi="Cambria Math"/>
                            <w:sz w:val="20"/>
                            <w:szCs w:val="20"/>
                            <w:lang w:val="en-GB" w:eastAsia="fr-FR"/>
                          </w:rPr>
                          <m:t>=1</m:t>
                        </m:r>
                      </m:sub>
                      <m:sup>
                        <m:r>
                          <w:rPr>
                            <w:rFonts w:ascii="Cambria Math" w:eastAsia="Times New Roman" w:hAnsi="Cambria Math"/>
                            <w:sz w:val="20"/>
                            <w:szCs w:val="20"/>
                            <w:lang w:val="en-GB" w:eastAsia="fr-FR"/>
                          </w:rPr>
                          <m:t>K</m:t>
                        </m:r>
                      </m:sup>
                      <m:e>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k</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up>
                                <m:r>
                                  <m:rPr>
                                    <m:sty m:val="p"/>
                                  </m:rPr>
                                  <w:rPr>
                                    <w:rFonts w:ascii="Cambria Math" w:eastAsia="Times New Roman" w:hAnsi="Cambria Math"/>
                                    <w:sz w:val="20"/>
                                    <w:szCs w:val="20"/>
                                    <w:lang w:val="en-GB" w:eastAsia="fr-FR"/>
                                  </w:rPr>
                                  <m:t>2</m:t>
                                </m:r>
                              </m:sup>
                            </m:sSubSup>
                          </m:num>
                          <m:den>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den>
                        </m:f>
                      </m:e>
                    </m:nary>
                  </m:e>
                </m:func>
              </m:e>
              <m:e>
                <m:r>
                  <w:rPr>
                    <w:rFonts w:ascii="Cambria Math" w:eastAsia="Times New Roman" w:hAnsi="Cambria Math"/>
                    <w:sz w:val="20"/>
                    <w:szCs w:val="20"/>
                    <w:lang w:val="en-GB" w:eastAsia="fr-FR"/>
                  </w:rPr>
                  <m:t>s</m:t>
                </m:r>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c</m:t>
                </m:r>
                <m:r>
                  <m:rPr>
                    <m:sty m:val="p"/>
                  </m:rPr>
                  <w:rPr>
                    <w:rFonts w:ascii="Cambria Math" w:eastAsia="Times New Roman" w:hAnsi="Cambria Math"/>
                    <w:sz w:val="20"/>
                    <w:szCs w:val="20"/>
                    <w:lang w:val="en-GB" w:eastAsia="fr-FR"/>
                  </w:rPr>
                  <m:t xml:space="preserve"> </m:t>
                </m:r>
                <m:nary>
                  <m:naryPr>
                    <m:chr m:val="∑"/>
                    <m:limLoc m:val="subSup"/>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k</m:t>
                    </m:r>
                    <m:r>
                      <m:rPr>
                        <m:sty m:val="p"/>
                      </m:rPr>
                      <w:rPr>
                        <w:rFonts w:ascii="Cambria Math" w:eastAsia="Times New Roman" w:hAnsi="Cambria Math"/>
                        <w:sz w:val="20"/>
                        <w:szCs w:val="20"/>
                        <w:lang w:val="en-GB" w:eastAsia="fr-FR"/>
                      </w:rPr>
                      <m:t>=1</m:t>
                    </m:r>
                  </m:sub>
                  <m:sup>
                    <m:r>
                      <w:rPr>
                        <w:rFonts w:ascii="Cambria Math" w:eastAsia="Times New Roman" w:hAnsi="Cambria Math"/>
                        <w:sz w:val="20"/>
                        <w:szCs w:val="20"/>
                        <w:lang w:val="en-GB" w:eastAsia="fr-FR"/>
                      </w:rPr>
                      <m:t>K</m:t>
                    </m:r>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Sub>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E</m:t>
                    </m:r>
                  </m:e>
                </m:nary>
              </m:e>
            </m:eqArr>
          </m:e>
        </m:d>
      </m:oMath>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t>(10)</w:t>
      </w:r>
    </w:p>
    <w:p w14:paraId="12DB2CE2"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That is, we must minimize the loss while setting the overall portfolio exposure to a certain level.</w:t>
      </w:r>
    </w:p>
    <w:p w14:paraId="7D5595F7"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The </w:t>
      </w:r>
      <w:proofErr w:type="spellStart"/>
      <w:r w:rsidRPr="00047851">
        <w:rPr>
          <w:rFonts w:ascii="Arial Narrow" w:eastAsia="Times New Roman" w:hAnsi="Arial Narrow"/>
          <w:sz w:val="20"/>
          <w:szCs w:val="20"/>
          <w:lang w:val="en-GB" w:eastAsia="fr-FR"/>
        </w:rPr>
        <w:t>Lagrangian</w:t>
      </w:r>
      <w:proofErr w:type="spellEnd"/>
      <w:r w:rsidRPr="00047851">
        <w:rPr>
          <w:rFonts w:ascii="Arial Narrow" w:eastAsia="Times New Roman" w:hAnsi="Arial Narrow"/>
          <w:sz w:val="20"/>
          <w:szCs w:val="20"/>
          <w:lang w:val="en-GB" w:eastAsia="fr-FR"/>
        </w:rPr>
        <w:t xml:space="preserve"> (of degree one) of the system is:  </w:t>
      </w:r>
    </w:p>
    <w:p w14:paraId="576729F4" w14:textId="77777777" w:rsidR="00392F94" w:rsidRPr="00047851" w:rsidRDefault="00392F94" w:rsidP="00392F94">
      <w:pPr>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L</m:t>
        </m:r>
        <m:d>
          <m:dPr>
            <m:ctrlPr>
              <w:rPr>
                <w:rFonts w:ascii="Cambria Math" w:eastAsia="Times New Roman" w:hAnsi="Cambria Math"/>
                <w:sz w:val="20"/>
                <w:szCs w:val="20"/>
                <w:lang w:val="en-GB" w:eastAsia="fr-FR"/>
              </w:rPr>
            </m:ctrlPr>
          </m:dPr>
          <m:e>
            <m:r>
              <w:rPr>
                <w:rFonts w:ascii="Cambria Math" w:eastAsia="Times New Roman" w:hAnsi="Cambria Math"/>
                <w:sz w:val="20"/>
                <w:szCs w:val="20"/>
                <w:lang w:val="en-GB" w:eastAsia="fr-FR"/>
              </w:rPr>
              <m:t>λ</m:t>
            </m:r>
            <m:r>
              <m:rPr>
                <m:sty m:val="p"/>
              </m:rPr>
              <w:rPr>
                <w:rFonts w:ascii="Cambria Math" w:eastAsia="Times New Roman" w:hAnsi="Cambria Math"/>
                <w:sz w:val="20"/>
                <w:szCs w:val="20"/>
                <w:lang w:val="en-GB" w:eastAsia="fr-FR"/>
              </w:rPr>
              <m:t>,</m:t>
            </m:r>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Sub>
          </m:e>
        </m:d>
        <m:r>
          <m:rPr>
            <m:sty m:val="p"/>
          </m:rPr>
          <w:rPr>
            <w:rFonts w:ascii="Cambria Math" w:eastAsia="Times New Roman" w:hAnsi="Cambria Math"/>
            <w:sz w:val="20"/>
            <w:szCs w:val="20"/>
            <w:lang w:val="en-GB" w:eastAsia="fr-FR"/>
          </w:rPr>
          <m:t>=</m:t>
        </m:r>
        <m:nary>
          <m:naryPr>
            <m:chr m:val="∑"/>
            <m:limLoc m:val="undOvr"/>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k</m:t>
            </m:r>
            <m:r>
              <m:rPr>
                <m:sty m:val="p"/>
              </m:rPr>
              <w:rPr>
                <w:rFonts w:ascii="Cambria Math" w:eastAsia="Times New Roman" w:hAnsi="Cambria Math"/>
                <w:sz w:val="20"/>
                <w:szCs w:val="20"/>
                <w:lang w:val="en-GB" w:eastAsia="fr-FR"/>
              </w:rPr>
              <m:t>=1</m:t>
            </m:r>
          </m:sub>
          <m:sup>
            <m:r>
              <w:rPr>
                <w:rFonts w:ascii="Cambria Math" w:eastAsia="Times New Roman" w:hAnsi="Cambria Math"/>
                <w:sz w:val="20"/>
                <w:szCs w:val="20"/>
                <w:lang w:val="en-GB" w:eastAsia="fr-FR"/>
              </w:rPr>
              <m:t>K</m:t>
            </m:r>
          </m:sup>
          <m:e>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k</m:t>
                    </m:r>
                  </m:sub>
                </m:sSub>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up>
                    <m:r>
                      <m:rPr>
                        <m:sty m:val="p"/>
                      </m:rPr>
                      <w:rPr>
                        <w:rFonts w:ascii="Cambria Math" w:eastAsia="Times New Roman" w:hAnsi="Cambria Math"/>
                        <w:sz w:val="20"/>
                        <w:szCs w:val="20"/>
                        <w:lang w:val="en-GB" w:eastAsia="fr-FR"/>
                      </w:rPr>
                      <m:t>2</m:t>
                    </m:r>
                  </m:sup>
                </m:sSubSup>
              </m:num>
              <m:den>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den>
            </m:f>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λ</m:t>
            </m:r>
            <m:r>
              <m:rPr>
                <m:sty m:val="p"/>
              </m:rPr>
              <w:rPr>
                <w:rFonts w:ascii="Cambria Math" w:eastAsia="Times New Roman" w:hAnsi="Cambria Math"/>
                <w:sz w:val="20"/>
                <w:szCs w:val="20"/>
                <w:lang w:val="en-GB" w:eastAsia="fr-FR"/>
              </w:rPr>
              <m:t>(</m:t>
            </m:r>
            <m:nary>
              <m:naryPr>
                <m:chr m:val="∑"/>
                <m:limLoc m:val="undOvr"/>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k</m:t>
                </m:r>
                <m:r>
                  <m:rPr>
                    <m:sty m:val="p"/>
                  </m:rPr>
                  <w:rPr>
                    <w:rFonts w:ascii="Cambria Math" w:eastAsia="Times New Roman" w:hAnsi="Cambria Math"/>
                    <w:sz w:val="20"/>
                    <w:szCs w:val="20"/>
                    <w:lang w:val="en-GB" w:eastAsia="fr-FR"/>
                  </w:rPr>
                  <m:t>=1</m:t>
                </m:r>
              </m:sub>
              <m:sup>
                <m:r>
                  <w:rPr>
                    <w:rFonts w:ascii="Cambria Math" w:eastAsia="Times New Roman" w:hAnsi="Cambria Math"/>
                    <w:sz w:val="20"/>
                    <w:szCs w:val="20"/>
                    <w:lang w:val="en-GB" w:eastAsia="fr-FR"/>
                  </w:rPr>
                  <m:t>K</m:t>
                </m:r>
              </m:sup>
              <m:e>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Sub>
              </m:e>
            </m:nary>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E</m:t>
            </m:r>
            <m:r>
              <m:rPr>
                <m:sty m:val="p"/>
              </m:rPr>
              <w:rPr>
                <w:rFonts w:ascii="Cambria Math" w:eastAsia="Times New Roman" w:hAnsi="Cambria Math"/>
                <w:sz w:val="20"/>
                <w:szCs w:val="20"/>
                <w:lang w:val="en-GB" w:eastAsia="fr-FR"/>
              </w:rPr>
              <m:t>)</m:t>
            </m:r>
          </m:e>
        </m:nary>
      </m:oMath>
      <w:r w:rsidRPr="00047851">
        <w:rPr>
          <w:rFonts w:ascii="Arial Narrow" w:eastAsia="Times New Roman" w:hAnsi="Arial Narrow"/>
          <w:sz w:val="20"/>
          <w:szCs w:val="20"/>
          <w:lang w:val="en-GB" w:eastAsia="fr-FR"/>
        </w:rPr>
        <w:tab/>
        <w:t>(11)</w:t>
      </w:r>
    </w:p>
    <w:p w14:paraId="2BC14DFC"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The resolution of this program undertaken to the following solution named </w:t>
      </w:r>
      <m:oMath>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up>
            <m:r>
              <w:rPr>
                <w:rFonts w:ascii="Cambria Math" w:eastAsia="Times New Roman" w:hAnsi="Cambria Math"/>
                <w:sz w:val="20"/>
                <w:szCs w:val="20"/>
                <w:lang w:val="en-GB" w:eastAsia="fr-FR"/>
              </w:rPr>
              <m:t>l</m:t>
            </m:r>
          </m:sup>
        </m:sSubSup>
      </m:oMath>
      <w:r w:rsidRPr="00047851">
        <w:rPr>
          <w:rFonts w:ascii="Arial Narrow" w:eastAsia="Times New Roman" w:hAnsi="Arial Narrow"/>
          <w:sz w:val="20"/>
          <w:szCs w:val="20"/>
          <w:lang w:val="en-GB" w:eastAsia="fr-FR"/>
        </w:rPr>
        <w:t>:</w:t>
      </w:r>
    </w:p>
    <w:p w14:paraId="31D975F1" w14:textId="77777777" w:rsidR="00392F94" w:rsidRPr="00047851" w:rsidRDefault="00D37809" w:rsidP="00392F94">
      <w:pPr>
        <w:spacing w:after="0"/>
        <w:jc w:val="center"/>
        <w:rPr>
          <w:rFonts w:ascii="Arial Narrow" w:eastAsia="Times New Roman" w:hAnsi="Arial Narrow"/>
          <w:sz w:val="20"/>
          <w:szCs w:val="20"/>
          <w:lang w:val="en-GB" w:eastAsia="fr-FR"/>
        </w:rPr>
      </w:pPr>
      <m:oMath>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up>
            <m:r>
              <w:rPr>
                <w:rFonts w:ascii="Cambria Math" w:eastAsia="Times New Roman" w:hAnsi="Cambria Math"/>
                <w:sz w:val="20"/>
                <w:szCs w:val="20"/>
                <w:lang w:val="en-GB" w:eastAsia="fr-FR"/>
              </w:rPr>
              <m:t>l</m:t>
            </m:r>
          </m:sup>
        </m:sSubSup>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r>
              <m:rPr>
                <m:sty m:val="p"/>
              </m:rPr>
              <w:rPr>
                <w:rFonts w:ascii="Cambria Math" w:eastAsia="Times New Roman" w:hAnsi="Cambria Math"/>
                <w:sz w:val="20"/>
                <w:szCs w:val="20"/>
                <w:lang w:val="en-GB" w:eastAsia="fr-FR"/>
              </w:rPr>
              <m:t>*</m:t>
            </m:r>
            <m:r>
              <w:rPr>
                <w:rFonts w:ascii="Cambria Math" w:eastAsia="Times New Roman" w:hAnsi="Cambria Math"/>
                <w:sz w:val="20"/>
                <w:szCs w:val="20"/>
                <w:lang w:val="en-GB" w:eastAsia="fr-FR"/>
              </w:rPr>
              <m:t>λ</m:t>
            </m:r>
          </m:num>
          <m:den>
            <m:r>
              <m:rPr>
                <m:sty m:val="p"/>
              </m:rPr>
              <w:rPr>
                <w:rFonts w:ascii="Cambria Math" w:eastAsia="Times New Roman" w:hAnsi="Cambria Math"/>
                <w:sz w:val="20"/>
                <w:szCs w:val="20"/>
                <w:lang w:val="en-GB" w:eastAsia="fr-FR"/>
              </w:rPr>
              <m:t>2</m:t>
            </m:r>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k</m:t>
                </m:r>
              </m:sub>
            </m:sSub>
          </m:den>
        </m:f>
      </m:oMath>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t>(12)</w:t>
      </w:r>
    </w:p>
    <w:p w14:paraId="7E8E7DA2"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Such that:</w:t>
      </w:r>
    </w:p>
    <w:p w14:paraId="3B769CF3" w14:textId="77777777" w:rsidR="00392F94" w:rsidRPr="00047851" w:rsidRDefault="00392F94" w:rsidP="00392F94">
      <w:pPr>
        <w:spacing w:after="0"/>
        <w:jc w:val="center"/>
        <w:rPr>
          <w:rFonts w:ascii="Arial Narrow" w:eastAsia="Times New Roman" w:hAnsi="Arial Narrow"/>
          <w:sz w:val="20"/>
          <w:szCs w:val="20"/>
          <w:lang w:val="en-GB" w:eastAsia="fr-FR"/>
        </w:rPr>
      </w:pPr>
      <m:oMath>
        <m:r>
          <w:rPr>
            <w:rFonts w:ascii="Cambria Math" w:eastAsia="Times New Roman" w:hAnsi="Cambria Math"/>
            <w:sz w:val="20"/>
            <w:szCs w:val="20"/>
            <w:lang w:val="en-GB" w:eastAsia="fr-FR"/>
          </w:rPr>
          <m:t>λ</m:t>
        </m:r>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r>
              <m:rPr>
                <m:sty m:val="p"/>
              </m:rPr>
              <w:rPr>
                <w:rFonts w:ascii="Cambria Math" w:eastAsia="Times New Roman" w:hAnsi="Cambria Math"/>
                <w:sz w:val="20"/>
                <w:szCs w:val="20"/>
                <w:lang w:val="en-GB" w:eastAsia="fr-FR"/>
              </w:rPr>
              <m:t>2</m:t>
            </m:r>
            <m:r>
              <w:rPr>
                <w:rFonts w:ascii="Cambria Math" w:eastAsia="Times New Roman" w:hAnsi="Cambria Math"/>
                <w:sz w:val="20"/>
                <w:szCs w:val="20"/>
                <w:lang w:val="en-GB" w:eastAsia="fr-FR"/>
              </w:rPr>
              <m:t>E</m:t>
            </m:r>
          </m:num>
          <m:den>
            <m:nary>
              <m:naryPr>
                <m:chr m:val="∑"/>
                <m:limLoc m:val="subSup"/>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k</m:t>
                </m:r>
                <m:r>
                  <m:rPr>
                    <m:sty m:val="p"/>
                  </m:rPr>
                  <w:rPr>
                    <w:rFonts w:ascii="Cambria Math" w:eastAsia="Times New Roman" w:hAnsi="Cambria Math"/>
                    <w:sz w:val="20"/>
                    <w:szCs w:val="20"/>
                    <w:lang w:val="en-GB" w:eastAsia="fr-FR"/>
                  </w:rPr>
                  <m:t>=1</m:t>
                </m:r>
              </m:sub>
              <m:sup>
                <m:r>
                  <w:rPr>
                    <w:rFonts w:ascii="Cambria Math" w:eastAsia="Times New Roman" w:hAnsi="Cambria Math"/>
                    <w:sz w:val="20"/>
                    <w:szCs w:val="20"/>
                    <w:lang w:val="en-GB" w:eastAsia="fr-FR"/>
                  </w:rPr>
                  <m:t>K</m:t>
                </m:r>
              </m:sup>
              <m:e>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num>
                  <m:den>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k</m:t>
                        </m:r>
                      </m:sub>
                    </m:sSub>
                  </m:den>
                </m:f>
              </m:e>
            </m:nary>
          </m:den>
        </m:f>
      </m:oMath>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r>
      <w:r w:rsidRPr="00047851">
        <w:rPr>
          <w:rFonts w:ascii="Arial Narrow" w:eastAsia="Times New Roman" w:hAnsi="Arial Narrow"/>
          <w:sz w:val="20"/>
          <w:szCs w:val="20"/>
          <w:lang w:val="en-GB" w:eastAsia="fr-FR"/>
        </w:rPr>
        <w:tab/>
        <w:t>(13)</w:t>
      </w:r>
    </w:p>
    <w:p w14:paraId="506FDBBC" w14:textId="77777777" w:rsidR="00392F94" w:rsidRPr="00047851" w:rsidRDefault="00392F94" w:rsidP="00392F94">
      <w:pPr>
        <w:spacing w:after="0"/>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And:</w:t>
      </w:r>
    </w:p>
    <w:p w14:paraId="6E4DA3BF" w14:textId="77777777" w:rsidR="00392F94" w:rsidRPr="00047851" w:rsidRDefault="00D37809" w:rsidP="00392F94">
      <w:pPr>
        <w:jc w:val="center"/>
        <w:rPr>
          <w:rFonts w:ascii="Arial Narrow" w:eastAsia="Times New Roman" w:hAnsi="Arial Narrow"/>
          <w:sz w:val="20"/>
          <w:szCs w:val="20"/>
          <w:lang w:val="en-GB" w:eastAsia="fr-FR"/>
        </w:rPr>
      </w:pPr>
      <m:oMath>
        <m:f>
          <m:fPr>
            <m:ctrlPr>
              <w:rPr>
                <w:rFonts w:ascii="Cambria Math" w:eastAsia="Times New Roman" w:hAnsi="Cambria Math"/>
                <w:sz w:val="20"/>
                <w:szCs w:val="20"/>
                <w:lang w:val="en-GB" w:eastAsia="fr-FR"/>
              </w:rPr>
            </m:ctrlPr>
          </m:fPr>
          <m:num>
            <m:sSubSup>
              <m:sSubSupPr>
                <m:ctrlPr>
                  <w:rPr>
                    <w:rFonts w:ascii="Cambria Math" w:eastAsia="Times New Roman" w:hAnsi="Cambria Math"/>
                    <w:sz w:val="20"/>
                    <w:szCs w:val="20"/>
                    <w:lang w:val="en-GB" w:eastAsia="fr-FR"/>
                  </w:rPr>
                </m:ctrlPr>
              </m:sSubSupPr>
              <m:e>
                <m:r>
                  <w:rPr>
                    <w:rFonts w:ascii="Cambria Math" w:eastAsia="Times New Roman" w:hAnsi="Cambria Math"/>
                    <w:sz w:val="20"/>
                    <w:szCs w:val="20"/>
                    <w:lang w:val="en-GB" w:eastAsia="fr-FR"/>
                  </w:rPr>
                  <m:t>E</m:t>
                </m:r>
              </m:e>
              <m:sub>
                <m:r>
                  <w:rPr>
                    <w:rFonts w:ascii="Cambria Math" w:eastAsia="Times New Roman" w:hAnsi="Cambria Math"/>
                    <w:sz w:val="20"/>
                    <w:szCs w:val="20"/>
                    <w:lang w:val="en-GB" w:eastAsia="fr-FR"/>
                  </w:rPr>
                  <m:t>k</m:t>
                </m:r>
              </m:sub>
              <m:sup>
                <m:r>
                  <w:rPr>
                    <w:rFonts w:ascii="Cambria Math" w:eastAsia="Times New Roman" w:hAnsi="Cambria Math"/>
                    <w:sz w:val="20"/>
                    <w:szCs w:val="20"/>
                    <w:lang w:val="en-GB" w:eastAsia="fr-FR"/>
                  </w:rPr>
                  <m:t>l</m:t>
                </m:r>
              </m:sup>
            </m:sSubSup>
          </m:num>
          <m:den>
            <m:r>
              <w:rPr>
                <w:rFonts w:ascii="Cambria Math" w:eastAsia="Times New Roman" w:hAnsi="Cambria Math"/>
                <w:sz w:val="20"/>
                <w:szCs w:val="20"/>
                <w:lang w:val="en-GB" w:eastAsia="fr-FR"/>
              </w:rPr>
              <m:t>E</m:t>
            </m:r>
          </m:den>
        </m:f>
        <m:r>
          <m:rPr>
            <m:sty m:val="p"/>
          </m:rPr>
          <w:rPr>
            <w:rFonts w:ascii="Cambria Math" w:eastAsia="Times New Roman" w:hAnsi="Cambria Math"/>
            <w:sz w:val="20"/>
            <w:szCs w:val="20"/>
            <w:lang w:val="en-GB" w:eastAsia="fr-FR"/>
          </w:rPr>
          <m:t>=</m:t>
        </m:r>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num>
          <m:den>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k</m:t>
                </m:r>
              </m:sub>
            </m:sSub>
            <m:nary>
              <m:naryPr>
                <m:chr m:val="∑"/>
                <m:limLoc m:val="undOvr"/>
                <m:ctrlPr>
                  <w:rPr>
                    <w:rFonts w:ascii="Cambria Math" w:eastAsia="Times New Roman" w:hAnsi="Cambria Math"/>
                    <w:sz w:val="20"/>
                    <w:szCs w:val="20"/>
                    <w:lang w:val="en-GB" w:eastAsia="fr-FR"/>
                  </w:rPr>
                </m:ctrlPr>
              </m:naryPr>
              <m:sub>
                <m:r>
                  <w:rPr>
                    <w:rFonts w:ascii="Cambria Math" w:eastAsia="Times New Roman" w:hAnsi="Cambria Math"/>
                    <w:sz w:val="20"/>
                    <w:szCs w:val="20"/>
                    <w:lang w:val="en-GB" w:eastAsia="fr-FR"/>
                  </w:rPr>
                  <m:t>k</m:t>
                </m:r>
                <m:r>
                  <m:rPr>
                    <m:sty m:val="p"/>
                  </m:rPr>
                  <w:rPr>
                    <w:rFonts w:ascii="Cambria Math" w:eastAsia="Times New Roman" w:hAnsi="Cambria Math"/>
                    <w:sz w:val="20"/>
                    <w:szCs w:val="20"/>
                    <w:lang w:val="en-GB" w:eastAsia="fr-FR"/>
                  </w:rPr>
                  <m:t>=1</m:t>
                </m:r>
              </m:sub>
              <m:sup>
                <m:r>
                  <w:rPr>
                    <w:rFonts w:ascii="Cambria Math" w:eastAsia="Times New Roman" w:hAnsi="Cambria Math"/>
                    <w:sz w:val="20"/>
                    <w:szCs w:val="20"/>
                    <w:lang w:val="en-GB" w:eastAsia="fr-FR"/>
                  </w:rPr>
                  <m:t>K</m:t>
                </m:r>
              </m:sup>
              <m:e>
                <m:f>
                  <m:fPr>
                    <m:ctrlPr>
                      <w:rPr>
                        <w:rFonts w:ascii="Cambria Math" w:eastAsia="Times New Roman" w:hAnsi="Cambria Math"/>
                        <w:sz w:val="20"/>
                        <w:szCs w:val="20"/>
                        <w:lang w:val="en-GB" w:eastAsia="fr-FR"/>
                      </w:rPr>
                    </m:ctrlPr>
                  </m:fPr>
                  <m:num>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c</m:t>
                        </m:r>
                      </m:e>
                      <m:sub>
                        <m:r>
                          <w:rPr>
                            <w:rFonts w:ascii="Cambria Math" w:eastAsia="Times New Roman" w:hAnsi="Cambria Math"/>
                            <w:sz w:val="20"/>
                            <w:szCs w:val="20"/>
                            <w:lang w:val="en-GB" w:eastAsia="fr-FR"/>
                          </w:rPr>
                          <m:t>k</m:t>
                        </m:r>
                      </m:sub>
                    </m:sSub>
                  </m:num>
                  <m:den>
                    <m:sSub>
                      <m:sSubPr>
                        <m:ctrlPr>
                          <w:rPr>
                            <w:rFonts w:ascii="Cambria Math" w:eastAsia="Times New Roman" w:hAnsi="Cambria Math"/>
                            <w:sz w:val="20"/>
                            <w:szCs w:val="20"/>
                            <w:lang w:val="en-GB" w:eastAsia="fr-FR"/>
                          </w:rPr>
                        </m:ctrlPr>
                      </m:sSubPr>
                      <m:e>
                        <m:r>
                          <w:rPr>
                            <w:rFonts w:ascii="Cambria Math" w:eastAsia="Times New Roman" w:hAnsi="Cambria Math"/>
                            <w:sz w:val="20"/>
                            <w:szCs w:val="20"/>
                            <w:lang w:val="en-GB" w:eastAsia="fr-FR"/>
                          </w:rPr>
                          <m:t>p</m:t>
                        </m:r>
                      </m:e>
                      <m:sub>
                        <m:r>
                          <w:rPr>
                            <w:rFonts w:ascii="Cambria Math" w:eastAsia="Times New Roman" w:hAnsi="Cambria Math"/>
                            <w:sz w:val="20"/>
                            <w:szCs w:val="20"/>
                            <w:lang w:val="en-GB" w:eastAsia="fr-FR"/>
                          </w:rPr>
                          <m:t>k</m:t>
                        </m:r>
                      </m:sub>
                    </m:sSub>
                  </m:den>
                </m:f>
              </m:e>
            </m:nary>
          </m:den>
        </m:f>
      </m:oMath>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r>
      <w:r w:rsidR="00392F94" w:rsidRPr="00047851">
        <w:rPr>
          <w:rFonts w:ascii="Arial Narrow" w:eastAsia="Times New Roman" w:hAnsi="Arial Narrow"/>
          <w:sz w:val="20"/>
          <w:szCs w:val="20"/>
          <w:lang w:val="en-GB" w:eastAsia="fr-FR"/>
        </w:rPr>
        <w:tab/>
        <w:t>(14)</w:t>
      </w:r>
    </w:p>
    <w:p w14:paraId="338FB82B" w14:textId="77777777" w:rsidR="00392F94" w:rsidRPr="00047851" w:rsidRDefault="00392F94" w:rsidP="00392F94">
      <w:pPr>
        <w:jc w:val="both"/>
        <w:rPr>
          <w:rFonts w:ascii="Arial Narrow" w:eastAsia="Times New Roman" w:hAnsi="Arial Narrow"/>
          <w:sz w:val="20"/>
          <w:szCs w:val="20"/>
          <w:lang w:val="en-GB" w:eastAsia="fr-FR"/>
        </w:rPr>
      </w:pPr>
      <w:r w:rsidRPr="00047851">
        <w:rPr>
          <w:rFonts w:ascii="Arial Narrow" w:eastAsia="Times New Roman" w:hAnsi="Arial Narrow"/>
          <w:sz w:val="20"/>
          <w:szCs w:val="20"/>
          <w:lang w:val="en-GB" w:eastAsia="fr-FR"/>
        </w:rPr>
        <w:t xml:space="preserve">The term (14) is representing of the portion of the sector k in the </w:t>
      </w:r>
      <w:r w:rsidRPr="00047851">
        <w:rPr>
          <w:rFonts w:ascii="Arial Narrow" w:eastAsia="Times New Roman" w:hAnsi="Arial Narrow"/>
          <w:sz w:val="20"/>
          <w:szCs w:val="20"/>
          <w:lang w:val="de-DE" w:eastAsia="fr-FR"/>
        </w:rPr>
        <w:t xml:space="preserve">total exposure </w:t>
      </w:r>
      <m:oMath>
        <m:r>
          <m:rPr>
            <m:nor/>
          </m:rPr>
          <w:rPr>
            <w:rFonts w:ascii="Cambria Math" w:eastAsia="Times New Roman" w:hAnsi="Cambria Math"/>
            <w:b/>
            <w:bCs/>
            <w:sz w:val="20"/>
            <w:szCs w:val="20"/>
            <w:lang w:val="de-DE" w:eastAsia="fr-FR"/>
          </w:rPr>
          <m:t>E</m:t>
        </m:r>
      </m:oMath>
      <w:r w:rsidRPr="00047851">
        <w:rPr>
          <w:rFonts w:ascii="Arial Narrow" w:eastAsia="Times New Roman" w:hAnsi="Arial Narrow"/>
          <w:sz w:val="20"/>
          <w:szCs w:val="20"/>
          <w:lang w:val="de-DE" w:eastAsia="fr-FR"/>
        </w:rPr>
        <w:t xml:space="preserve"> of the </w:t>
      </w:r>
      <w:proofErr w:type="gramStart"/>
      <w:r w:rsidRPr="00047851">
        <w:rPr>
          <w:rFonts w:ascii="Arial Narrow" w:eastAsia="Times New Roman" w:hAnsi="Arial Narrow"/>
          <w:sz w:val="20"/>
          <w:szCs w:val="20"/>
          <w:lang w:val="de-DE" w:eastAsia="fr-FR"/>
        </w:rPr>
        <w:t>bank‘</w:t>
      </w:r>
      <w:proofErr w:type="gramEnd"/>
      <w:r w:rsidRPr="00047851">
        <w:rPr>
          <w:rFonts w:ascii="Arial Narrow" w:eastAsia="Times New Roman" w:hAnsi="Arial Narrow"/>
          <w:sz w:val="20"/>
          <w:szCs w:val="20"/>
          <w:lang w:val="de-DE" w:eastAsia="fr-FR"/>
        </w:rPr>
        <w:t>s portfolio.</w:t>
      </w:r>
      <w:r w:rsidRPr="00047851">
        <w:rPr>
          <w:rFonts w:ascii="Arial Narrow" w:eastAsia="Times New Roman" w:hAnsi="Arial Narrow"/>
          <w:sz w:val="20"/>
          <w:szCs w:val="20"/>
          <w:lang w:val="en-GB" w:eastAsia="fr-FR"/>
        </w:rPr>
        <w:t xml:space="preserve"> Therefore, the sector exposure limit </w:t>
      </w:r>
      <m:oMath>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RC</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oMath>
      <w:r w:rsidRPr="00047851">
        <w:rPr>
          <w:rFonts w:ascii="Arial Narrow" w:eastAsia="Times New Roman" w:hAnsi="Arial Narrow"/>
          <w:b/>
          <w:bCs/>
          <w:sz w:val="20"/>
          <w:szCs w:val="20"/>
          <w:lang w:val="en-GB" w:eastAsia="fr-FR"/>
        </w:rPr>
        <w:t xml:space="preserve"> </w:t>
      </w:r>
      <w:r w:rsidRPr="00047851">
        <w:rPr>
          <w:rFonts w:ascii="Arial Narrow" w:eastAsia="Times New Roman" w:hAnsi="Arial Narrow"/>
          <w:sz w:val="20"/>
          <w:szCs w:val="20"/>
          <w:lang w:val="en-GB" w:eastAsia="fr-FR"/>
        </w:rPr>
        <w:t xml:space="preserve">at the optimum </w:t>
      </w:r>
      <m:oMath>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E</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oMath>
      <w:r w:rsidRPr="00047851">
        <w:rPr>
          <w:rFonts w:ascii="Arial Narrow" w:eastAsia="Times New Roman" w:hAnsi="Arial Narrow"/>
          <w:b/>
          <w:bCs/>
          <w:sz w:val="20"/>
          <w:szCs w:val="20"/>
          <w:lang w:val="en-GB" w:eastAsia="fr-FR"/>
        </w:rPr>
        <w:t xml:space="preserve"> </w:t>
      </w:r>
      <w:r w:rsidRPr="00047851">
        <w:rPr>
          <w:rFonts w:ascii="Arial Narrow" w:eastAsia="Times New Roman" w:hAnsi="Arial Narrow"/>
          <w:sz w:val="20"/>
          <w:szCs w:val="20"/>
          <w:lang w:val="en-GB" w:eastAsia="fr-FR"/>
        </w:rPr>
        <w:t>is expressed through the following formula:</w:t>
      </w:r>
    </w:p>
    <w:p w14:paraId="2B99251C" w14:textId="77777777" w:rsidR="00392F94" w:rsidRPr="00047851" w:rsidRDefault="00D37809" w:rsidP="00392F94">
      <w:pPr>
        <w:spacing w:after="0"/>
        <w:jc w:val="center"/>
        <w:rPr>
          <w:rFonts w:ascii="Arial Narrow" w:eastAsia="Times New Roman" w:hAnsi="Arial Narrow"/>
          <w:sz w:val="20"/>
          <w:szCs w:val="20"/>
          <w:lang w:val="en-GB" w:eastAsia="fr-FR"/>
        </w:rPr>
      </w:pPr>
      <m:oMath>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RC</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r>
          <m:rPr>
            <m:nor/>
          </m:rPr>
          <w:rPr>
            <w:rFonts w:ascii="Cambria Math" w:eastAsia="Times New Roman" w:hAnsi="Cambria Math"/>
            <w:b/>
            <w:bCs/>
            <w:sz w:val="20"/>
            <w:szCs w:val="20"/>
            <w:lang w:val="de-DE" w:eastAsia="fr-FR"/>
          </w:rPr>
          <m:t>=</m:t>
        </m:r>
        <m:sSub>
          <m:sSubPr>
            <m:ctrlPr>
              <w:rPr>
                <w:rFonts w:ascii="Cambria Math" w:eastAsia="Times New Roman" w:hAnsi="Cambria Math"/>
                <w:b/>
                <w:bCs/>
                <w:sz w:val="20"/>
                <w:szCs w:val="20"/>
                <w:lang w:val="en-GB" w:eastAsia="fr-FR"/>
              </w:rPr>
            </m:ctrlPr>
          </m:sSubPr>
          <m:e>
            <m:r>
              <m:rPr>
                <m:nor/>
              </m:rPr>
              <w:rPr>
                <w:rFonts w:ascii="Cambria Math" w:eastAsia="Times New Roman" w:hAnsi="Cambria Math"/>
                <w:b/>
                <w:bCs/>
                <w:sz w:val="20"/>
                <w:szCs w:val="20"/>
                <w:lang w:val="de-DE" w:eastAsia="fr-FR"/>
              </w:rPr>
              <m:t>p</m:t>
            </m:r>
          </m:e>
          <m:sub>
            <m:r>
              <m:rPr>
                <m:nor/>
              </m:rPr>
              <w:rPr>
                <w:rFonts w:ascii="Cambria Math" w:eastAsia="Times New Roman" w:hAnsi="Cambria Math"/>
                <w:b/>
                <w:bCs/>
                <w:sz w:val="20"/>
                <w:szCs w:val="20"/>
                <w:lang w:val="de-DE" w:eastAsia="fr-FR"/>
              </w:rPr>
              <m:t>k</m:t>
            </m:r>
          </m:sub>
        </m:sSub>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E</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r>
          <m:rPr>
            <m:nor/>
          </m:rPr>
          <w:rPr>
            <w:rFonts w:ascii="Cambria Math" w:eastAsia="Times New Roman" w:hAnsi="Cambria Math"/>
            <w:b/>
            <w:bCs/>
            <w:sz w:val="20"/>
            <w:szCs w:val="20"/>
            <w:lang w:val="de-DE" w:eastAsia="fr-FR"/>
          </w:rPr>
          <m:t>+</m:t>
        </m:r>
        <m:d>
          <m:dPr>
            <m:ctrlPr>
              <w:rPr>
                <w:rFonts w:ascii="Cambria Math" w:eastAsia="Times New Roman" w:hAnsi="Cambria Math"/>
                <w:b/>
                <w:bCs/>
                <w:sz w:val="20"/>
                <w:szCs w:val="20"/>
                <w:lang w:val="en-GB" w:eastAsia="fr-FR"/>
              </w:rPr>
            </m:ctrlPr>
          </m:dPr>
          <m:e>
            <m:r>
              <m:rPr>
                <m:nor/>
              </m:rPr>
              <w:rPr>
                <w:rFonts w:ascii="Cambria Math" w:eastAsia="Times New Roman" w:hAnsi="Cambria Math"/>
                <w:b/>
                <w:bCs/>
                <w:sz w:val="20"/>
                <w:szCs w:val="20"/>
                <w:lang w:val="de-DE" w:eastAsia="fr-FR"/>
              </w:rPr>
              <m:t xml:space="preserve"> VaR</m:t>
            </m:r>
            <m:d>
              <m:dPr>
                <m:ctrlPr>
                  <w:rPr>
                    <w:rFonts w:ascii="Cambria Math" w:eastAsia="Times New Roman" w:hAnsi="Cambria Math"/>
                    <w:b/>
                    <w:bCs/>
                    <w:sz w:val="20"/>
                    <w:szCs w:val="20"/>
                    <w:lang w:val="en-GB" w:eastAsia="fr-FR"/>
                  </w:rPr>
                </m:ctrlPr>
              </m:dPr>
              <m:e>
                <m:r>
                  <m:rPr>
                    <m:nor/>
                  </m:rPr>
                  <w:rPr>
                    <w:rFonts w:ascii="Cambria Math" w:eastAsia="Times New Roman" w:hAnsi="Cambria Math"/>
                    <w:b/>
                    <w:bCs/>
                    <w:sz w:val="20"/>
                    <w:szCs w:val="20"/>
                    <w:lang w:val="de-DE" w:eastAsia="fr-FR"/>
                  </w:rPr>
                  <m:t>99%</m:t>
                </m:r>
              </m:e>
            </m:d>
            <m:r>
              <m:rPr>
                <m:nor/>
              </m:rPr>
              <w:rPr>
                <w:rFonts w:ascii="Cambria Math" w:eastAsia="Times New Roman" w:hAnsi="Cambria Math"/>
                <w:b/>
                <w:bCs/>
                <w:sz w:val="20"/>
                <w:szCs w:val="20"/>
                <w:lang w:val="de-DE" w:eastAsia="fr-FR"/>
              </w:rPr>
              <m:t xml:space="preserve">-E(L) </m:t>
            </m:r>
          </m:e>
        </m:d>
        <m:r>
          <m:rPr>
            <m:nor/>
          </m:rPr>
          <w:rPr>
            <w:rFonts w:ascii="Cambria Math" w:eastAsia="Times New Roman" w:hAnsi="Cambria Math"/>
            <w:b/>
            <w:bCs/>
            <w:sz w:val="20"/>
            <w:szCs w:val="20"/>
            <w:lang w:val="de-DE" w:eastAsia="fr-FR"/>
          </w:rPr>
          <m:t>*</m:t>
        </m:r>
        <m:f>
          <m:fPr>
            <m:ctrlPr>
              <w:rPr>
                <w:rFonts w:ascii="Cambria Math" w:eastAsia="Times New Roman" w:hAnsi="Cambria Math"/>
                <w:b/>
                <w:bCs/>
                <w:sz w:val="20"/>
                <w:szCs w:val="20"/>
                <w:lang w:val="en-GB" w:eastAsia="fr-FR"/>
              </w:rPr>
            </m:ctrlPr>
          </m:fPr>
          <m:num>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E</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num>
          <m:den>
            <m:r>
              <m:rPr>
                <m:nor/>
              </m:rPr>
              <w:rPr>
                <w:rFonts w:ascii="Cambria Math" w:eastAsia="Times New Roman" w:hAnsi="Cambria Math"/>
                <w:b/>
                <w:bCs/>
                <w:sz w:val="20"/>
                <w:szCs w:val="20"/>
                <w:lang w:val="de-DE" w:eastAsia="fr-FR"/>
              </w:rPr>
              <m:t>E</m:t>
            </m:r>
          </m:den>
        </m:f>
      </m:oMath>
      <w:r w:rsidR="00392F94" w:rsidRPr="00047851">
        <w:rPr>
          <w:rFonts w:ascii="Arial Narrow" w:eastAsia="Times New Roman" w:hAnsi="Arial Narrow"/>
          <w:b/>
          <w:bCs/>
          <w:i/>
          <w:sz w:val="20"/>
          <w:szCs w:val="20"/>
          <w:lang w:val="en-GB" w:eastAsia="fr-FR"/>
        </w:rPr>
        <w:tab/>
      </w:r>
      <w:r w:rsidR="00392F94" w:rsidRPr="00047851">
        <w:rPr>
          <w:rFonts w:ascii="Arial Narrow" w:eastAsia="Times New Roman" w:hAnsi="Arial Narrow"/>
          <w:b/>
          <w:bCs/>
          <w:i/>
          <w:sz w:val="20"/>
          <w:szCs w:val="20"/>
          <w:lang w:val="en-GB" w:eastAsia="fr-FR"/>
        </w:rPr>
        <w:tab/>
      </w:r>
      <w:r w:rsidR="00392F94" w:rsidRPr="00047851">
        <w:rPr>
          <w:rFonts w:ascii="Arial Narrow" w:eastAsia="Times New Roman" w:hAnsi="Arial Narrow"/>
          <w:sz w:val="20"/>
          <w:szCs w:val="20"/>
          <w:lang w:val="en-GB" w:eastAsia="fr-FR"/>
        </w:rPr>
        <w:t>(15)</w:t>
      </w:r>
    </w:p>
    <w:p w14:paraId="2D3174B2" w14:textId="77777777" w:rsidR="00392F94" w:rsidRPr="00047851" w:rsidRDefault="00392F94" w:rsidP="00392F94">
      <w:pPr>
        <w:jc w:val="both"/>
        <w:rPr>
          <w:rFonts w:ascii="Arial Narrow" w:eastAsia="Times New Roman" w:hAnsi="Arial Narrow"/>
          <w:b/>
          <w:bCs/>
          <w:sz w:val="20"/>
          <w:szCs w:val="20"/>
          <w:lang w:val="de-DE" w:eastAsia="fr-FR"/>
        </w:rPr>
      </w:pPr>
      <w:r w:rsidRPr="00047851">
        <w:rPr>
          <w:rFonts w:ascii="Arial Narrow" w:eastAsia="Times New Roman" w:hAnsi="Arial Narrow"/>
          <w:iCs/>
          <w:sz w:val="20"/>
          <w:szCs w:val="20"/>
          <w:lang w:val="en-GB" w:eastAsia="fr-FR"/>
        </w:rPr>
        <w:t xml:space="preserve">The Regulatory consumed Capital </w:t>
      </w:r>
      <m:oMath>
        <m:sSubSup>
          <m:sSubSupPr>
            <m:ctrlPr>
              <w:rPr>
                <w:rFonts w:ascii="Cambria Math" w:eastAsia="Times New Roman" w:hAnsi="Cambria Math"/>
                <w:sz w:val="20"/>
                <w:szCs w:val="20"/>
                <w:lang w:val="en-GB" w:eastAsia="fr-FR"/>
              </w:rPr>
            </m:ctrlPr>
          </m:sSubSupPr>
          <m:e>
            <m:r>
              <m:rPr>
                <m:nor/>
              </m:rPr>
              <w:rPr>
                <w:rFonts w:ascii="Cambria Math" w:eastAsia="Times New Roman" w:hAnsi="Cambria Math"/>
                <w:sz w:val="20"/>
                <w:szCs w:val="20"/>
                <w:lang w:val="de-DE" w:eastAsia="fr-FR"/>
              </w:rPr>
              <m:t>RC</m:t>
            </m:r>
          </m:e>
          <m:sub>
            <m:r>
              <m:rPr>
                <m:nor/>
              </m:rPr>
              <w:rPr>
                <w:rFonts w:ascii="Cambria Math" w:eastAsia="Times New Roman" w:hAnsi="Cambria Math"/>
                <w:sz w:val="20"/>
                <w:szCs w:val="20"/>
                <w:lang w:val="de-DE" w:eastAsia="fr-FR"/>
              </w:rPr>
              <m:t>k</m:t>
            </m:r>
          </m:sub>
          <m:sup>
            <m:r>
              <m:rPr>
                <m:nor/>
              </m:rPr>
              <w:rPr>
                <w:rFonts w:ascii="Cambria Math" w:eastAsia="Times New Roman" w:hAnsi="Cambria Math"/>
                <w:sz w:val="20"/>
                <w:szCs w:val="20"/>
                <w:lang w:val="de-DE" w:eastAsia="fr-FR"/>
              </w:rPr>
              <m:t>l</m:t>
            </m:r>
          </m:sup>
        </m:sSubSup>
      </m:oMath>
      <w:r w:rsidRPr="00047851">
        <w:rPr>
          <w:rFonts w:ascii="Arial Narrow" w:eastAsia="Times New Roman" w:hAnsi="Arial Narrow"/>
          <w:sz w:val="20"/>
          <w:szCs w:val="20"/>
          <w:lang w:val="en-GB" w:eastAsia="fr-FR"/>
        </w:rPr>
        <w:t xml:space="preserve"> is, considered as a </w:t>
      </w:r>
      <w:r w:rsidRPr="00047851">
        <w:rPr>
          <w:rFonts w:ascii="Arial Narrow" w:eastAsia="Times New Roman" w:hAnsi="Arial Narrow"/>
          <w:iCs/>
          <w:sz w:val="20"/>
          <w:szCs w:val="20"/>
          <w:lang w:val="en-GB" w:eastAsia="fr-FR"/>
        </w:rPr>
        <w:t>local optimum, and</w:t>
      </w:r>
      <w:r w:rsidRPr="00047851">
        <w:rPr>
          <w:rFonts w:ascii="Arial Narrow" w:eastAsia="Times New Roman" w:hAnsi="Arial Narrow"/>
          <w:sz w:val="20"/>
          <w:szCs w:val="20"/>
          <w:lang w:val="en-GB" w:eastAsia="fr-FR"/>
        </w:rPr>
        <w:t xml:space="preserve"> expresses the sum of two components: (</w:t>
      </w:r>
      <w:proofErr w:type="spellStart"/>
      <w:r w:rsidRPr="00047851">
        <w:rPr>
          <w:rFonts w:ascii="Arial Narrow" w:eastAsia="Times New Roman" w:hAnsi="Arial Narrow"/>
          <w:sz w:val="20"/>
          <w:szCs w:val="20"/>
          <w:lang w:val="en-GB" w:eastAsia="fr-FR"/>
        </w:rPr>
        <w:t>i</w:t>
      </w:r>
      <w:proofErr w:type="spellEnd"/>
      <w:r w:rsidRPr="00047851">
        <w:rPr>
          <w:rFonts w:ascii="Arial Narrow" w:eastAsia="Times New Roman" w:hAnsi="Arial Narrow"/>
          <w:sz w:val="20"/>
          <w:szCs w:val="20"/>
          <w:lang w:val="en-GB" w:eastAsia="fr-FR"/>
        </w:rPr>
        <w:t>) the linear term (</w:t>
      </w:r>
      <m:oMath>
        <m:sSub>
          <m:sSubPr>
            <m:ctrlPr>
              <w:rPr>
                <w:rFonts w:ascii="Cambria Math" w:eastAsia="Times New Roman" w:hAnsi="Cambria Math"/>
                <w:b/>
                <w:bCs/>
                <w:sz w:val="20"/>
                <w:szCs w:val="20"/>
                <w:lang w:val="en-GB" w:eastAsia="fr-FR"/>
              </w:rPr>
            </m:ctrlPr>
          </m:sSubPr>
          <m:e>
            <m:r>
              <m:rPr>
                <m:nor/>
              </m:rPr>
              <w:rPr>
                <w:rFonts w:ascii="Cambria Math" w:eastAsia="Times New Roman" w:hAnsi="Cambria Math"/>
                <w:b/>
                <w:bCs/>
                <w:sz w:val="20"/>
                <w:szCs w:val="20"/>
                <w:lang w:val="de-DE" w:eastAsia="fr-FR"/>
              </w:rPr>
              <m:t>p</m:t>
            </m:r>
          </m:e>
          <m:sub>
            <m:r>
              <m:rPr>
                <m:nor/>
              </m:rPr>
              <w:rPr>
                <w:rFonts w:ascii="Cambria Math" w:eastAsia="Times New Roman" w:hAnsi="Cambria Math"/>
                <w:b/>
                <w:bCs/>
                <w:sz w:val="20"/>
                <w:szCs w:val="20"/>
                <w:lang w:val="de-DE" w:eastAsia="fr-FR"/>
              </w:rPr>
              <m:t>k</m:t>
            </m:r>
          </m:sub>
        </m:sSub>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E</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oMath>
      <w:r w:rsidRPr="00047851">
        <w:rPr>
          <w:rFonts w:ascii="Arial Narrow" w:eastAsia="Times New Roman" w:hAnsi="Arial Narrow"/>
          <w:sz w:val="20"/>
          <w:szCs w:val="20"/>
          <w:lang w:val="en-GB" w:eastAsia="fr-FR"/>
        </w:rPr>
        <w:t xml:space="preserve">) as expected loss of the sector k; and (ii) the nonlinear term as the contribution of the sector k in the unexpected total losses indicated by the term </w:t>
      </w:r>
      <m:oMath>
        <m:r>
          <w:rPr>
            <w:rFonts w:ascii="Cambria Math" w:eastAsia="Times New Roman" w:hAnsi="Cambria Math"/>
            <w:sz w:val="20"/>
            <w:szCs w:val="20"/>
            <w:lang w:val="en-GB" w:eastAsia="fr-FR"/>
          </w:rPr>
          <m:t>{</m:t>
        </m:r>
        <m:r>
          <m:rPr>
            <m:nor/>
          </m:rPr>
          <w:rPr>
            <w:rFonts w:ascii="Cambria Math" w:eastAsia="Times New Roman" w:hAnsi="Cambria Math"/>
            <w:sz w:val="20"/>
            <w:szCs w:val="20"/>
            <w:lang w:val="de-DE" w:eastAsia="fr-FR"/>
          </w:rPr>
          <m:t>VaR</m:t>
        </m:r>
        <m:d>
          <m:dPr>
            <m:ctrlPr>
              <w:rPr>
                <w:rFonts w:ascii="Cambria Math" w:eastAsia="Times New Roman" w:hAnsi="Cambria Math"/>
                <w:sz w:val="20"/>
                <w:szCs w:val="20"/>
                <w:lang w:val="en-GB" w:eastAsia="fr-FR"/>
              </w:rPr>
            </m:ctrlPr>
          </m:dPr>
          <m:e>
            <m:r>
              <m:rPr>
                <m:nor/>
              </m:rPr>
              <w:rPr>
                <w:rFonts w:ascii="Cambria Math" w:eastAsia="Times New Roman" w:hAnsi="Cambria Math"/>
                <w:sz w:val="20"/>
                <w:szCs w:val="20"/>
                <w:lang w:val="de-DE" w:eastAsia="fr-FR"/>
              </w:rPr>
              <m:t>99%</m:t>
            </m:r>
          </m:e>
        </m:d>
        <m:r>
          <m:rPr>
            <m:nor/>
          </m:rPr>
          <w:rPr>
            <w:rFonts w:ascii="Cambria Math" w:eastAsia="Times New Roman" w:hAnsi="Cambria Math"/>
            <w:sz w:val="20"/>
            <w:szCs w:val="20"/>
            <w:lang w:val="de-DE" w:eastAsia="fr-FR"/>
          </w:rPr>
          <m:t>-E(L) &gt; 0}</m:t>
        </m:r>
        <m:r>
          <m:rPr>
            <m:nor/>
          </m:rPr>
          <w:rPr>
            <w:rFonts w:ascii="Cambria Math" w:eastAsia="Times New Roman" w:hAnsi="Cambria Math"/>
            <w:b/>
            <w:bCs/>
            <w:sz w:val="20"/>
            <w:szCs w:val="20"/>
            <w:lang w:val="de-DE" w:eastAsia="fr-FR"/>
          </w:rPr>
          <m:t>.</m:t>
        </m:r>
      </m:oMath>
    </w:p>
    <w:p w14:paraId="5D569C1E" w14:textId="77777777" w:rsidR="00392F94" w:rsidRPr="00047851" w:rsidRDefault="00392F94" w:rsidP="00392F94">
      <w:pPr>
        <w:jc w:val="both"/>
        <w:rPr>
          <w:rFonts w:ascii="Arial Narrow" w:eastAsia="Times New Roman" w:hAnsi="Arial Narrow"/>
          <w:iCs/>
          <w:sz w:val="20"/>
          <w:szCs w:val="20"/>
          <w:lang w:val="en-GB" w:eastAsia="fr-FR"/>
        </w:rPr>
      </w:pPr>
      <w:r w:rsidRPr="00047851">
        <w:rPr>
          <w:rFonts w:ascii="Arial Narrow" w:eastAsia="Times New Roman" w:hAnsi="Arial Narrow"/>
          <w:iCs/>
          <w:sz w:val="20"/>
          <w:szCs w:val="20"/>
          <w:lang w:val="en-GB" w:eastAsia="fr-FR"/>
        </w:rPr>
        <w:t>The solution of the Regulatory consumed Capital (RC) is given by the equation (15) and can be re-written as follows:</w:t>
      </w:r>
    </w:p>
    <w:p w14:paraId="1654761C" w14:textId="5EB0015D" w:rsidR="00392F94" w:rsidRPr="00047851" w:rsidRDefault="00D37809" w:rsidP="00392F94">
      <w:pPr>
        <w:jc w:val="both"/>
        <w:rPr>
          <w:rFonts w:ascii="Arial Narrow" w:hAnsi="Arial Narrow"/>
          <w:sz w:val="20"/>
          <w:szCs w:val="20"/>
        </w:rPr>
      </w:pPr>
      <m:oMath>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RC</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r>
          <m:rPr>
            <m:nor/>
          </m:rPr>
          <w:rPr>
            <w:rFonts w:ascii="Cambria Math" w:eastAsia="Times New Roman" w:hAnsi="Cambria Math"/>
            <w:b/>
            <w:bCs/>
            <w:sz w:val="20"/>
            <w:szCs w:val="20"/>
            <w:lang w:val="de-DE" w:eastAsia="fr-FR"/>
          </w:rPr>
          <m:t xml:space="preserve"> = </m:t>
        </m:r>
        <m:sSubSup>
          <m:sSubSupPr>
            <m:ctrlPr>
              <w:rPr>
                <w:rFonts w:ascii="Cambria Math" w:eastAsia="Times New Roman" w:hAnsi="Cambria Math"/>
                <w:b/>
                <w:bCs/>
                <w:sz w:val="20"/>
                <w:szCs w:val="20"/>
                <w:lang w:val="en-GB" w:eastAsia="fr-FR"/>
              </w:rPr>
            </m:ctrlPr>
          </m:sSubSupPr>
          <m:e>
            <m:r>
              <m:rPr>
                <m:nor/>
              </m:rPr>
              <w:rPr>
                <w:rFonts w:ascii="Cambria Math" w:eastAsia="Times New Roman" w:hAnsi="Cambria Math"/>
                <w:b/>
                <w:bCs/>
                <w:sz w:val="20"/>
                <w:szCs w:val="20"/>
                <w:lang w:val="de-DE" w:eastAsia="fr-FR"/>
              </w:rPr>
              <m:t>E</m:t>
            </m:r>
          </m:e>
          <m:sub>
            <m:r>
              <m:rPr>
                <m:nor/>
              </m:rPr>
              <w:rPr>
                <w:rFonts w:ascii="Cambria Math" w:eastAsia="Times New Roman" w:hAnsi="Cambria Math"/>
                <w:b/>
                <w:bCs/>
                <w:sz w:val="20"/>
                <w:szCs w:val="20"/>
                <w:lang w:val="de-DE" w:eastAsia="fr-FR"/>
              </w:rPr>
              <m:t>k</m:t>
            </m:r>
          </m:sub>
          <m:sup>
            <m:r>
              <m:rPr>
                <m:nor/>
              </m:rPr>
              <w:rPr>
                <w:rFonts w:ascii="Cambria Math" w:eastAsia="Times New Roman" w:hAnsi="Cambria Math"/>
                <w:b/>
                <w:bCs/>
                <w:sz w:val="20"/>
                <w:szCs w:val="20"/>
                <w:lang w:val="de-DE" w:eastAsia="fr-FR"/>
              </w:rPr>
              <m:t>l</m:t>
            </m:r>
          </m:sup>
        </m:sSubSup>
        <m:r>
          <m:rPr>
            <m:nor/>
          </m:rPr>
          <w:rPr>
            <w:rFonts w:ascii="Cambria Math" w:eastAsia="Times New Roman" w:hAnsi="Cambria Math"/>
            <w:b/>
            <w:bCs/>
            <w:sz w:val="20"/>
            <w:szCs w:val="20"/>
            <w:lang w:val="de-DE" w:eastAsia="fr-FR"/>
          </w:rPr>
          <m:t xml:space="preserve">  *  [   </m:t>
        </m:r>
        <m:sSub>
          <m:sSubPr>
            <m:ctrlPr>
              <w:rPr>
                <w:rFonts w:ascii="Cambria Math" w:eastAsia="Times New Roman" w:hAnsi="Cambria Math"/>
                <w:b/>
                <w:bCs/>
                <w:sz w:val="20"/>
                <w:szCs w:val="20"/>
                <w:lang w:val="en-GB" w:eastAsia="fr-FR"/>
              </w:rPr>
            </m:ctrlPr>
          </m:sSubPr>
          <m:e>
            <m:r>
              <m:rPr>
                <m:nor/>
              </m:rPr>
              <w:rPr>
                <w:rFonts w:ascii="Cambria Math" w:eastAsia="Times New Roman" w:hAnsi="Cambria Math"/>
                <w:b/>
                <w:bCs/>
                <w:sz w:val="20"/>
                <w:szCs w:val="20"/>
                <w:lang w:val="de-DE" w:eastAsia="fr-FR"/>
              </w:rPr>
              <m:t>p</m:t>
            </m:r>
          </m:e>
          <m:sub>
            <m:r>
              <m:rPr>
                <m:nor/>
              </m:rPr>
              <w:rPr>
                <w:rFonts w:ascii="Cambria Math" w:eastAsia="Times New Roman" w:hAnsi="Cambria Math"/>
                <w:b/>
                <w:bCs/>
                <w:sz w:val="20"/>
                <w:szCs w:val="20"/>
                <w:lang w:val="de-DE" w:eastAsia="fr-FR"/>
              </w:rPr>
              <m:t>k</m:t>
            </m:r>
          </m:sub>
        </m:sSub>
        <m:r>
          <m:rPr>
            <m:nor/>
          </m:rPr>
          <w:rPr>
            <w:rFonts w:ascii="Cambria Math" w:eastAsia="Times New Roman" w:hAnsi="Cambria Math"/>
            <w:b/>
            <w:bCs/>
            <w:sz w:val="20"/>
            <w:szCs w:val="20"/>
            <w:lang w:val="de-DE" w:eastAsia="fr-FR"/>
          </w:rPr>
          <m:t>+</m:t>
        </m:r>
        <m:r>
          <m:rPr>
            <m:nor/>
          </m:rPr>
          <w:rPr>
            <w:rFonts w:ascii="Cambria Math" w:eastAsia="Times New Roman" w:hAnsi="Cambria Math"/>
            <w:b/>
            <w:bCs/>
            <w:sz w:val="20"/>
            <w:szCs w:val="20"/>
            <w:lang w:val="en-GB" w:eastAsia="fr-FR"/>
          </w:rPr>
          <m:t xml:space="preserve"> </m:t>
        </m:r>
        <m:f>
          <m:fPr>
            <m:ctrlPr>
              <w:rPr>
                <w:rFonts w:ascii="Cambria Math" w:eastAsia="Times New Roman" w:hAnsi="Cambria Math"/>
                <w:b/>
                <w:bCs/>
                <w:sz w:val="20"/>
                <w:szCs w:val="20"/>
                <w:lang w:val="en-GB" w:eastAsia="fr-FR"/>
              </w:rPr>
            </m:ctrlPr>
          </m:fPr>
          <m:num>
            <m:r>
              <m:rPr>
                <m:nor/>
              </m:rPr>
              <w:rPr>
                <w:rFonts w:ascii="Cambria Math" w:eastAsia="Times New Roman" w:hAnsi="Cambria Math"/>
                <w:b/>
                <w:bCs/>
                <w:sz w:val="20"/>
                <w:szCs w:val="20"/>
                <w:lang w:val="de-DE" w:eastAsia="fr-FR"/>
              </w:rPr>
              <m:t>VaR</m:t>
            </m:r>
            <m:d>
              <m:dPr>
                <m:ctrlPr>
                  <w:rPr>
                    <w:rFonts w:ascii="Cambria Math" w:eastAsia="Times New Roman" w:hAnsi="Cambria Math"/>
                    <w:b/>
                    <w:bCs/>
                    <w:sz w:val="20"/>
                    <w:szCs w:val="20"/>
                    <w:lang w:val="en-GB" w:eastAsia="fr-FR"/>
                  </w:rPr>
                </m:ctrlPr>
              </m:dPr>
              <m:e>
                <m:r>
                  <m:rPr>
                    <m:nor/>
                  </m:rPr>
                  <w:rPr>
                    <w:rFonts w:ascii="Cambria Math" w:eastAsia="Times New Roman" w:hAnsi="Cambria Math"/>
                    <w:b/>
                    <w:bCs/>
                    <w:sz w:val="20"/>
                    <w:szCs w:val="20"/>
                    <w:lang w:val="de-DE" w:eastAsia="fr-FR"/>
                  </w:rPr>
                  <m:t>99%</m:t>
                </m:r>
              </m:e>
            </m:d>
            <m:r>
              <m:rPr>
                <m:nor/>
              </m:rPr>
              <w:rPr>
                <w:rFonts w:ascii="Cambria Math" w:eastAsia="Times New Roman" w:hAnsi="Cambria Math"/>
                <w:b/>
                <w:bCs/>
                <w:sz w:val="20"/>
                <w:szCs w:val="20"/>
                <w:lang w:val="de-DE" w:eastAsia="fr-FR"/>
              </w:rPr>
              <m:t>-E(L)</m:t>
            </m:r>
          </m:num>
          <m:den>
            <m:r>
              <m:rPr>
                <m:nor/>
              </m:rPr>
              <w:rPr>
                <w:rFonts w:ascii="Cambria Math" w:eastAsia="Times New Roman" w:hAnsi="Cambria Math"/>
                <w:b/>
                <w:bCs/>
                <w:sz w:val="20"/>
                <w:szCs w:val="20"/>
                <w:lang w:val="de-DE" w:eastAsia="fr-FR"/>
              </w:rPr>
              <m:t>E</m:t>
            </m:r>
          </m:den>
        </m:f>
        <m:r>
          <m:rPr>
            <m:sty m:val="bi"/>
          </m:rPr>
          <w:rPr>
            <w:rFonts w:ascii="Cambria Math" w:eastAsia="Times New Roman" w:hAnsi="Cambria Math"/>
            <w:sz w:val="20"/>
            <w:szCs w:val="20"/>
            <w:lang w:val="en-GB" w:eastAsia="fr-FR"/>
          </w:rPr>
          <m:t xml:space="preserve">  ]</m:t>
        </m:r>
      </m:oMath>
      <w:r w:rsidR="00392F94" w:rsidRPr="00047851">
        <w:rPr>
          <w:rFonts w:ascii="Arial Narrow" w:eastAsia="Times New Roman" w:hAnsi="Arial Narrow"/>
          <w:b/>
          <w:bCs/>
          <w:i/>
          <w:sz w:val="20"/>
          <w:szCs w:val="20"/>
          <w:lang w:val="en-GB" w:eastAsia="fr-FR"/>
        </w:rPr>
        <w:tab/>
      </w:r>
      <w:r w:rsidR="00392F94" w:rsidRPr="00047851">
        <w:rPr>
          <w:rFonts w:ascii="Arial Narrow" w:eastAsia="Times New Roman" w:hAnsi="Arial Narrow"/>
          <w:b/>
          <w:bCs/>
          <w:i/>
          <w:sz w:val="20"/>
          <w:szCs w:val="20"/>
          <w:lang w:val="en-GB" w:eastAsia="fr-FR"/>
        </w:rPr>
        <w:tab/>
      </w:r>
      <w:r w:rsidR="00392F94" w:rsidRPr="00047851">
        <w:rPr>
          <w:rFonts w:ascii="Arial Narrow" w:eastAsia="Times New Roman" w:hAnsi="Arial Narrow"/>
          <w:sz w:val="20"/>
          <w:szCs w:val="20"/>
          <w:lang w:val="en-GB" w:eastAsia="fr-FR"/>
        </w:rPr>
        <w:t>(16</w:t>
      </w:r>
    </w:p>
    <w:p w14:paraId="0FBF416B" w14:textId="77777777" w:rsidR="00047851" w:rsidRDefault="00047851">
      <w:pPr>
        <w:rPr>
          <w:rFonts w:ascii="Arial Narrow" w:hAnsi="Arial Narrow"/>
          <w:b/>
          <w:bCs/>
          <w:sz w:val="24"/>
          <w:szCs w:val="24"/>
        </w:rPr>
      </w:pPr>
      <w:r>
        <w:rPr>
          <w:rFonts w:ascii="Arial Narrow" w:hAnsi="Arial Narrow"/>
          <w:b/>
          <w:bCs/>
          <w:sz w:val="24"/>
          <w:szCs w:val="24"/>
        </w:rPr>
        <w:br w:type="page"/>
      </w:r>
    </w:p>
    <w:sectPr w:rsidR="0004785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2436B" w14:textId="77777777" w:rsidR="00D37809" w:rsidRDefault="00D37809" w:rsidP="009167F8">
      <w:pPr>
        <w:spacing w:after="0" w:line="240" w:lineRule="auto"/>
      </w:pPr>
      <w:r>
        <w:separator/>
      </w:r>
    </w:p>
  </w:endnote>
  <w:endnote w:type="continuationSeparator" w:id="0">
    <w:p w14:paraId="0A7BD935" w14:textId="77777777" w:rsidR="00D37809" w:rsidRDefault="00D37809" w:rsidP="00916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_R8">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6289979"/>
      <w:docPartObj>
        <w:docPartGallery w:val="Page Numbers (Bottom of Page)"/>
        <w:docPartUnique/>
      </w:docPartObj>
    </w:sdtPr>
    <w:sdtEndPr/>
    <w:sdtContent>
      <w:p w14:paraId="64100DD7" w14:textId="77777777" w:rsidR="00BF442F" w:rsidRDefault="0089475E">
        <w:pPr>
          <w:pStyle w:val="Footer"/>
          <w:jc w:val="right"/>
        </w:pPr>
        <w:r>
          <w:fldChar w:fldCharType="begin"/>
        </w:r>
        <w:r>
          <w:instrText>PAGE   \* MERGEFORMAT</w:instrText>
        </w:r>
        <w:r>
          <w:fldChar w:fldCharType="separate"/>
        </w:r>
        <w:r>
          <w:rPr>
            <w:noProof/>
          </w:rPr>
          <w:t>11</w:t>
        </w:r>
        <w:r>
          <w:fldChar w:fldCharType="end"/>
        </w:r>
      </w:p>
    </w:sdtContent>
  </w:sdt>
  <w:p w14:paraId="56EFE88A" w14:textId="77777777" w:rsidR="00BF442F" w:rsidRDefault="00D37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F22D5" w14:textId="77777777" w:rsidR="00D37809" w:rsidRDefault="00D37809" w:rsidP="009167F8">
      <w:pPr>
        <w:spacing w:after="0" w:line="240" w:lineRule="auto"/>
      </w:pPr>
      <w:r>
        <w:separator/>
      </w:r>
    </w:p>
  </w:footnote>
  <w:footnote w:type="continuationSeparator" w:id="0">
    <w:p w14:paraId="231305F3" w14:textId="77777777" w:rsidR="00D37809" w:rsidRDefault="00D37809" w:rsidP="00916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D5FAB"/>
    <w:multiLevelType w:val="hybridMultilevel"/>
    <w:tmpl w:val="B7026D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C70BE4"/>
    <w:multiLevelType w:val="multilevel"/>
    <w:tmpl w:val="5218EC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9470CDC"/>
    <w:multiLevelType w:val="hybridMultilevel"/>
    <w:tmpl w:val="78060BCE"/>
    <w:lvl w:ilvl="0" w:tplc="34C268E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D44C91"/>
    <w:multiLevelType w:val="hybridMultilevel"/>
    <w:tmpl w:val="2A7A0396"/>
    <w:lvl w:ilvl="0" w:tplc="040C0019">
      <w:start w:val="1"/>
      <w:numFmt w:val="lowerLetter"/>
      <w:lvlText w:val="%1."/>
      <w:lvlJc w:val="left"/>
      <w:pPr>
        <w:ind w:left="1068" w:hanging="360"/>
      </w:p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4" w15:restartNumberingAfterBreak="0">
    <w:nsid w:val="0B3F2612"/>
    <w:multiLevelType w:val="hybridMultilevel"/>
    <w:tmpl w:val="734237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721273"/>
    <w:multiLevelType w:val="hybridMultilevel"/>
    <w:tmpl w:val="CD6E80A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0C3392B"/>
    <w:multiLevelType w:val="hybridMultilevel"/>
    <w:tmpl w:val="DCB82A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4C58B6"/>
    <w:multiLevelType w:val="multilevel"/>
    <w:tmpl w:val="1196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637AE"/>
    <w:multiLevelType w:val="hybridMultilevel"/>
    <w:tmpl w:val="7C4873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4712B5"/>
    <w:multiLevelType w:val="hybridMultilevel"/>
    <w:tmpl w:val="CED2F9B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D853C3"/>
    <w:multiLevelType w:val="multilevel"/>
    <w:tmpl w:val="5218EC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AB11E5D"/>
    <w:multiLevelType w:val="hybridMultilevel"/>
    <w:tmpl w:val="637E329E"/>
    <w:lvl w:ilvl="0" w:tplc="0C0C000F">
      <w:start w:val="1"/>
      <w:numFmt w:val="decimal"/>
      <w:lvlText w:val="%1."/>
      <w:lvlJc w:val="left"/>
      <w:pPr>
        <w:ind w:left="862" w:hanging="360"/>
      </w:p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12" w15:restartNumberingAfterBreak="0">
    <w:nsid w:val="20C97F12"/>
    <w:multiLevelType w:val="multilevel"/>
    <w:tmpl w:val="6CB4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35026"/>
    <w:multiLevelType w:val="hybridMultilevel"/>
    <w:tmpl w:val="EEA4BB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884BC3"/>
    <w:multiLevelType w:val="hybridMultilevel"/>
    <w:tmpl w:val="EEA4BB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AE37B6B"/>
    <w:multiLevelType w:val="hybridMultilevel"/>
    <w:tmpl w:val="B928BF0A"/>
    <w:lvl w:ilvl="0" w:tplc="2324643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9F7B6E"/>
    <w:multiLevelType w:val="hybridMultilevel"/>
    <w:tmpl w:val="BAA02F5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104364B"/>
    <w:multiLevelType w:val="hybridMultilevel"/>
    <w:tmpl w:val="5B2616AE"/>
    <w:lvl w:ilvl="0" w:tplc="4378CAB0">
      <w:start w:val="1"/>
      <w:numFmt w:val="bullet"/>
      <w:lvlText w:val=""/>
      <w:lvlJc w:val="left"/>
      <w:pPr>
        <w:tabs>
          <w:tab w:val="num" w:pos="1080"/>
        </w:tabs>
        <w:ind w:left="1080" w:hanging="360"/>
      </w:pPr>
      <w:rPr>
        <w:rFonts w:ascii="Wingdings" w:hAnsi="Wingdings" w:hint="default"/>
        <w:color w:val="3366FF"/>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276A03"/>
    <w:multiLevelType w:val="hybridMultilevel"/>
    <w:tmpl w:val="A022BFF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6CA2D4C"/>
    <w:multiLevelType w:val="hybridMultilevel"/>
    <w:tmpl w:val="7B6E91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93D1E4C"/>
    <w:multiLevelType w:val="hybridMultilevel"/>
    <w:tmpl w:val="23DAC4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694DCD"/>
    <w:multiLevelType w:val="hybridMultilevel"/>
    <w:tmpl w:val="D2EAF3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DE11DE"/>
    <w:multiLevelType w:val="hybridMultilevel"/>
    <w:tmpl w:val="6EB699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61056B"/>
    <w:multiLevelType w:val="hybridMultilevel"/>
    <w:tmpl w:val="A4C6AC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C54FF4"/>
    <w:multiLevelType w:val="hybridMultilevel"/>
    <w:tmpl w:val="16B6C8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7800AE5"/>
    <w:multiLevelType w:val="hybridMultilevel"/>
    <w:tmpl w:val="53A66D7E"/>
    <w:lvl w:ilvl="0" w:tplc="2F0421B8">
      <w:start w:val="1"/>
      <w:numFmt w:val="bullet"/>
      <w:lvlText w:val=""/>
      <w:lvlJc w:val="left"/>
      <w:pPr>
        <w:tabs>
          <w:tab w:val="num" w:pos="480"/>
        </w:tabs>
        <w:ind w:left="480" w:hanging="360"/>
      </w:pPr>
      <w:rPr>
        <w:rFonts w:ascii="Symbol" w:hAnsi="Symbol" w:hint="default"/>
        <w:color w:val="666699"/>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15:restartNumberingAfterBreak="0">
    <w:nsid w:val="58CB252D"/>
    <w:multiLevelType w:val="hybridMultilevel"/>
    <w:tmpl w:val="BA3AEB9C"/>
    <w:lvl w:ilvl="0" w:tplc="040C0005">
      <w:start w:val="1"/>
      <w:numFmt w:val="bullet"/>
      <w:lvlText w:val=""/>
      <w:lvlJc w:val="left"/>
      <w:pPr>
        <w:tabs>
          <w:tab w:val="num" w:pos="1080"/>
        </w:tabs>
        <w:ind w:left="1080" w:hanging="360"/>
      </w:pPr>
      <w:rPr>
        <w:rFonts w:ascii="Wingdings" w:hAnsi="Wingdings" w:hint="default"/>
        <w:color w:val="3366FF"/>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2A4058"/>
    <w:multiLevelType w:val="hybridMultilevel"/>
    <w:tmpl w:val="E5A44C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B44C11"/>
    <w:multiLevelType w:val="hybridMultilevel"/>
    <w:tmpl w:val="CED2F9B0"/>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64FF4436"/>
    <w:multiLevelType w:val="hybridMultilevel"/>
    <w:tmpl w:val="637E329E"/>
    <w:lvl w:ilvl="0" w:tplc="0C0C000F">
      <w:start w:val="1"/>
      <w:numFmt w:val="decimal"/>
      <w:lvlText w:val="%1."/>
      <w:lvlJc w:val="left"/>
      <w:pPr>
        <w:ind w:left="786" w:hanging="360"/>
      </w:p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30" w15:restartNumberingAfterBreak="0">
    <w:nsid w:val="6FAD2071"/>
    <w:multiLevelType w:val="hybridMultilevel"/>
    <w:tmpl w:val="809098CC"/>
    <w:lvl w:ilvl="0" w:tplc="4378CAB0">
      <w:start w:val="1"/>
      <w:numFmt w:val="bullet"/>
      <w:lvlText w:val=""/>
      <w:lvlJc w:val="left"/>
      <w:pPr>
        <w:tabs>
          <w:tab w:val="num" w:pos="1080"/>
        </w:tabs>
        <w:ind w:left="1080" w:hanging="360"/>
      </w:pPr>
      <w:rPr>
        <w:rFonts w:ascii="Wingdings" w:hAnsi="Wingdings" w:hint="default"/>
        <w:color w:val="3366FF"/>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C0771C"/>
    <w:multiLevelType w:val="hybridMultilevel"/>
    <w:tmpl w:val="3D6829B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05C528E"/>
    <w:multiLevelType w:val="hybridMultilevel"/>
    <w:tmpl w:val="F6D6FD8E"/>
    <w:lvl w:ilvl="0" w:tplc="0C0C0019">
      <w:start w:val="1"/>
      <w:numFmt w:val="lowerLetter"/>
      <w:lvlText w:val="%1."/>
      <w:lvlJc w:val="left"/>
      <w:pPr>
        <w:ind w:left="1582" w:hanging="360"/>
      </w:pPr>
    </w:lvl>
    <w:lvl w:ilvl="1" w:tplc="0C0C0019" w:tentative="1">
      <w:start w:val="1"/>
      <w:numFmt w:val="lowerLetter"/>
      <w:lvlText w:val="%2."/>
      <w:lvlJc w:val="left"/>
      <w:pPr>
        <w:ind w:left="2302" w:hanging="360"/>
      </w:pPr>
    </w:lvl>
    <w:lvl w:ilvl="2" w:tplc="0C0C001B" w:tentative="1">
      <w:start w:val="1"/>
      <w:numFmt w:val="lowerRoman"/>
      <w:lvlText w:val="%3."/>
      <w:lvlJc w:val="right"/>
      <w:pPr>
        <w:ind w:left="3022" w:hanging="180"/>
      </w:pPr>
    </w:lvl>
    <w:lvl w:ilvl="3" w:tplc="0C0C000F" w:tentative="1">
      <w:start w:val="1"/>
      <w:numFmt w:val="decimal"/>
      <w:lvlText w:val="%4."/>
      <w:lvlJc w:val="left"/>
      <w:pPr>
        <w:ind w:left="3742" w:hanging="360"/>
      </w:pPr>
    </w:lvl>
    <w:lvl w:ilvl="4" w:tplc="0C0C0019" w:tentative="1">
      <w:start w:val="1"/>
      <w:numFmt w:val="lowerLetter"/>
      <w:lvlText w:val="%5."/>
      <w:lvlJc w:val="left"/>
      <w:pPr>
        <w:ind w:left="4462" w:hanging="360"/>
      </w:pPr>
    </w:lvl>
    <w:lvl w:ilvl="5" w:tplc="0C0C001B" w:tentative="1">
      <w:start w:val="1"/>
      <w:numFmt w:val="lowerRoman"/>
      <w:lvlText w:val="%6."/>
      <w:lvlJc w:val="right"/>
      <w:pPr>
        <w:ind w:left="5182" w:hanging="180"/>
      </w:pPr>
    </w:lvl>
    <w:lvl w:ilvl="6" w:tplc="0C0C000F" w:tentative="1">
      <w:start w:val="1"/>
      <w:numFmt w:val="decimal"/>
      <w:lvlText w:val="%7."/>
      <w:lvlJc w:val="left"/>
      <w:pPr>
        <w:ind w:left="5902" w:hanging="360"/>
      </w:pPr>
    </w:lvl>
    <w:lvl w:ilvl="7" w:tplc="0C0C0019" w:tentative="1">
      <w:start w:val="1"/>
      <w:numFmt w:val="lowerLetter"/>
      <w:lvlText w:val="%8."/>
      <w:lvlJc w:val="left"/>
      <w:pPr>
        <w:ind w:left="6622" w:hanging="360"/>
      </w:pPr>
    </w:lvl>
    <w:lvl w:ilvl="8" w:tplc="0C0C001B" w:tentative="1">
      <w:start w:val="1"/>
      <w:numFmt w:val="lowerRoman"/>
      <w:lvlText w:val="%9."/>
      <w:lvlJc w:val="right"/>
      <w:pPr>
        <w:ind w:left="7342" w:hanging="180"/>
      </w:pPr>
    </w:lvl>
  </w:abstractNum>
  <w:abstractNum w:abstractNumId="33" w15:restartNumberingAfterBreak="0">
    <w:nsid w:val="73D7529D"/>
    <w:multiLevelType w:val="hybridMultilevel"/>
    <w:tmpl w:val="28665D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4884476"/>
    <w:multiLevelType w:val="hybridMultilevel"/>
    <w:tmpl w:val="DCB82A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F750617"/>
    <w:multiLevelType w:val="hybridMultilevel"/>
    <w:tmpl w:val="98EAE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33"/>
  </w:num>
  <w:num w:numId="4">
    <w:abstractNumId w:val="18"/>
  </w:num>
  <w:num w:numId="5">
    <w:abstractNumId w:val="8"/>
  </w:num>
  <w:num w:numId="6">
    <w:abstractNumId w:val="30"/>
  </w:num>
  <w:num w:numId="7">
    <w:abstractNumId w:val="17"/>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1"/>
  </w:num>
  <w:num w:numId="11">
    <w:abstractNumId w:val="32"/>
  </w:num>
  <w:num w:numId="12">
    <w:abstractNumId w:val="16"/>
  </w:num>
  <w:num w:numId="13">
    <w:abstractNumId w:val="14"/>
  </w:num>
  <w:num w:numId="14">
    <w:abstractNumId w:val="3"/>
  </w:num>
  <w:num w:numId="15">
    <w:abstractNumId w:val="6"/>
  </w:num>
  <w:num w:numId="16">
    <w:abstractNumId w:val="24"/>
  </w:num>
  <w:num w:numId="17">
    <w:abstractNumId w:val="15"/>
  </w:num>
  <w:num w:numId="18">
    <w:abstractNumId w:val="4"/>
  </w:num>
  <w:num w:numId="19">
    <w:abstractNumId w:val="0"/>
  </w:num>
  <w:num w:numId="20">
    <w:abstractNumId w:val="26"/>
  </w:num>
  <w:num w:numId="21">
    <w:abstractNumId w:val="5"/>
  </w:num>
  <w:num w:numId="22">
    <w:abstractNumId w:val="27"/>
  </w:num>
  <w:num w:numId="23">
    <w:abstractNumId w:val="2"/>
  </w:num>
  <w:num w:numId="24">
    <w:abstractNumId w:val="34"/>
  </w:num>
  <w:num w:numId="25">
    <w:abstractNumId w:val="29"/>
  </w:num>
  <w:num w:numId="26">
    <w:abstractNumId w:val="28"/>
  </w:num>
  <w:num w:numId="27">
    <w:abstractNumId w:val="13"/>
  </w:num>
  <w:num w:numId="28">
    <w:abstractNumId w:val="21"/>
  </w:num>
  <w:num w:numId="29">
    <w:abstractNumId w:val="20"/>
  </w:num>
  <w:num w:numId="30">
    <w:abstractNumId w:val="22"/>
  </w:num>
  <w:num w:numId="31">
    <w:abstractNumId w:val="9"/>
  </w:num>
  <w:num w:numId="32">
    <w:abstractNumId w:val="10"/>
  </w:num>
  <w:num w:numId="33">
    <w:abstractNumId w:val="1"/>
  </w:num>
  <w:num w:numId="34">
    <w:abstractNumId w:val="12"/>
  </w:num>
  <w:num w:numId="35">
    <w:abstractNumId w:val="7"/>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F8"/>
    <w:rsid w:val="000008B2"/>
    <w:rsid w:val="000070C0"/>
    <w:rsid w:val="00014C26"/>
    <w:rsid w:val="00020BBE"/>
    <w:rsid w:val="00022153"/>
    <w:rsid w:val="00047851"/>
    <w:rsid w:val="0007355F"/>
    <w:rsid w:val="00073947"/>
    <w:rsid w:val="00075132"/>
    <w:rsid w:val="00087E6C"/>
    <w:rsid w:val="000937D1"/>
    <w:rsid w:val="00096B3E"/>
    <w:rsid w:val="000A0B6A"/>
    <w:rsid w:val="000C12E2"/>
    <w:rsid w:val="000D2445"/>
    <w:rsid w:val="000E450B"/>
    <w:rsid w:val="000F2C29"/>
    <w:rsid w:val="001066B5"/>
    <w:rsid w:val="00112794"/>
    <w:rsid w:val="00120BD7"/>
    <w:rsid w:val="0012547E"/>
    <w:rsid w:val="00127023"/>
    <w:rsid w:val="00130839"/>
    <w:rsid w:val="0013119B"/>
    <w:rsid w:val="0014037B"/>
    <w:rsid w:val="001412DC"/>
    <w:rsid w:val="0015785C"/>
    <w:rsid w:val="001630C6"/>
    <w:rsid w:val="00167C50"/>
    <w:rsid w:val="00180DFF"/>
    <w:rsid w:val="00192F15"/>
    <w:rsid w:val="00193F87"/>
    <w:rsid w:val="00196120"/>
    <w:rsid w:val="00196C02"/>
    <w:rsid w:val="001B06A2"/>
    <w:rsid w:val="001B7339"/>
    <w:rsid w:val="001C2BA6"/>
    <w:rsid w:val="001C739D"/>
    <w:rsid w:val="001C7C92"/>
    <w:rsid w:val="001D08CC"/>
    <w:rsid w:val="001E2687"/>
    <w:rsid w:val="001E2BA7"/>
    <w:rsid w:val="001E3D9E"/>
    <w:rsid w:val="001F2A17"/>
    <w:rsid w:val="00200CCD"/>
    <w:rsid w:val="00216A55"/>
    <w:rsid w:val="002361D5"/>
    <w:rsid w:val="00236EF7"/>
    <w:rsid w:val="002470F4"/>
    <w:rsid w:val="00250E48"/>
    <w:rsid w:val="002553CC"/>
    <w:rsid w:val="00266ED0"/>
    <w:rsid w:val="002848BB"/>
    <w:rsid w:val="0029336B"/>
    <w:rsid w:val="00293C1E"/>
    <w:rsid w:val="002B1973"/>
    <w:rsid w:val="002B4DE1"/>
    <w:rsid w:val="002B5274"/>
    <w:rsid w:val="002C2C9D"/>
    <w:rsid w:val="002D356B"/>
    <w:rsid w:val="00302B32"/>
    <w:rsid w:val="00306B88"/>
    <w:rsid w:val="00316358"/>
    <w:rsid w:val="003235A5"/>
    <w:rsid w:val="00336A92"/>
    <w:rsid w:val="00340820"/>
    <w:rsid w:val="00340C1E"/>
    <w:rsid w:val="003415D7"/>
    <w:rsid w:val="003456DE"/>
    <w:rsid w:val="003556CD"/>
    <w:rsid w:val="003603F1"/>
    <w:rsid w:val="00360E61"/>
    <w:rsid w:val="003803E0"/>
    <w:rsid w:val="0038506F"/>
    <w:rsid w:val="00392F94"/>
    <w:rsid w:val="003A43B0"/>
    <w:rsid w:val="003A4F50"/>
    <w:rsid w:val="003A6A0A"/>
    <w:rsid w:val="003C2E54"/>
    <w:rsid w:val="003C4832"/>
    <w:rsid w:val="003C543A"/>
    <w:rsid w:val="003D4F9C"/>
    <w:rsid w:val="003E0E7B"/>
    <w:rsid w:val="003E66E8"/>
    <w:rsid w:val="003E7374"/>
    <w:rsid w:val="003F40B9"/>
    <w:rsid w:val="0040623B"/>
    <w:rsid w:val="00412F0E"/>
    <w:rsid w:val="00421C5E"/>
    <w:rsid w:val="00433292"/>
    <w:rsid w:val="004344F3"/>
    <w:rsid w:val="00443C4E"/>
    <w:rsid w:val="0044767B"/>
    <w:rsid w:val="004476E0"/>
    <w:rsid w:val="00452301"/>
    <w:rsid w:val="00466D31"/>
    <w:rsid w:val="00470E45"/>
    <w:rsid w:val="00475379"/>
    <w:rsid w:val="0048598A"/>
    <w:rsid w:val="0049556E"/>
    <w:rsid w:val="00497FB1"/>
    <w:rsid w:val="004A0AAB"/>
    <w:rsid w:val="004B3EA1"/>
    <w:rsid w:val="004C2F9D"/>
    <w:rsid w:val="004D33DC"/>
    <w:rsid w:val="004E2CE8"/>
    <w:rsid w:val="004F6D01"/>
    <w:rsid w:val="0051046E"/>
    <w:rsid w:val="005139B4"/>
    <w:rsid w:val="00514A68"/>
    <w:rsid w:val="00514E49"/>
    <w:rsid w:val="0051615C"/>
    <w:rsid w:val="00535667"/>
    <w:rsid w:val="00544837"/>
    <w:rsid w:val="005479EA"/>
    <w:rsid w:val="0056666A"/>
    <w:rsid w:val="005B3E3B"/>
    <w:rsid w:val="005D26B9"/>
    <w:rsid w:val="005E2789"/>
    <w:rsid w:val="005F74BA"/>
    <w:rsid w:val="005F7B33"/>
    <w:rsid w:val="00604BF3"/>
    <w:rsid w:val="0061040F"/>
    <w:rsid w:val="00620E13"/>
    <w:rsid w:val="0062256A"/>
    <w:rsid w:val="00625F5A"/>
    <w:rsid w:val="006323DF"/>
    <w:rsid w:val="00637250"/>
    <w:rsid w:val="006510DE"/>
    <w:rsid w:val="00660172"/>
    <w:rsid w:val="00667618"/>
    <w:rsid w:val="006841AB"/>
    <w:rsid w:val="00686FBF"/>
    <w:rsid w:val="00692DCF"/>
    <w:rsid w:val="006940EC"/>
    <w:rsid w:val="006961E5"/>
    <w:rsid w:val="00697EF1"/>
    <w:rsid w:val="006A7C65"/>
    <w:rsid w:val="006B29A2"/>
    <w:rsid w:val="006E0381"/>
    <w:rsid w:val="006E06E8"/>
    <w:rsid w:val="006E55FC"/>
    <w:rsid w:val="006F581C"/>
    <w:rsid w:val="007141DB"/>
    <w:rsid w:val="00721ED2"/>
    <w:rsid w:val="007263BB"/>
    <w:rsid w:val="00744C9F"/>
    <w:rsid w:val="007544AE"/>
    <w:rsid w:val="00756010"/>
    <w:rsid w:val="00772F43"/>
    <w:rsid w:val="00776AAD"/>
    <w:rsid w:val="007854E6"/>
    <w:rsid w:val="00787047"/>
    <w:rsid w:val="0079165A"/>
    <w:rsid w:val="007A1686"/>
    <w:rsid w:val="007B012E"/>
    <w:rsid w:val="007B7CCE"/>
    <w:rsid w:val="007C6567"/>
    <w:rsid w:val="007D10E5"/>
    <w:rsid w:val="007D60A6"/>
    <w:rsid w:val="007F028E"/>
    <w:rsid w:val="007F2E33"/>
    <w:rsid w:val="0080448B"/>
    <w:rsid w:val="00804C52"/>
    <w:rsid w:val="00811983"/>
    <w:rsid w:val="008135DB"/>
    <w:rsid w:val="00817DB1"/>
    <w:rsid w:val="0083535F"/>
    <w:rsid w:val="008363BE"/>
    <w:rsid w:val="00837AAA"/>
    <w:rsid w:val="00844387"/>
    <w:rsid w:val="008477AD"/>
    <w:rsid w:val="008501A9"/>
    <w:rsid w:val="00852354"/>
    <w:rsid w:val="008603F1"/>
    <w:rsid w:val="00876B11"/>
    <w:rsid w:val="0088105B"/>
    <w:rsid w:val="00883546"/>
    <w:rsid w:val="0089475E"/>
    <w:rsid w:val="008A0654"/>
    <w:rsid w:val="008A1B58"/>
    <w:rsid w:val="008A6BE3"/>
    <w:rsid w:val="008B454F"/>
    <w:rsid w:val="008C02AE"/>
    <w:rsid w:val="008C4E54"/>
    <w:rsid w:val="008D3D4F"/>
    <w:rsid w:val="008E040F"/>
    <w:rsid w:val="008E2207"/>
    <w:rsid w:val="008E7A00"/>
    <w:rsid w:val="008F3D11"/>
    <w:rsid w:val="008F7598"/>
    <w:rsid w:val="009104B5"/>
    <w:rsid w:val="009167F8"/>
    <w:rsid w:val="00940E32"/>
    <w:rsid w:val="009604A8"/>
    <w:rsid w:val="00961723"/>
    <w:rsid w:val="0096336D"/>
    <w:rsid w:val="009647D1"/>
    <w:rsid w:val="00972825"/>
    <w:rsid w:val="00987832"/>
    <w:rsid w:val="009A2851"/>
    <w:rsid w:val="009A4E84"/>
    <w:rsid w:val="009A6A6F"/>
    <w:rsid w:val="009C1771"/>
    <w:rsid w:val="009C215C"/>
    <w:rsid w:val="009C2EF0"/>
    <w:rsid w:val="009D2750"/>
    <w:rsid w:val="009D6A27"/>
    <w:rsid w:val="009E269E"/>
    <w:rsid w:val="009E279B"/>
    <w:rsid w:val="009E7735"/>
    <w:rsid w:val="00A07FBE"/>
    <w:rsid w:val="00A117E9"/>
    <w:rsid w:val="00A17FF1"/>
    <w:rsid w:val="00A24049"/>
    <w:rsid w:val="00A252E8"/>
    <w:rsid w:val="00A26B79"/>
    <w:rsid w:val="00A31F5D"/>
    <w:rsid w:val="00A37BB0"/>
    <w:rsid w:val="00A40F30"/>
    <w:rsid w:val="00A43560"/>
    <w:rsid w:val="00A44FB8"/>
    <w:rsid w:val="00A46292"/>
    <w:rsid w:val="00A84DCC"/>
    <w:rsid w:val="00A96B24"/>
    <w:rsid w:val="00AA14C1"/>
    <w:rsid w:val="00AA2A8C"/>
    <w:rsid w:val="00AA731E"/>
    <w:rsid w:val="00AB4040"/>
    <w:rsid w:val="00AC2083"/>
    <w:rsid w:val="00AC3217"/>
    <w:rsid w:val="00AC4826"/>
    <w:rsid w:val="00AD7251"/>
    <w:rsid w:val="00AE1BB7"/>
    <w:rsid w:val="00AF1140"/>
    <w:rsid w:val="00B10ADD"/>
    <w:rsid w:val="00B10C6E"/>
    <w:rsid w:val="00B37583"/>
    <w:rsid w:val="00B43D1F"/>
    <w:rsid w:val="00B44DFC"/>
    <w:rsid w:val="00B462BF"/>
    <w:rsid w:val="00B46800"/>
    <w:rsid w:val="00B536DB"/>
    <w:rsid w:val="00B56073"/>
    <w:rsid w:val="00B57908"/>
    <w:rsid w:val="00B62344"/>
    <w:rsid w:val="00B775A7"/>
    <w:rsid w:val="00B83A6D"/>
    <w:rsid w:val="00B917A6"/>
    <w:rsid w:val="00BA7577"/>
    <w:rsid w:val="00BB147B"/>
    <w:rsid w:val="00C26E6F"/>
    <w:rsid w:val="00C3046C"/>
    <w:rsid w:val="00C43D7E"/>
    <w:rsid w:val="00C44E10"/>
    <w:rsid w:val="00C46246"/>
    <w:rsid w:val="00C53307"/>
    <w:rsid w:val="00C61B58"/>
    <w:rsid w:val="00C631E9"/>
    <w:rsid w:val="00C65C67"/>
    <w:rsid w:val="00C74AD9"/>
    <w:rsid w:val="00C90121"/>
    <w:rsid w:val="00C9154A"/>
    <w:rsid w:val="00C93AAC"/>
    <w:rsid w:val="00C97C6F"/>
    <w:rsid w:val="00CA5718"/>
    <w:rsid w:val="00CA7AAF"/>
    <w:rsid w:val="00CC0329"/>
    <w:rsid w:val="00CC6F26"/>
    <w:rsid w:val="00CE2C27"/>
    <w:rsid w:val="00CF3C8D"/>
    <w:rsid w:val="00CF40FD"/>
    <w:rsid w:val="00CF6CC9"/>
    <w:rsid w:val="00D01718"/>
    <w:rsid w:val="00D0264B"/>
    <w:rsid w:val="00D24BA9"/>
    <w:rsid w:val="00D27F60"/>
    <w:rsid w:val="00D30127"/>
    <w:rsid w:val="00D365CC"/>
    <w:rsid w:val="00D36AC4"/>
    <w:rsid w:val="00D37809"/>
    <w:rsid w:val="00D41E45"/>
    <w:rsid w:val="00D45666"/>
    <w:rsid w:val="00D632BE"/>
    <w:rsid w:val="00D7244E"/>
    <w:rsid w:val="00D729CC"/>
    <w:rsid w:val="00DA5182"/>
    <w:rsid w:val="00DA7270"/>
    <w:rsid w:val="00DC23AB"/>
    <w:rsid w:val="00DD506B"/>
    <w:rsid w:val="00DE0D5B"/>
    <w:rsid w:val="00DE4A9F"/>
    <w:rsid w:val="00E0355A"/>
    <w:rsid w:val="00E0416D"/>
    <w:rsid w:val="00E218C1"/>
    <w:rsid w:val="00E25618"/>
    <w:rsid w:val="00E30A59"/>
    <w:rsid w:val="00E32773"/>
    <w:rsid w:val="00E331FD"/>
    <w:rsid w:val="00E40307"/>
    <w:rsid w:val="00E40479"/>
    <w:rsid w:val="00E41ED5"/>
    <w:rsid w:val="00E45C31"/>
    <w:rsid w:val="00E552FB"/>
    <w:rsid w:val="00E61CCB"/>
    <w:rsid w:val="00E65E29"/>
    <w:rsid w:val="00E73155"/>
    <w:rsid w:val="00EA07B4"/>
    <w:rsid w:val="00EA470A"/>
    <w:rsid w:val="00EB175A"/>
    <w:rsid w:val="00EC1BA1"/>
    <w:rsid w:val="00EC381D"/>
    <w:rsid w:val="00EC6D2E"/>
    <w:rsid w:val="00EC77FD"/>
    <w:rsid w:val="00ED1718"/>
    <w:rsid w:val="00ED2B17"/>
    <w:rsid w:val="00ED58CC"/>
    <w:rsid w:val="00ED6A34"/>
    <w:rsid w:val="00EE4F80"/>
    <w:rsid w:val="00EF7085"/>
    <w:rsid w:val="00EF7DD5"/>
    <w:rsid w:val="00F00562"/>
    <w:rsid w:val="00F02351"/>
    <w:rsid w:val="00F03F4C"/>
    <w:rsid w:val="00F1202A"/>
    <w:rsid w:val="00F14023"/>
    <w:rsid w:val="00F33E26"/>
    <w:rsid w:val="00F5092D"/>
    <w:rsid w:val="00F5426C"/>
    <w:rsid w:val="00F6480A"/>
    <w:rsid w:val="00F677D8"/>
    <w:rsid w:val="00F82C9D"/>
    <w:rsid w:val="00F919EE"/>
    <w:rsid w:val="00F96A40"/>
    <w:rsid w:val="00FA09D4"/>
    <w:rsid w:val="00FA6F61"/>
    <w:rsid w:val="00FB7F99"/>
    <w:rsid w:val="00FC2000"/>
    <w:rsid w:val="00FD771D"/>
    <w:rsid w:val="00FE20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CF61"/>
  <w15:chartTrackingRefBased/>
  <w15:docId w15:val="{3218C8CC-ACDA-4E5E-B854-90F6D9F35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7F8"/>
    <w:rPr>
      <w:lang w:val="en-US"/>
    </w:rPr>
  </w:style>
  <w:style w:type="paragraph" w:styleId="Heading1">
    <w:name w:val="heading 1"/>
    <w:basedOn w:val="Normal"/>
    <w:next w:val="Normal"/>
    <w:link w:val="Heading1Char"/>
    <w:uiPriority w:val="9"/>
    <w:qFormat/>
    <w:rsid w:val="00916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167F8"/>
    <w:pPr>
      <w:keepNext/>
      <w:spacing w:after="0" w:line="240" w:lineRule="auto"/>
      <w:jc w:val="both"/>
      <w:outlineLvl w:val="1"/>
    </w:pPr>
    <w:rPr>
      <w:rFonts w:ascii="Garamond" w:eastAsia="Times New Roman" w:hAnsi="Garamond" w:cs="Times New Roman"/>
      <w:b/>
      <w:bCs/>
      <w:color w:val="333399"/>
      <w:sz w:val="28"/>
      <w:szCs w:val="24"/>
      <w:lang w:eastAsia="fr-FR"/>
    </w:rPr>
  </w:style>
  <w:style w:type="paragraph" w:styleId="Heading3">
    <w:name w:val="heading 3"/>
    <w:basedOn w:val="Normal"/>
    <w:next w:val="Normal"/>
    <w:link w:val="Heading3Char"/>
    <w:qFormat/>
    <w:rsid w:val="009167F8"/>
    <w:pPr>
      <w:keepNext/>
      <w:spacing w:before="240" w:after="60" w:line="360" w:lineRule="auto"/>
      <w:jc w:val="both"/>
      <w:outlineLvl w:val="2"/>
    </w:pPr>
    <w:rPr>
      <w:rFonts w:ascii="Garamond" w:eastAsia="Times New Roman" w:hAnsi="Garamond" w:cs="Arial"/>
      <w:b/>
      <w:bCs/>
      <w:color w:val="666699"/>
      <w:sz w:val="26"/>
      <w:szCs w:val="26"/>
    </w:rPr>
  </w:style>
  <w:style w:type="paragraph" w:styleId="Heading4">
    <w:name w:val="heading 4"/>
    <w:basedOn w:val="Normal"/>
    <w:next w:val="Normal"/>
    <w:link w:val="Heading4Char"/>
    <w:qFormat/>
    <w:rsid w:val="009167F8"/>
    <w:pPr>
      <w:keepNext/>
      <w:spacing w:before="240" w:after="60" w:line="360" w:lineRule="auto"/>
      <w:jc w:val="both"/>
      <w:outlineLvl w:val="3"/>
    </w:pPr>
    <w:rPr>
      <w:rFonts w:ascii="Garamond" w:eastAsia="Times New Roman" w:hAnsi="Garamond" w:cs="Times New Roman"/>
      <w:b/>
      <w:bCs/>
      <w:i/>
      <w:color w:val="339966"/>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7F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9167F8"/>
    <w:rPr>
      <w:rFonts w:ascii="Garamond" w:eastAsia="Times New Roman" w:hAnsi="Garamond" w:cs="Times New Roman"/>
      <w:b/>
      <w:bCs/>
      <w:color w:val="333399"/>
      <w:sz w:val="28"/>
      <w:szCs w:val="24"/>
      <w:lang w:val="en-US" w:eastAsia="fr-FR"/>
    </w:rPr>
  </w:style>
  <w:style w:type="character" w:customStyle="1" w:styleId="Heading3Char">
    <w:name w:val="Heading 3 Char"/>
    <w:basedOn w:val="DefaultParagraphFont"/>
    <w:link w:val="Heading3"/>
    <w:rsid w:val="009167F8"/>
    <w:rPr>
      <w:rFonts w:ascii="Garamond" w:eastAsia="Times New Roman" w:hAnsi="Garamond" w:cs="Arial"/>
      <w:b/>
      <w:bCs/>
      <w:color w:val="666699"/>
      <w:sz w:val="26"/>
      <w:szCs w:val="26"/>
      <w:lang w:val="en-US"/>
    </w:rPr>
  </w:style>
  <w:style w:type="character" w:customStyle="1" w:styleId="Heading4Char">
    <w:name w:val="Heading 4 Char"/>
    <w:basedOn w:val="DefaultParagraphFont"/>
    <w:link w:val="Heading4"/>
    <w:rsid w:val="009167F8"/>
    <w:rPr>
      <w:rFonts w:ascii="Garamond" w:eastAsia="Times New Roman" w:hAnsi="Garamond" w:cs="Times New Roman"/>
      <w:b/>
      <w:bCs/>
      <w:i/>
      <w:color w:val="339966"/>
      <w:sz w:val="24"/>
      <w:szCs w:val="28"/>
      <w:lang w:val="en-US"/>
    </w:rPr>
  </w:style>
  <w:style w:type="paragraph" w:styleId="ListParagraph">
    <w:name w:val="List Paragraph"/>
    <w:aliases w:val="Bullet Points,Paragraphe de liste1,Bullet Number,lp1,Texte-Nelite,Liste à puce - Normal,Bullet List,FooterText,numbered,List Paragraph11,Bulletr List Paragraph,列出段落,列出段落1,List Paragraph2,List Paragraph21,Listeafsnit1,List Paragraph1"/>
    <w:basedOn w:val="Normal"/>
    <w:link w:val="ListParagraphChar"/>
    <w:uiPriority w:val="34"/>
    <w:qFormat/>
    <w:rsid w:val="009167F8"/>
    <w:pPr>
      <w:ind w:left="720"/>
      <w:contextualSpacing/>
    </w:pPr>
  </w:style>
  <w:style w:type="character" w:styleId="Emphasis">
    <w:name w:val="Emphasis"/>
    <w:basedOn w:val="DefaultParagraphFont"/>
    <w:uiPriority w:val="20"/>
    <w:qFormat/>
    <w:rsid w:val="009167F8"/>
    <w:rPr>
      <w:i/>
      <w:iCs/>
    </w:rPr>
  </w:style>
  <w:style w:type="paragraph" w:styleId="FootnoteText">
    <w:name w:val="footnote text"/>
    <w:basedOn w:val="Normal"/>
    <w:link w:val="FootnoteTextChar"/>
    <w:uiPriority w:val="99"/>
    <w:unhideWhenUsed/>
    <w:rsid w:val="009167F8"/>
    <w:pPr>
      <w:spacing w:after="0" w:line="240" w:lineRule="auto"/>
    </w:pPr>
    <w:rPr>
      <w:sz w:val="20"/>
      <w:szCs w:val="20"/>
    </w:rPr>
  </w:style>
  <w:style w:type="character" w:customStyle="1" w:styleId="FootnoteTextChar">
    <w:name w:val="Footnote Text Char"/>
    <w:basedOn w:val="DefaultParagraphFont"/>
    <w:link w:val="FootnoteText"/>
    <w:uiPriority w:val="99"/>
    <w:rsid w:val="009167F8"/>
    <w:rPr>
      <w:sz w:val="20"/>
      <w:szCs w:val="20"/>
      <w:lang w:val="en-US"/>
    </w:rPr>
  </w:style>
  <w:style w:type="character" w:styleId="FootnoteReference">
    <w:name w:val="footnote reference"/>
    <w:basedOn w:val="DefaultParagraphFont"/>
    <w:uiPriority w:val="99"/>
    <w:semiHidden/>
    <w:unhideWhenUsed/>
    <w:rsid w:val="009167F8"/>
    <w:rPr>
      <w:vertAlign w:val="superscript"/>
    </w:rPr>
  </w:style>
  <w:style w:type="paragraph" w:styleId="BodyText">
    <w:name w:val="Body Text"/>
    <w:basedOn w:val="Normal"/>
    <w:link w:val="BodyTextChar"/>
    <w:rsid w:val="009167F8"/>
    <w:pPr>
      <w:spacing w:after="0" w:line="360" w:lineRule="auto"/>
      <w:jc w:val="both"/>
    </w:pPr>
    <w:rPr>
      <w:rFonts w:ascii="Garamond" w:eastAsia="Times New Roman" w:hAnsi="Garamond" w:cs="Times New Roman"/>
      <w:sz w:val="24"/>
      <w:szCs w:val="24"/>
      <w:lang w:eastAsia="fr-FR"/>
    </w:rPr>
  </w:style>
  <w:style w:type="character" w:customStyle="1" w:styleId="BodyTextChar">
    <w:name w:val="Body Text Char"/>
    <w:basedOn w:val="DefaultParagraphFont"/>
    <w:link w:val="BodyText"/>
    <w:rsid w:val="009167F8"/>
    <w:rPr>
      <w:rFonts w:ascii="Garamond" w:eastAsia="Times New Roman" w:hAnsi="Garamond" w:cs="Times New Roman"/>
      <w:sz w:val="24"/>
      <w:szCs w:val="24"/>
      <w:lang w:val="en-US" w:eastAsia="fr-FR"/>
    </w:rPr>
  </w:style>
  <w:style w:type="paragraph" w:customStyle="1" w:styleId="textelamarge">
    <w:name w:val="textelamarge"/>
    <w:basedOn w:val="Normal"/>
    <w:rsid w:val="009167F8"/>
    <w:pPr>
      <w:spacing w:after="0" w:line="360" w:lineRule="auto"/>
      <w:jc w:val="both"/>
    </w:pPr>
    <w:rPr>
      <w:rFonts w:ascii="Courier_R8" w:eastAsia="Times New Roman" w:hAnsi="Courier_R8" w:cs="Times New Roman"/>
      <w:sz w:val="24"/>
      <w:szCs w:val="24"/>
      <w:lang w:eastAsia="fr-FR"/>
    </w:rPr>
  </w:style>
  <w:style w:type="paragraph" w:styleId="BodyText3">
    <w:name w:val="Body Text 3"/>
    <w:basedOn w:val="Normal"/>
    <w:link w:val="BodyText3Char"/>
    <w:rsid w:val="009167F8"/>
    <w:pPr>
      <w:spacing w:after="120" w:line="360" w:lineRule="auto"/>
      <w:jc w:val="both"/>
    </w:pPr>
    <w:rPr>
      <w:rFonts w:ascii="Garamond" w:eastAsia="Times New Roman" w:hAnsi="Garamond" w:cs="Times New Roman"/>
      <w:sz w:val="16"/>
      <w:szCs w:val="16"/>
    </w:rPr>
  </w:style>
  <w:style w:type="character" w:customStyle="1" w:styleId="BodyText3Char">
    <w:name w:val="Body Text 3 Char"/>
    <w:basedOn w:val="DefaultParagraphFont"/>
    <w:link w:val="BodyText3"/>
    <w:rsid w:val="009167F8"/>
    <w:rPr>
      <w:rFonts w:ascii="Garamond" w:eastAsia="Times New Roman" w:hAnsi="Garamond" w:cs="Times New Roman"/>
      <w:sz w:val="16"/>
      <w:szCs w:val="16"/>
      <w:lang w:val="en-US"/>
    </w:rPr>
  </w:style>
  <w:style w:type="paragraph" w:customStyle="1" w:styleId="font6">
    <w:name w:val="font6"/>
    <w:basedOn w:val="Normal"/>
    <w:rsid w:val="009167F8"/>
    <w:pPr>
      <w:spacing w:before="100" w:after="100" w:line="360" w:lineRule="auto"/>
      <w:jc w:val="both"/>
    </w:pPr>
    <w:rPr>
      <w:rFonts w:ascii="Arial" w:eastAsia="Arial Unicode MS" w:hAnsi="Arial" w:cs="Arial"/>
      <w:sz w:val="24"/>
      <w:szCs w:val="24"/>
      <w:lang w:eastAsia="fr-FR"/>
    </w:rPr>
  </w:style>
  <w:style w:type="paragraph" w:customStyle="1" w:styleId="xl25">
    <w:name w:val="xl25"/>
    <w:basedOn w:val="Normal"/>
    <w:rsid w:val="009167F8"/>
    <w:pPr>
      <w:spacing w:before="100" w:after="100" w:line="360" w:lineRule="auto"/>
      <w:jc w:val="both"/>
    </w:pPr>
    <w:rPr>
      <w:rFonts w:ascii="Arial" w:eastAsia="Arial Unicode MS" w:hAnsi="Arial" w:cs="Arial"/>
      <w:sz w:val="24"/>
      <w:szCs w:val="24"/>
      <w:u w:val="single"/>
      <w:lang w:eastAsia="fr-FR"/>
    </w:rPr>
  </w:style>
  <w:style w:type="paragraph" w:customStyle="1" w:styleId="StyleTitre4TimesNewRoman14pt">
    <w:name w:val="Style Titre 4 + Times New Roman 14 pt"/>
    <w:basedOn w:val="Heading4"/>
    <w:rsid w:val="009167F8"/>
    <w:rPr>
      <w:iCs/>
    </w:rPr>
  </w:style>
  <w:style w:type="paragraph" w:styleId="Header">
    <w:name w:val="header"/>
    <w:basedOn w:val="Normal"/>
    <w:link w:val="HeaderChar"/>
    <w:uiPriority w:val="99"/>
    <w:unhideWhenUsed/>
    <w:rsid w:val="009167F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67F8"/>
    <w:rPr>
      <w:lang w:val="en-US"/>
    </w:rPr>
  </w:style>
  <w:style w:type="paragraph" w:styleId="Footer">
    <w:name w:val="footer"/>
    <w:basedOn w:val="Normal"/>
    <w:link w:val="FooterChar"/>
    <w:uiPriority w:val="99"/>
    <w:unhideWhenUsed/>
    <w:rsid w:val="009167F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67F8"/>
    <w:rPr>
      <w:lang w:val="en-US"/>
    </w:rPr>
  </w:style>
  <w:style w:type="paragraph" w:styleId="Caption">
    <w:name w:val="caption"/>
    <w:basedOn w:val="Normal"/>
    <w:next w:val="Normal"/>
    <w:uiPriority w:val="35"/>
    <w:unhideWhenUsed/>
    <w:qFormat/>
    <w:rsid w:val="009167F8"/>
    <w:pPr>
      <w:spacing w:after="200" w:line="240" w:lineRule="auto"/>
    </w:pPr>
    <w:rPr>
      <w:i/>
      <w:iCs/>
      <w:color w:val="44546A" w:themeColor="text2"/>
      <w:sz w:val="18"/>
      <w:szCs w:val="18"/>
    </w:rPr>
  </w:style>
  <w:style w:type="character" w:styleId="Hyperlink">
    <w:name w:val="Hyperlink"/>
    <w:basedOn w:val="DefaultParagraphFont"/>
    <w:uiPriority w:val="99"/>
    <w:unhideWhenUsed/>
    <w:rsid w:val="009167F8"/>
    <w:rPr>
      <w:color w:val="0563C1" w:themeColor="hyperlink"/>
      <w:u w:val="single"/>
    </w:rPr>
  </w:style>
  <w:style w:type="character" w:customStyle="1" w:styleId="Mentionnonrsolue1">
    <w:name w:val="Mention non résolue1"/>
    <w:basedOn w:val="DefaultParagraphFont"/>
    <w:uiPriority w:val="99"/>
    <w:semiHidden/>
    <w:unhideWhenUsed/>
    <w:rsid w:val="009167F8"/>
    <w:rPr>
      <w:color w:val="605E5C"/>
      <w:shd w:val="clear" w:color="auto" w:fill="E1DFDD"/>
    </w:rPr>
  </w:style>
  <w:style w:type="character" w:customStyle="1" w:styleId="kgnlhe">
    <w:name w:val="kgnlhe"/>
    <w:basedOn w:val="DefaultParagraphFont"/>
    <w:rsid w:val="009167F8"/>
  </w:style>
  <w:style w:type="character" w:customStyle="1" w:styleId="markedcontent">
    <w:name w:val="markedcontent"/>
    <w:basedOn w:val="DefaultParagraphFont"/>
    <w:rsid w:val="009167F8"/>
  </w:style>
  <w:style w:type="character" w:customStyle="1" w:styleId="highlight">
    <w:name w:val="highlight"/>
    <w:basedOn w:val="DefaultParagraphFont"/>
    <w:rsid w:val="009167F8"/>
  </w:style>
  <w:style w:type="table" w:styleId="TableGrid">
    <w:name w:val="Table Grid"/>
    <w:basedOn w:val="TableNormal"/>
    <w:uiPriority w:val="39"/>
    <w:rsid w:val="00916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9167F8"/>
  </w:style>
  <w:style w:type="paragraph" w:styleId="BalloonText">
    <w:name w:val="Balloon Text"/>
    <w:basedOn w:val="Normal"/>
    <w:link w:val="BalloonTextChar"/>
    <w:uiPriority w:val="99"/>
    <w:semiHidden/>
    <w:unhideWhenUsed/>
    <w:rsid w:val="009167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7F8"/>
    <w:rPr>
      <w:rFonts w:ascii="Segoe UI" w:hAnsi="Segoe UI" w:cs="Segoe UI"/>
      <w:sz w:val="18"/>
      <w:szCs w:val="18"/>
      <w:lang w:val="en-US"/>
    </w:rPr>
  </w:style>
  <w:style w:type="character" w:customStyle="1" w:styleId="ListParagraphChar">
    <w:name w:val="List Paragraph Char"/>
    <w:aliases w:val="Bullet Points Char,Paragraphe de liste1 Char,Bullet Number Char,lp1 Char,Texte-Nelite Char,Liste à puce - Normal Char,Bullet List Char,FooterText Char,numbered Char,List Paragraph11 Char,Bulletr List Paragraph Char,列出段落 Char"/>
    <w:link w:val="ListParagraph"/>
    <w:uiPriority w:val="34"/>
    <w:locked/>
    <w:rsid w:val="009167F8"/>
    <w:rPr>
      <w:lang w:val="en-US"/>
    </w:rPr>
  </w:style>
  <w:style w:type="paragraph" w:styleId="NormalWeb">
    <w:name w:val="Normal (Web)"/>
    <w:basedOn w:val="Normal"/>
    <w:uiPriority w:val="99"/>
    <w:semiHidden/>
    <w:unhideWhenUsed/>
    <w:rsid w:val="009167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9167F8"/>
    <w:rPr>
      <w:b/>
      <w:bCs/>
    </w:rPr>
  </w:style>
  <w:style w:type="character" w:styleId="CommentReference">
    <w:name w:val="annotation reference"/>
    <w:basedOn w:val="DefaultParagraphFont"/>
    <w:uiPriority w:val="99"/>
    <w:semiHidden/>
    <w:unhideWhenUsed/>
    <w:rsid w:val="009167F8"/>
    <w:rPr>
      <w:sz w:val="16"/>
      <w:szCs w:val="16"/>
    </w:rPr>
  </w:style>
  <w:style w:type="paragraph" w:styleId="CommentText">
    <w:name w:val="annotation text"/>
    <w:basedOn w:val="Normal"/>
    <w:link w:val="CommentTextChar"/>
    <w:uiPriority w:val="99"/>
    <w:unhideWhenUsed/>
    <w:rsid w:val="009167F8"/>
    <w:pPr>
      <w:spacing w:line="240" w:lineRule="auto"/>
    </w:pPr>
    <w:rPr>
      <w:sz w:val="20"/>
      <w:szCs w:val="20"/>
    </w:rPr>
  </w:style>
  <w:style w:type="character" w:customStyle="1" w:styleId="CommentTextChar">
    <w:name w:val="Comment Text Char"/>
    <w:basedOn w:val="DefaultParagraphFont"/>
    <w:link w:val="CommentText"/>
    <w:uiPriority w:val="99"/>
    <w:rsid w:val="009167F8"/>
    <w:rPr>
      <w:sz w:val="20"/>
      <w:szCs w:val="20"/>
      <w:lang w:val="en-US"/>
    </w:rPr>
  </w:style>
  <w:style w:type="paragraph" w:styleId="CommentSubject">
    <w:name w:val="annotation subject"/>
    <w:basedOn w:val="CommentText"/>
    <w:next w:val="CommentText"/>
    <w:link w:val="CommentSubjectChar"/>
    <w:uiPriority w:val="99"/>
    <w:semiHidden/>
    <w:unhideWhenUsed/>
    <w:rsid w:val="009167F8"/>
    <w:rPr>
      <w:b/>
      <w:bCs/>
    </w:rPr>
  </w:style>
  <w:style w:type="character" w:customStyle="1" w:styleId="CommentSubjectChar">
    <w:name w:val="Comment Subject Char"/>
    <w:basedOn w:val="CommentTextChar"/>
    <w:link w:val="CommentSubject"/>
    <w:uiPriority w:val="99"/>
    <w:semiHidden/>
    <w:rsid w:val="009167F8"/>
    <w:rPr>
      <w:b/>
      <w:bCs/>
      <w:sz w:val="20"/>
      <w:szCs w:val="20"/>
      <w:lang w:val="en-US"/>
    </w:rPr>
  </w:style>
  <w:style w:type="paragraph" w:styleId="Revision">
    <w:name w:val="Revision"/>
    <w:hidden/>
    <w:uiPriority w:val="99"/>
    <w:semiHidden/>
    <w:rsid w:val="009167F8"/>
    <w:pPr>
      <w:spacing w:after="0" w:line="240" w:lineRule="auto"/>
    </w:pPr>
    <w:rPr>
      <w:lang w:val="en-US"/>
    </w:rPr>
  </w:style>
  <w:style w:type="character" w:styleId="UnresolvedMention">
    <w:name w:val="Unresolved Mention"/>
    <w:basedOn w:val="DefaultParagraphFont"/>
    <w:uiPriority w:val="99"/>
    <w:semiHidden/>
    <w:unhideWhenUsed/>
    <w:rsid w:val="008363BE"/>
    <w:rPr>
      <w:color w:val="605E5C"/>
      <w:shd w:val="clear" w:color="auto" w:fill="E1DFDD"/>
    </w:rPr>
  </w:style>
  <w:style w:type="paragraph" w:customStyle="1" w:styleId="facet-list-item">
    <w:name w:val="facet-list-item"/>
    <w:basedOn w:val="Normal"/>
    <w:rsid w:val="0054483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earch-results-item">
    <w:name w:val="search-results-item"/>
    <w:basedOn w:val="Normal"/>
    <w:rsid w:val="0054483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path">
    <w:name w:val="path"/>
    <w:basedOn w:val="DefaultParagraphFont"/>
    <w:rsid w:val="00544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608411">
      <w:bodyDiv w:val="1"/>
      <w:marLeft w:val="0"/>
      <w:marRight w:val="0"/>
      <w:marTop w:val="0"/>
      <w:marBottom w:val="0"/>
      <w:divBdr>
        <w:top w:val="none" w:sz="0" w:space="0" w:color="auto"/>
        <w:left w:val="none" w:sz="0" w:space="0" w:color="auto"/>
        <w:bottom w:val="none" w:sz="0" w:space="0" w:color="auto"/>
        <w:right w:val="none" w:sz="0" w:space="0" w:color="auto"/>
      </w:divBdr>
      <w:divsChild>
        <w:div w:id="1254317223">
          <w:marLeft w:val="0"/>
          <w:marRight w:val="0"/>
          <w:marTop w:val="0"/>
          <w:marBottom w:val="0"/>
          <w:divBdr>
            <w:top w:val="none" w:sz="0" w:space="0" w:color="auto"/>
            <w:left w:val="none" w:sz="0" w:space="0" w:color="auto"/>
            <w:bottom w:val="none" w:sz="0" w:space="0" w:color="auto"/>
            <w:right w:val="none" w:sz="0" w:space="0" w:color="auto"/>
          </w:divBdr>
        </w:div>
      </w:divsChild>
    </w:div>
    <w:div w:id="667172127">
      <w:bodyDiv w:val="1"/>
      <w:marLeft w:val="0"/>
      <w:marRight w:val="0"/>
      <w:marTop w:val="0"/>
      <w:marBottom w:val="0"/>
      <w:divBdr>
        <w:top w:val="none" w:sz="0" w:space="0" w:color="auto"/>
        <w:left w:val="none" w:sz="0" w:space="0" w:color="auto"/>
        <w:bottom w:val="none" w:sz="0" w:space="0" w:color="auto"/>
        <w:right w:val="none" w:sz="0" w:space="0" w:color="auto"/>
      </w:divBdr>
      <w:divsChild>
        <w:div w:id="1227183434">
          <w:marLeft w:val="150"/>
          <w:marRight w:val="150"/>
          <w:marTop w:val="0"/>
          <w:marBottom w:val="225"/>
          <w:divBdr>
            <w:top w:val="none" w:sz="0" w:space="0" w:color="auto"/>
            <w:left w:val="none" w:sz="0" w:space="0" w:color="auto"/>
            <w:bottom w:val="none" w:sz="0" w:space="0" w:color="auto"/>
            <w:right w:val="none" w:sz="0" w:space="0" w:color="auto"/>
          </w:divBdr>
        </w:div>
        <w:div w:id="347873636">
          <w:marLeft w:val="150"/>
          <w:marRight w:val="150"/>
          <w:marTop w:val="0"/>
          <w:marBottom w:val="0"/>
          <w:divBdr>
            <w:top w:val="none" w:sz="0" w:space="0" w:color="auto"/>
            <w:left w:val="none" w:sz="0" w:space="0" w:color="auto"/>
            <w:bottom w:val="none" w:sz="0" w:space="0" w:color="auto"/>
            <w:right w:val="none" w:sz="0" w:space="0" w:color="auto"/>
          </w:divBdr>
          <w:divsChild>
            <w:div w:id="1143080701">
              <w:marLeft w:val="0"/>
              <w:marRight w:val="0"/>
              <w:marTop w:val="0"/>
              <w:marBottom w:val="0"/>
              <w:divBdr>
                <w:top w:val="none" w:sz="0" w:space="0" w:color="auto"/>
                <w:left w:val="none" w:sz="0" w:space="0" w:color="auto"/>
                <w:bottom w:val="none" w:sz="0" w:space="0" w:color="auto"/>
                <w:right w:val="none" w:sz="0" w:space="0" w:color="auto"/>
              </w:divBdr>
            </w:div>
          </w:divsChild>
        </w:div>
        <w:div w:id="920217495">
          <w:marLeft w:val="150"/>
          <w:marRight w:val="150"/>
          <w:marTop w:val="0"/>
          <w:marBottom w:val="0"/>
          <w:divBdr>
            <w:top w:val="none" w:sz="0" w:space="0" w:color="auto"/>
            <w:left w:val="none" w:sz="0" w:space="0" w:color="auto"/>
            <w:bottom w:val="none" w:sz="0" w:space="0" w:color="auto"/>
            <w:right w:val="none" w:sz="0" w:space="0" w:color="auto"/>
          </w:divBdr>
          <w:divsChild>
            <w:div w:id="14890883">
              <w:marLeft w:val="0"/>
              <w:marRight w:val="0"/>
              <w:marTop w:val="0"/>
              <w:marBottom w:val="0"/>
              <w:divBdr>
                <w:top w:val="none" w:sz="0" w:space="0" w:color="auto"/>
                <w:left w:val="none" w:sz="0" w:space="0" w:color="auto"/>
                <w:bottom w:val="none" w:sz="0" w:space="0" w:color="auto"/>
                <w:right w:val="none" w:sz="0" w:space="0" w:color="auto"/>
              </w:divBdr>
            </w:div>
            <w:div w:id="1378972905">
              <w:marLeft w:val="0"/>
              <w:marRight w:val="0"/>
              <w:marTop w:val="0"/>
              <w:marBottom w:val="0"/>
              <w:divBdr>
                <w:top w:val="none" w:sz="0" w:space="0" w:color="auto"/>
                <w:left w:val="none" w:sz="0" w:space="0" w:color="auto"/>
                <w:bottom w:val="none" w:sz="0" w:space="0" w:color="auto"/>
                <w:right w:val="none" w:sz="0" w:space="0" w:color="auto"/>
              </w:divBdr>
            </w:div>
            <w:div w:id="266933611">
              <w:marLeft w:val="0"/>
              <w:marRight w:val="0"/>
              <w:marTop w:val="0"/>
              <w:marBottom w:val="0"/>
              <w:divBdr>
                <w:top w:val="none" w:sz="0" w:space="0" w:color="auto"/>
                <w:left w:val="none" w:sz="0" w:space="0" w:color="auto"/>
                <w:bottom w:val="none" w:sz="0" w:space="0" w:color="auto"/>
                <w:right w:val="none" w:sz="0" w:space="0" w:color="auto"/>
              </w:divBdr>
            </w:div>
            <w:div w:id="173535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05871">
      <w:bodyDiv w:val="1"/>
      <w:marLeft w:val="0"/>
      <w:marRight w:val="0"/>
      <w:marTop w:val="0"/>
      <w:marBottom w:val="0"/>
      <w:divBdr>
        <w:top w:val="none" w:sz="0" w:space="0" w:color="auto"/>
        <w:left w:val="none" w:sz="0" w:space="0" w:color="auto"/>
        <w:bottom w:val="none" w:sz="0" w:space="0" w:color="auto"/>
        <w:right w:val="none" w:sz="0" w:space="0" w:color="auto"/>
      </w:divBdr>
      <w:divsChild>
        <w:div w:id="788088414">
          <w:marLeft w:val="0"/>
          <w:marRight w:val="0"/>
          <w:marTop w:val="0"/>
          <w:marBottom w:val="0"/>
          <w:divBdr>
            <w:top w:val="none" w:sz="0" w:space="0" w:color="auto"/>
            <w:left w:val="none" w:sz="0" w:space="0" w:color="auto"/>
            <w:bottom w:val="none" w:sz="0" w:space="0" w:color="auto"/>
            <w:right w:val="none" w:sz="0" w:space="0" w:color="auto"/>
          </w:divBdr>
        </w:div>
      </w:divsChild>
    </w:div>
    <w:div w:id="1730151481">
      <w:bodyDiv w:val="1"/>
      <w:marLeft w:val="0"/>
      <w:marRight w:val="0"/>
      <w:marTop w:val="0"/>
      <w:marBottom w:val="0"/>
      <w:divBdr>
        <w:top w:val="none" w:sz="0" w:space="0" w:color="auto"/>
        <w:left w:val="none" w:sz="0" w:space="0" w:color="auto"/>
        <w:bottom w:val="none" w:sz="0" w:space="0" w:color="auto"/>
        <w:right w:val="none" w:sz="0" w:space="0" w:color="auto"/>
      </w:divBdr>
      <w:divsChild>
        <w:div w:id="1201165430">
          <w:marLeft w:val="0"/>
          <w:marRight w:val="0"/>
          <w:marTop w:val="0"/>
          <w:marBottom w:val="0"/>
          <w:divBdr>
            <w:top w:val="none" w:sz="0" w:space="0" w:color="auto"/>
            <w:left w:val="none" w:sz="0" w:space="0" w:color="auto"/>
            <w:bottom w:val="none" w:sz="0" w:space="0" w:color="auto"/>
            <w:right w:val="none" w:sz="0" w:space="0" w:color="auto"/>
          </w:divBdr>
        </w:div>
      </w:divsChild>
    </w:div>
    <w:div w:id="1972704974">
      <w:bodyDiv w:val="1"/>
      <w:marLeft w:val="0"/>
      <w:marRight w:val="0"/>
      <w:marTop w:val="0"/>
      <w:marBottom w:val="0"/>
      <w:divBdr>
        <w:top w:val="none" w:sz="0" w:space="0" w:color="auto"/>
        <w:left w:val="none" w:sz="0" w:space="0" w:color="auto"/>
        <w:bottom w:val="none" w:sz="0" w:space="0" w:color="auto"/>
        <w:right w:val="none" w:sz="0" w:space="0" w:color="auto"/>
      </w:divBdr>
    </w:div>
    <w:div w:id="2014525621">
      <w:bodyDiv w:val="1"/>
      <w:marLeft w:val="0"/>
      <w:marRight w:val="0"/>
      <w:marTop w:val="0"/>
      <w:marBottom w:val="0"/>
      <w:divBdr>
        <w:top w:val="none" w:sz="0" w:space="0" w:color="auto"/>
        <w:left w:val="none" w:sz="0" w:space="0" w:color="auto"/>
        <w:bottom w:val="none" w:sz="0" w:space="0" w:color="auto"/>
        <w:right w:val="none" w:sz="0" w:space="0" w:color="auto"/>
      </w:divBdr>
      <w:divsChild>
        <w:div w:id="738747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622</Words>
  <Characters>3548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Abdelkader EL ALAOUI</dc:creator>
  <cp:keywords/>
  <dc:description/>
  <cp:lastModifiedBy>Bhushan Tandale</cp:lastModifiedBy>
  <cp:revision>26</cp:revision>
  <dcterms:created xsi:type="dcterms:W3CDTF">2022-10-16T17:53:00Z</dcterms:created>
  <dcterms:modified xsi:type="dcterms:W3CDTF">2022-10-25T12:10:00Z</dcterms:modified>
</cp:coreProperties>
</file>