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710B45" w14:textId="77777777" w:rsidR="006F1C74" w:rsidRPr="00144FC5" w:rsidRDefault="006F1C74" w:rsidP="006F1C74">
      <w:pPr>
        <w:spacing w:line="480" w:lineRule="auto"/>
      </w:pPr>
      <w:r w:rsidRPr="00BD16F7">
        <w:rPr>
          <w:b/>
          <w:iCs/>
        </w:rPr>
        <w:t>Table 2</w:t>
      </w:r>
      <w:r w:rsidRPr="00BD16F7">
        <w:rPr>
          <w:iCs/>
        </w:rPr>
        <w:t>.</w:t>
      </w:r>
      <w:r w:rsidRPr="00144FC5">
        <w:t xml:space="preserve"> Results of </w:t>
      </w:r>
      <w:r>
        <w:t xml:space="preserve">the </w:t>
      </w:r>
      <w:r w:rsidRPr="00144FC5">
        <w:t xml:space="preserve">multimodel inference analysis </w:t>
      </w:r>
      <w:r>
        <w:t>performed on</w:t>
      </w:r>
      <w:r w:rsidRPr="00144FC5">
        <w:t xml:space="preserve"> </w:t>
      </w:r>
      <w:r>
        <w:t xml:space="preserve">fish </w:t>
      </w:r>
      <w:r w:rsidRPr="00144FC5">
        <w:t xml:space="preserve">swimming distance </w:t>
      </w:r>
      <w:r>
        <w:t xml:space="preserve">and </w:t>
      </w:r>
      <w:r w:rsidRPr="00144FC5">
        <w:t>comparing all possible combinations of the three explanatory variables: noise condition (C), fish body mass (M), prey density (D), and their two-way (C:M, C:D, M:D) or three-way (C:M:D) interaction terms. Each line corresponds to a model. For each model, we reported intercept of the regression, adjusted R² (adj.R²), degree of freedom (df), Log likelihood (LogLik) values, Akaike information criteria values with a correction for small sample sizes (AICc), change in AICc (</w:t>
      </w:r>
      <w:r w:rsidRPr="00144FC5">
        <w:rPr>
          <w:rFonts w:ascii="Cambria Math" w:hAnsi="Cambria Math" w:cs="Cambria Math"/>
        </w:rPr>
        <w:t>△</w:t>
      </w:r>
      <w:r w:rsidRPr="00144FC5">
        <w:t xml:space="preserve">AICc) from the best model, and model weight. The regression parameter is only given for the corresponding continuous variable (M, D) when this variable is present in the model. The presence of the categorial variable (T being either “boat noise” or “ambient noise”) in the model is indicated by a “+” symbol.  </w:t>
      </w:r>
    </w:p>
    <w:p w14:paraId="3B171546" w14:textId="0A64D272" w:rsidR="001760E5" w:rsidRDefault="006F1C74">
      <w:r w:rsidRPr="00144FC5">
        <w:rPr>
          <w:noProof/>
        </w:rPr>
        <w:drawing>
          <wp:inline distT="114300" distB="114300" distL="114300" distR="114300" wp14:anchorId="58EA11FD" wp14:editId="26C1080E">
            <wp:extent cx="5655600" cy="2540000"/>
            <wp:effectExtent l="0" t="0" r="0" b="0"/>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5655600" cy="2540000"/>
                    </a:xfrm>
                    <a:prstGeom prst="rect">
                      <a:avLst/>
                    </a:prstGeom>
                    <a:ln/>
                  </pic:spPr>
                </pic:pic>
              </a:graphicData>
            </a:graphic>
          </wp:inline>
        </w:drawing>
      </w:r>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C74"/>
    <w:rsid w:val="006F1C74"/>
    <w:rsid w:val="008A3324"/>
    <w:rsid w:val="00996CDB"/>
    <w:rsid w:val="009B6A41"/>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1E587"/>
  <w15:chartTrackingRefBased/>
  <w15:docId w15:val="{65F8B93C-AD6A-420A-B4F2-978A0ECF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C74"/>
    <w:pPr>
      <w:spacing w:after="0" w:line="240" w:lineRule="auto"/>
    </w:pPr>
    <w:rPr>
      <w:rFonts w:ascii="Times New Roman" w:eastAsia="Times New Roman" w:hAnsi="Times New Roman"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Words>
  <Characters>751</Characters>
  <Application>Microsoft Office Word</Application>
  <DocSecurity>0</DocSecurity>
  <Lines>6</Lines>
  <Paragraphs>1</Paragraphs>
  <ScaleCrop>false</ScaleCrop>
  <Company>Springer Nature</Company>
  <LinksUpToDate>false</LinksUpToDate>
  <CharactersWithSpaces>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2022-11-10T14:38:00Z</dcterms:created>
  <dcterms:modified xsi:type="dcterms:W3CDTF">2022-11-10T14:38:00Z</dcterms:modified>
</cp:coreProperties>
</file>