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CE23" w14:textId="36D80CBC" w:rsidR="009A51AB" w:rsidRPr="00DB45BD" w:rsidRDefault="00D3634B" w:rsidP="009A51A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115692043"/>
      <w:bookmarkEnd w:id="0"/>
      <w:r w:rsidRPr="00DB45BD">
        <w:rPr>
          <w:rFonts w:ascii="Arial" w:hAnsi="Arial" w:cs="Arial"/>
          <w:b/>
          <w:bCs/>
          <w:sz w:val="28"/>
          <w:szCs w:val="28"/>
        </w:rPr>
        <w:t>Supplementary Files</w:t>
      </w:r>
      <w:bookmarkStart w:id="1" w:name="_Hlk106289899"/>
    </w:p>
    <w:p w14:paraId="739FDAA1" w14:textId="7AC55D93" w:rsidR="009A51AB" w:rsidRPr="006C27ED" w:rsidRDefault="009A51AB" w:rsidP="009A51A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6C27ED">
        <w:rPr>
          <w:rFonts w:ascii="Arial" w:hAnsi="Arial" w:cs="Arial"/>
          <w:b/>
          <w:bCs/>
          <w:sz w:val="24"/>
          <w:szCs w:val="24"/>
        </w:rPr>
        <w:t>Functional connectivity discriminates epileptogenic states and predicts surgical outcome in children with drug resistant epilepsy</w:t>
      </w:r>
      <w:bookmarkEnd w:id="1"/>
    </w:p>
    <w:p w14:paraId="56934713" w14:textId="77777777" w:rsidR="009A51AB" w:rsidRPr="006C27ED" w:rsidRDefault="009A51AB" w:rsidP="009A51AB">
      <w:pPr>
        <w:pStyle w:val="Heading1"/>
        <w:spacing w:before="172"/>
        <w:ind w:left="0"/>
        <w:rPr>
          <w:b w:val="0"/>
          <w:bCs w:val="0"/>
          <w:sz w:val="18"/>
        </w:rPr>
      </w:pPr>
      <w:r w:rsidRPr="006C27ED">
        <w:rPr>
          <w:b w:val="0"/>
          <w:bCs w:val="0"/>
        </w:rPr>
        <w:t>Sakar Rijal</w:t>
      </w:r>
      <w:r w:rsidRPr="006C27ED">
        <w:rPr>
          <w:b w:val="0"/>
          <w:bCs w:val="0"/>
          <w:vertAlign w:val="superscript"/>
        </w:rPr>
        <w:t>1,2</w:t>
      </w:r>
      <w:r w:rsidRPr="006C27ED">
        <w:rPr>
          <w:b w:val="0"/>
          <w:bCs w:val="0"/>
        </w:rPr>
        <w:t>, Ludovica Corona</w:t>
      </w:r>
      <w:r w:rsidRPr="006C27ED">
        <w:rPr>
          <w:b w:val="0"/>
          <w:bCs w:val="0"/>
          <w:position w:val="9"/>
          <w:sz w:val="18"/>
        </w:rPr>
        <w:t>1,2</w:t>
      </w:r>
      <w:r w:rsidRPr="006C27ED">
        <w:rPr>
          <w:b w:val="0"/>
          <w:bCs w:val="0"/>
        </w:rPr>
        <w:t>, M Scott Perry</w:t>
      </w:r>
      <w:r w:rsidRPr="006C27ED">
        <w:rPr>
          <w:b w:val="0"/>
          <w:bCs w:val="0"/>
          <w:vertAlign w:val="superscript"/>
        </w:rPr>
        <w:t>1</w:t>
      </w:r>
      <w:r w:rsidRPr="006C27ED">
        <w:rPr>
          <w:b w:val="0"/>
          <w:bCs w:val="0"/>
        </w:rPr>
        <w:t>, Eleonora Tamilia</w:t>
      </w:r>
      <w:r w:rsidRPr="006C27ED">
        <w:rPr>
          <w:b w:val="0"/>
          <w:bCs w:val="0"/>
          <w:position w:val="9"/>
          <w:sz w:val="18"/>
        </w:rPr>
        <w:t>3</w:t>
      </w:r>
      <w:r w:rsidRPr="006C27ED">
        <w:rPr>
          <w:b w:val="0"/>
          <w:bCs w:val="0"/>
        </w:rPr>
        <w:t>, Joseph R Madsen</w:t>
      </w:r>
      <w:r w:rsidRPr="006C27ED">
        <w:rPr>
          <w:b w:val="0"/>
          <w:bCs w:val="0"/>
          <w:vertAlign w:val="superscript"/>
        </w:rPr>
        <w:t>4</w:t>
      </w:r>
      <w:r w:rsidRPr="006C27ED">
        <w:rPr>
          <w:b w:val="0"/>
          <w:bCs w:val="0"/>
        </w:rPr>
        <w:t>, Scellig Stone</w:t>
      </w:r>
      <w:r w:rsidRPr="006C27ED">
        <w:rPr>
          <w:b w:val="0"/>
          <w:bCs w:val="0"/>
          <w:vertAlign w:val="superscript"/>
        </w:rPr>
        <w:t>4</w:t>
      </w:r>
      <w:r w:rsidRPr="006C27ED">
        <w:rPr>
          <w:b w:val="0"/>
          <w:bCs w:val="0"/>
        </w:rPr>
        <w:t>, Jeffrey Bolton</w:t>
      </w:r>
      <w:r w:rsidRPr="006C27ED">
        <w:rPr>
          <w:b w:val="0"/>
          <w:bCs w:val="0"/>
          <w:vertAlign w:val="superscript"/>
        </w:rPr>
        <w:t>5</w:t>
      </w:r>
      <w:r w:rsidRPr="006C27ED">
        <w:rPr>
          <w:b w:val="0"/>
          <w:bCs w:val="0"/>
        </w:rPr>
        <w:t>, Phillip L Pearl</w:t>
      </w:r>
      <w:r w:rsidRPr="006C27ED">
        <w:rPr>
          <w:b w:val="0"/>
          <w:bCs w:val="0"/>
          <w:vertAlign w:val="superscript"/>
        </w:rPr>
        <w:t>5</w:t>
      </w:r>
      <w:r w:rsidRPr="006C27ED">
        <w:rPr>
          <w:b w:val="0"/>
          <w:bCs w:val="0"/>
        </w:rPr>
        <w:t xml:space="preserve"> and Christos Papadelis</w:t>
      </w:r>
      <w:r w:rsidRPr="006C27ED">
        <w:rPr>
          <w:b w:val="0"/>
          <w:bCs w:val="0"/>
          <w:position w:val="9"/>
          <w:sz w:val="18"/>
        </w:rPr>
        <w:t>1,2,6*</w:t>
      </w:r>
    </w:p>
    <w:p w14:paraId="6B1A9604" w14:textId="77777777" w:rsidR="009A51AB" w:rsidRPr="00FE3491" w:rsidRDefault="009A51AB" w:rsidP="009A51AB">
      <w:pPr>
        <w:pStyle w:val="BodyText"/>
        <w:rPr>
          <w:rFonts w:ascii="Arial" w:hAnsi="Arial" w:cs="Arial"/>
          <w:vertAlign w:val="superscript"/>
        </w:rPr>
      </w:pPr>
    </w:p>
    <w:p w14:paraId="75FA09CA" w14:textId="77777777" w:rsidR="009A51AB" w:rsidRPr="00FE3491" w:rsidRDefault="009A51AB" w:rsidP="009A51AB">
      <w:pPr>
        <w:pStyle w:val="BodyText"/>
        <w:rPr>
          <w:rFonts w:ascii="Arial" w:eastAsia="Arial" w:hAnsi="Arial" w:cs="Arial"/>
        </w:rPr>
      </w:pPr>
      <w:r w:rsidRPr="00FE3491">
        <w:rPr>
          <w:rFonts w:ascii="Arial" w:hAnsi="Arial" w:cs="Arial"/>
          <w:vertAlign w:val="superscript"/>
        </w:rPr>
        <w:t>1</w:t>
      </w:r>
      <w:r w:rsidRPr="00FE3491">
        <w:rPr>
          <w:rFonts w:ascii="Arial" w:hAnsi="Arial" w:cs="Arial"/>
        </w:rPr>
        <w:t xml:space="preserve">Jane and John Justin </w:t>
      </w:r>
      <w:r>
        <w:rPr>
          <w:rFonts w:ascii="Arial" w:hAnsi="Arial" w:cs="Arial"/>
        </w:rPr>
        <w:t xml:space="preserve">Institute for Mind Health </w:t>
      </w:r>
      <w:r w:rsidRPr="00FE3491">
        <w:rPr>
          <w:rFonts w:ascii="Arial" w:hAnsi="Arial" w:cs="Arial"/>
        </w:rPr>
        <w:t>Neurosciences Center, Cook Children's Health Care System, Fort Worth, TX, USA</w:t>
      </w:r>
    </w:p>
    <w:p w14:paraId="145691C8" w14:textId="77777777" w:rsidR="009A51AB" w:rsidRPr="00FE3491" w:rsidRDefault="009A51AB" w:rsidP="009A51AB">
      <w:pPr>
        <w:pStyle w:val="BodyText"/>
        <w:rPr>
          <w:rFonts w:ascii="Arial" w:hAnsi="Arial" w:cs="Arial"/>
        </w:rPr>
      </w:pPr>
      <w:bookmarkStart w:id="2" w:name="_Hlk106290202"/>
      <w:r>
        <w:rPr>
          <w:rFonts w:ascii="Arial" w:hAnsi="Arial" w:cs="Arial"/>
          <w:position w:val="7"/>
          <w:vertAlign w:val="superscript"/>
        </w:rPr>
        <w:t>2</w:t>
      </w:r>
      <w:r w:rsidRPr="00FE3491">
        <w:rPr>
          <w:rFonts w:ascii="Arial" w:eastAsia="Arial" w:hAnsi="Arial" w:cs="Arial"/>
          <w:vertAlign w:val="superscript"/>
        </w:rPr>
        <w:t xml:space="preserve"> </w:t>
      </w:r>
      <w:r w:rsidRPr="00FE3491">
        <w:rPr>
          <w:rFonts w:ascii="Arial" w:hAnsi="Arial" w:cs="Arial"/>
        </w:rPr>
        <w:t>Department of Bioengineering, The University of Texas at Arlington, Arlington, TX, USA</w:t>
      </w:r>
      <w:bookmarkEnd w:id="2"/>
    </w:p>
    <w:p w14:paraId="582361D3" w14:textId="77777777" w:rsidR="009A51AB" w:rsidRPr="00FE3491" w:rsidRDefault="009A51AB" w:rsidP="009A51AB">
      <w:pPr>
        <w:pStyle w:val="BodyText"/>
        <w:rPr>
          <w:rFonts w:ascii="Arial" w:eastAsia="Arial" w:hAnsi="Arial" w:cs="Arial"/>
        </w:rPr>
      </w:pPr>
      <w:r w:rsidRPr="00FE3491">
        <w:rPr>
          <w:rFonts w:ascii="Arial" w:hAnsi="Arial" w:cs="Arial"/>
          <w:vertAlign w:val="superscript"/>
        </w:rPr>
        <w:t>3</w:t>
      </w:r>
      <w:bookmarkStart w:id="3" w:name="_Hlk106291469"/>
      <w:r w:rsidRPr="00FE3491">
        <w:rPr>
          <w:rFonts w:ascii="Arial" w:eastAsia="Arial" w:hAnsi="Arial" w:cs="Arial"/>
        </w:rPr>
        <w:t xml:space="preserve"> </w:t>
      </w:r>
      <w:r w:rsidRPr="00FE3491">
        <w:rPr>
          <w:rFonts w:ascii="Arial" w:hAnsi="Arial" w:cs="Arial"/>
        </w:rPr>
        <w:t>Division of Newborn Medicine, Department of Medicine, Boston Children’s Hospital, Harvard Medical School, Boston, MA, USA</w:t>
      </w:r>
      <w:bookmarkEnd w:id="3"/>
      <w:r>
        <w:rPr>
          <w:rFonts w:ascii="Arial" w:hAnsi="Arial" w:cs="Arial"/>
        </w:rPr>
        <w:t xml:space="preserve"> </w:t>
      </w:r>
    </w:p>
    <w:p w14:paraId="606CB005" w14:textId="77777777" w:rsidR="009A51AB" w:rsidRPr="00FE3491" w:rsidRDefault="009A51AB" w:rsidP="009A51AB">
      <w:pPr>
        <w:pStyle w:val="BodyText"/>
        <w:rPr>
          <w:rFonts w:ascii="Arial" w:hAnsi="Arial" w:cs="Arial"/>
        </w:rPr>
      </w:pPr>
      <w:r w:rsidRPr="00FE3491">
        <w:rPr>
          <w:rFonts w:ascii="Arial" w:eastAsia="Arial" w:hAnsi="Arial" w:cs="Arial"/>
          <w:vertAlign w:val="superscript"/>
        </w:rPr>
        <w:t>4</w:t>
      </w:r>
      <w:bookmarkStart w:id="4" w:name="_Hlk106291541"/>
      <w:r w:rsidRPr="00FE3491">
        <w:rPr>
          <w:rFonts w:ascii="Arial" w:eastAsia="Arial" w:hAnsi="Arial" w:cs="Arial"/>
          <w:vertAlign w:val="superscript"/>
        </w:rPr>
        <w:t xml:space="preserve"> </w:t>
      </w:r>
      <w:r w:rsidRPr="00FE3491">
        <w:rPr>
          <w:rFonts w:ascii="Arial" w:hAnsi="Arial" w:cs="Arial"/>
        </w:rPr>
        <w:t>Division of Epilepsy Surgery, Department of Neurosurgery, Boston Children’s Hospital, Harvard Medical School, Boston, MA, USA</w:t>
      </w:r>
      <w:bookmarkEnd w:id="4"/>
    </w:p>
    <w:p w14:paraId="44A99DE3" w14:textId="77777777" w:rsidR="009A51AB" w:rsidRPr="00FE3491" w:rsidRDefault="009A51AB" w:rsidP="009A51AB">
      <w:pPr>
        <w:pStyle w:val="BodyText"/>
        <w:rPr>
          <w:rFonts w:ascii="Arial" w:eastAsia="Arial" w:hAnsi="Arial" w:cs="Arial"/>
        </w:rPr>
      </w:pPr>
      <w:r w:rsidRPr="00FE3491">
        <w:rPr>
          <w:rFonts w:ascii="Arial" w:eastAsia="Arial" w:hAnsi="Arial" w:cs="Arial"/>
          <w:vertAlign w:val="superscript"/>
        </w:rPr>
        <w:t xml:space="preserve">5 </w:t>
      </w:r>
      <w:r w:rsidRPr="00FE3491">
        <w:rPr>
          <w:rFonts w:ascii="Arial" w:eastAsia="Arial" w:hAnsi="Arial" w:cs="Arial"/>
        </w:rPr>
        <w:t>Division of Epilepsy and Clinical Neurophysiology, Department of Neurology, Boston Children’s Hospital, Harvard Medical School, Boston, MA, USA</w:t>
      </w:r>
    </w:p>
    <w:p w14:paraId="3A1AE0C9" w14:textId="77777777" w:rsidR="009A51AB" w:rsidRDefault="009A51AB" w:rsidP="009A51AB">
      <w:pPr>
        <w:pStyle w:val="BodyText"/>
        <w:rPr>
          <w:rFonts w:ascii="Arial" w:eastAsia="Arial" w:hAnsi="Arial" w:cs="Arial"/>
        </w:rPr>
      </w:pPr>
      <w:r w:rsidRPr="00FE3491">
        <w:rPr>
          <w:rFonts w:ascii="Arial" w:hAnsi="Arial" w:cs="Arial"/>
          <w:vertAlign w:val="superscript"/>
        </w:rPr>
        <w:t xml:space="preserve"> </w:t>
      </w:r>
      <w:r w:rsidRPr="00FE3491">
        <w:rPr>
          <w:rFonts w:ascii="Arial" w:eastAsia="Arial" w:hAnsi="Arial" w:cs="Arial"/>
          <w:vertAlign w:val="superscript"/>
        </w:rPr>
        <w:t>6</w:t>
      </w:r>
      <w:bookmarkStart w:id="5" w:name="_Hlk106291606"/>
      <w:r w:rsidRPr="00FE3491">
        <w:rPr>
          <w:rFonts w:ascii="Arial" w:eastAsia="Arial" w:hAnsi="Arial" w:cs="Arial"/>
        </w:rPr>
        <w:t xml:space="preserve"> School of Medicine, Texas Christian University, Fort Worth, TX, USA</w:t>
      </w:r>
      <w:bookmarkEnd w:id="5"/>
    </w:p>
    <w:p w14:paraId="10E135CB" w14:textId="77777777" w:rsidR="00D3634B" w:rsidRDefault="00D3634B" w:rsidP="00D363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66926BE" w14:textId="77777777" w:rsidR="001149D2" w:rsidRDefault="001149D2" w:rsidP="00D3634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AD96D90" w14:textId="25ACEF68" w:rsidR="00D3634B" w:rsidRPr="00A859B9" w:rsidRDefault="00D3634B" w:rsidP="00D3634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859B9">
        <w:rPr>
          <w:rFonts w:ascii="Arial" w:eastAsia="Arial" w:hAnsi="Arial" w:cs="Arial"/>
          <w:sz w:val="24"/>
          <w:szCs w:val="24"/>
        </w:rPr>
        <w:t>Supplementary Figure S1</w:t>
      </w:r>
    </w:p>
    <w:p w14:paraId="0EE25E60" w14:textId="0780EFBD" w:rsidR="00521268" w:rsidRPr="00A859B9" w:rsidRDefault="004665F9" w:rsidP="00744DF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859B9">
        <w:rPr>
          <w:rFonts w:ascii="Arial" w:eastAsia="Arial" w:hAnsi="Arial" w:cs="Arial"/>
          <w:sz w:val="24"/>
          <w:szCs w:val="24"/>
        </w:rPr>
        <w:t>Supplementary Figure S2</w:t>
      </w:r>
    </w:p>
    <w:p w14:paraId="020400F9" w14:textId="77777777" w:rsidR="001149D2" w:rsidRDefault="001149D2" w:rsidP="006B207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1FD38FA" w14:textId="77777777" w:rsidR="001149D2" w:rsidRDefault="001149D2" w:rsidP="006B207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21A053" w14:textId="77777777" w:rsidR="001149D2" w:rsidRDefault="001149D2" w:rsidP="006B207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B13113D" w14:textId="77777777" w:rsidR="001149D2" w:rsidRDefault="001149D2" w:rsidP="006B207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2D4B42" w14:textId="77777777" w:rsidR="001149D2" w:rsidRDefault="001149D2" w:rsidP="006B207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1EB7FCE" w14:textId="3482F722" w:rsidR="00D8076A" w:rsidRPr="00A859B9" w:rsidRDefault="00D3634B" w:rsidP="006B207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859B9">
        <w:rPr>
          <w:rFonts w:ascii="Arial" w:eastAsia="Arial" w:hAnsi="Arial" w:cs="Arial"/>
          <w:sz w:val="24"/>
          <w:szCs w:val="24"/>
        </w:rPr>
        <w:t>For all supplementary Figures:</w:t>
      </w:r>
      <w:r w:rsidR="00521268" w:rsidRPr="00A859B9">
        <w:rPr>
          <w:rFonts w:ascii="Arial" w:eastAsia="Arial" w:hAnsi="Arial" w:cs="Arial"/>
          <w:sz w:val="24"/>
          <w:szCs w:val="24"/>
        </w:rPr>
        <w:t xml:space="preserve"> AEC= Amplitude Envelope Correlation, PLV= Phase Loc</w:t>
      </w:r>
      <w:r w:rsidR="00343599">
        <w:rPr>
          <w:rFonts w:ascii="Arial" w:eastAsia="Arial" w:hAnsi="Arial" w:cs="Arial"/>
          <w:sz w:val="24"/>
          <w:szCs w:val="24"/>
        </w:rPr>
        <w:t>king</w:t>
      </w:r>
      <w:r w:rsidR="00521268" w:rsidRPr="00A859B9">
        <w:rPr>
          <w:rFonts w:ascii="Arial" w:eastAsia="Arial" w:hAnsi="Arial" w:cs="Arial"/>
          <w:sz w:val="24"/>
          <w:szCs w:val="24"/>
        </w:rPr>
        <w:t xml:space="preserve"> Value</w:t>
      </w:r>
      <w:r w:rsidR="006C27ED">
        <w:rPr>
          <w:rFonts w:ascii="Arial" w:eastAsia="Arial" w:hAnsi="Arial" w:cs="Arial"/>
          <w:sz w:val="24"/>
          <w:szCs w:val="24"/>
        </w:rPr>
        <w:t xml:space="preserve">, </w:t>
      </w:r>
      <w:r w:rsidRPr="00A859B9">
        <w:rPr>
          <w:rFonts w:ascii="Arial" w:eastAsia="Arial" w:hAnsi="Arial" w:cs="Arial"/>
          <w:sz w:val="24"/>
          <w:szCs w:val="24"/>
        </w:rPr>
        <w:t>FC = Functional Connectivity</w:t>
      </w:r>
      <w:r w:rsidR="00521268" w:rsidRPr="00A859B9">
        <w:rPr>
          <w:rFonts w:ascii="Arial" w:eastAsia="Arial" w:hAnsi="Arial" w:cs="Arial"/>
          <w:sz w:val="24"/>
          <w:szCs w:val="24"/>
        </w:rPr>
        <w:t>.</w:t>
      </w:r>
    </w:p>
    <w:p w14:paraId="665992BB" w14:textId="04FA0833" w:rsidR="00CF5A02" w:rsidRDefault="00CF5A02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7194ACC" w14:textId="70572569" w:rsidR="004665F9" w:rsidRDefault="004665F9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A431AEA" w14:textId="5B6C60E4" w:rsidR="004665F9" w:rsidRDefault="004665F9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7CDFB85" w14:textId="6436FE59" w:rsidR="004665F9" w:rsidRDefault="004665F9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CC87ECA" w14:textId="22B4D8C9" w:rsidR="004665F9" w:rsidRDefault="004665F9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EED62DA" w14:textId="43F5F1C7" w:rsidR="004665F9" w:rsidRDefault="004665F9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D493C0E" w14:textId="0D91B9FC" w:rsidR="004665F9" w:rsidRDefault="004665F9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F354643" w14:textId="77777777" w:rsidR="009A51AB" w:rsidRDefault="009A51AB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D08639F" w14:textId="77777777" w:rsidR="009A51AB" w:rsidRDefault="009A51AB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FEC93D3" w14:textId="23F6704A" w:rsidR="009A51AB" w:rsidRDefault="009A51AB" w:rsidP="00343599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A51AB">
        <w:rPr>
          <w:rFonts w:ascii="Times New Roman" w:eastAsia="Arial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DAEBC4" wp14:editId="6BB07D7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099810" cy="1934210"/>
                <wp:effectExtent l="0" t="0" r="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810" cy="19346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7DE75" w14:textId="6B59A1D5" w:rsidR="009A51AB" w:rsidRPr="009A51AB" w:rsidRDefault="009A51AB" w:rsidP="009A51AB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A51A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Supplementary Figure S1: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3599" w:rsidRPr="0034359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Amplitude Envelope Correlation based</w:t>
                            </w:r>
                            <w:r w:rsidR="00343599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359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n</w:t>
                            </w:r>
                            <w:r w:rsidRPr="00FE349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odal strength for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Electrodes Inside and Outside of Temporal Lobe</w:t>
                            </w:r>
                            <w:r w:rsidRPr="00FE349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 in physiologically relevant frequency bands.</w:t>
                            </w:r>
                            <w:r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 Nodal strength (i.e.,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the </w:t>
                            </w:r>
                            <w:r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average sum of all FC values connected to a node) computed from Amplitude Envelope Correlation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for electrodes inside </w:t>
                            </w:r>
                            <w:r w:rsidRPr="00FE3491">
                              <w:rPr>
                                <w:rFonts w:ascii="Arial" w:hAnsi="Arial" w:cs="Arial"/>
                                <w:sz w:val="18"/>
                              </w:rPr>
                              <w:t>(</w:t>
                            </w:r>
                            <w:r w:rsidRPr="00FE3491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left</w:t>
                            </w:r>
                            <w:r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) and </w:t>
                            </w:r>
                            <w:r w:rsidR="00A859B9">
                              <w:rPr>
                                <w:rFonts w:ascii="Arial" w:hAnsi="Arial" w:cs="Arial"/>
                                <w:sz w:val="18"/>
                              </w:rPr>
                              <w:t>electrodes outside</w:t>
                            </w:r>
                            <w:r w:rsidR="00343599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>(</w:t>
                            </w:r>
                            <w:r w:rsidR="00343599" w:rsidRPr="00FE3491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right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>)</w:t>
                            </w:r>
                            <w:r w:rsidR="00A859B9">
                              <w:rPr>
                                <w:rFonts w:ascii="Arial" w:hAnsi="Arial" w:cs="Arial"/>
                                <w:sz w:val="18"/>
                              </w:rPr>
                              <w:t xml:space="preserve"> of the temporal lobe</w:t>
                            </w:r>
                            <w:r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 for delta, theta, alpha, beta, low- and high- gamma</w:t>
                            </w:r>
                            <w:r w:rsidR="00343599">
                              <w:rPr>
                                <w:rFonts w:ascii="Arial" w:hAnsi="Arial" w:cs="Arial"/>
                                <w:sz w:val="18"/>
                              </w:rPr>
                              <w:t xml:space="preserve"> frequency</w:t>
                            </w:r>
                            <w:r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 bands </w:t>
                            </w:r>
                            <w:r w:rsidR="00343599">
                              <w:rPr>
                                <w:rFonts w:ascii="Arial" w:hAnsi="Arial" w:cs="Arial"/>
                                <w:sz w:val="18"/>
                              </w:rPr>
                              <w:t>for</w:t>
                            </w:r>
                            <w:r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 different epileptogenic states. Each epileptogenic state is color-coded: interictal activity with no spikes (green), interictal activity with spikes (blue), pre-ictal activity before the onset of a clinical seizure (yellow), ictal activity during a clinical seizure (red), post-ictal activity after the end of a clinical seizure (orange). Significant differences (p-value &lt;0.05) are marked with an asterisk (*) (</w:t>
                            </w:r>
                            <w:r w:rsidRPr="00FE3491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Wilcoxon’s signed-rank</w:t>
                            </w:r>
                            <w:r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 test). P-values are corrected using false discovery rate correction for 10-comparisons.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AEB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80.3pt;height:15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" stroked="f">
                <v:textbox>
                  <w:txbxContent>
                    <w:p w14:paraId="5487DE75" w14:textId="6B59A1D5" w:rsidR="009A51AB" w:rsidRPr="009A51AB" w:rsidRDefault="009A51AB" w:rsidP="009A51AB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</w:pPr>
                      <w:r w:rsidRPr="009A51AB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Supplementary Figure S1:</w:t>
                      </w:r>
                      <w:r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43599" w:rsidRPr="00343599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Amplitude Envelope Correlation based</w:t>
                      </w:r>
                      <w:r w:rsidR="00343599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43599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n</w:t>
                      </w:r>
                      <w:r w:rsidRPr="00FE3491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odal strength for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Electrodes Inside and Outside of Temporal Lobe</w:t>
                      </w:r>
                      <w:r w:rsidRPr="00FE3491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 in physiologically relevant frequency bands.</w:t>
                      </w:r>
                      <w:r w:rsidRPr="00FE3491">
                        <w:rPr>
                          <w:rFonts w:ascii="Arial" w:hAnsi="Arial" w:cs="Arial"/>
                          <w:sz w:val="18"/>
                        </w:rPr>
                        <w:t xml:space="preserve"> Nodal strength (i.e.,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 xml:space="preserve">the </w:t>
                      </w:r>
                      <w:r w:rsidRPr="00FE3491">
                        <w:rPr>
                          <w:rFonts w:ascii="Arial" w:hAnsi="Arial" w:cs="Arial"/>
                          <w:sz w:val="18"/>
                        </w:rPr>
                        <w:t xml:space="preserve">average sum of all FC values connected to a node) computed from Amplitude Envelope Correlation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 xml:space="preserve">for electrodes inside </w:t>
                      </w:r>
                      <w:r w:rsidRPr="00FE3491">
                        <w:rPr>
                          <w:rFonts w:ascii="Arial" w:hAnsi="Arial" w:cs="Arial"/>
                          <w:sz w:val="18"/>
                        </w:rPr>
                        <w:t>(</w:t>
                      </w:r>
                      <w:r w:rsidRPr="00FE3491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left</w:t>
                      </w:r>
                      <w:r w:rsidRPr="00FE3491">
                        <w:rPr>
                          <w:rFonts w:ascii="Arial" w:hAnsi="Arial" w:cs="Arial"/>
                          <w:sz w:val="18"/>
                        </w:rPr>
                        <w:t xml:space="preserve">) and </w:t>
                      </w:r>
                      <w:r w:rsidR="00A859B9">
                        <w:rPr>
                          <w:rFonts w:ascii="Arial" w:hAnsi="Arial" w:cs="Arial"/>
                          <w:sz w:val="18"/>
                        </w:rPr>
                        <w:t>electrodes outside</w:t>
                      </w:r>
                      <w:r w:rsidR="00343599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>(</w:t>
                      </w:r>
                      <w:r w:rsidR="00343599" w:rsidRPr="00FE3491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right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>)</w:t>
                      </w:r>
                      <w:r w:rsidR="00A859B9">
                        <w:rPr>
                          <w:rFonts w:ascii="Arial" w:hAnsi="Arial" w:cs="Arial"/>
                          <w:sz w:val="18"/>
                        </w:rPr>
                        <w:t xml:space="preserve"> of the temporal lobe</w:t>
                      </w:r>
                      <w:r w:rsidRPr="00FE3491">
                        <w:rPr>
                          <w:rFonts w:ascii="Arial" w:hAnsi="Arial" w:cs="Arial"/>
                          <w:sz w:val="18"/>
                        </w:rPr>
                        <w:t xml:space="preserve"> for delta, theta, alpha, beta, low- and high- gamma</w:t>
                      </w:r>
                      <w:r w:rsidR="00343599">
                        <w:rPr>
                          <w:rFonts w:ascii="Arial" w:hAnsi="Arial" w:cs="Arial"/>
                          <w:sz w:val="18"/>
                        </w:rPr>
                        <w:t xml:space="preserve"> frequency</w:t>
                      </w:r>
                      <w:r w:rsidRPr="00FE3491">
                        <w:rPr>
                          <w:rFonts w:ascii="Arial" w:hAnsi="Arial" w:cs="Arial"/>
                          <w:sz w:val="18"/>
                        </w:rPr>
                        <w:t xml:space="preserve"> bands </w:t>
                      </w:r>
                      <w:r w:rsidR="00343599">
                        <w:rPr>
                          <w:rFonts w:ascii="Arial" w:hAnsi="Arial" w:cs="Arial"/>
                          <w:sz w:val="18"/>
                        </w:rPr>
                        <w:t>for</w:t>
                      </w:r>
                      <w:r w:rsidRPr="00FE3491">
                        <w:rPr>
                          <w:rFonts w:ascii="Arial" w:hAnsi="Arial" w:cs="Arial"/>
                          <w:sz w:val="18"/>
                        </w:rPr>
                        <w:t xml:space="preserve"> different epileptogenic states. Each epileptogenic state is color-coded: interictal activity with no spikes (green), interictal activity with spikes (blue), pre-ictal activity before the onset of a clinical seizure (yellow), ictal activity during a clinical seizure (red), post-ictal activity after the end of a clinical seizure (orange). Significant differences (p-value &lt;0.05) are marked with an asterisk (*) (</w:t>
                      </w:r>
                      <w:r w:rsidRPr="00FE3491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Wilcoxon’s signed-rank</w:t>
                      </w:r>
                      <w:r w:rsidRPr="00FE3491">
                        <w:rPr>
                          <w:rFonts w:ascii="Arial" w:hAnsi="Arial" w:cs="Arial"/>
                          <w:sz w:val="18"/>
                        </w:rPr>
                        <w:t xml:space="preserve"> test). P-values are corrected using false discovery rate correction for 10-comparisons.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303B0C" w14:textId="77777777" w:rsidR="009A51AB" w:rsidRDefault="009A51AB" w:rsidP="009A51AB">
      <w:pPr>
        <w:spacing w:after="0" w:line="360" w:lineRule="auto"/>
        <w:jc w:val="center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4CF1BBCC" w14:textId="3DB6AC22" w:rsidR="004665F9" w:rsidRDefault="00343599" w:rsidP="002D377E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 wp14:anchorId="33A8AA24" wp14:editId="771A0ECC">
            <wp:extent cx="5941060" cy="317373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AB0DA" w14:textId="6A9F6E23" w:rsidR="004665F9" w:rsidRDefault="004665F9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15137D8" w14:textId="1F1E87C3" w:rsidR="004665F9" w:rsidRDefault="004665F9" w:rsidP="009A51AB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1B7BA20" w14:textId="40599A34" w:rsidR="004665F9" w:rsidRDefault="004665F9" w:rsidP="009A51AB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69F9290" w14:textId="5F67F607" w:rsidR="00CF5A02" w:rsidRDefault="00CF5A02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A4FED03" w14:textId="77777777" w:rsidR="006B207A" w:rsidRPr="006B207A" w:rsidRDefault="006B207A" w:rsidP="006B207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382F529" w14:textId="71488F5A" w:rsidR="00D3634B" w:rsidRDefault="00D3634B" w:rsidP="00D363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F1F32" w14:textId="206C8C2B" w:rsidR="00F05F79" w:rsidRDefault="00F05F79" w:rsidP="00D363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94520" w14:textId="1930ACCA" w:rsidR="00A859B9" w:rsidRDefault="00A859B9">
      <w:r w:rsidRPr="009A51AB">
        <w:rPr>
          <w:rFonts w:ascii="Times New Roman" w:eastAsia="Arial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617993" wp14:editId="1E9DEC0C">
                <wp:simplePos x="0" y="0"/>
                <wp:positionH relativeFrom="margin">
                  <wp:align>right</wp:align>
                </wp:positionH>
                <wp:positionV relativeFrom="paragraph">
                  <wp:posOffset>330200</wp:posOffset>
                </wp:positionV>
                <wp:extent cx="5943600" cy="1819910"/>
                <wp:effectExtent l="0" t="0" r="0" b="889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820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657D0" w14:textId="38FD749A" w:rsidR="00A859B9" w:rsidRPr="009A51AB" w:rsidRDefault="00A859B9" w:rsidP="00A859B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A51A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Supplementary 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2</w:t>
                            </w:r>
                            <w:r w:rsidRPr="009A51A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3599" w:rsidRPr="0034359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Phase Locking Value based</w:t>
                            </w:r>
                            <w:r w:rsidR="0034359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 n</w:t>
                            </w:r>
                            <w:r w:rsidRPr="00FE349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odal strength for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Electrodes Inside and Outside of Temporal Lobe</w:t>
                            </w:r>
                            <w:r w:rsidRPr="00FE349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 in physiologically relevant frequency bands.</w:t>
                            </w:r>
                            <w:r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Nodal strength (i.e., </w:t>
                            </w:r>
                            <w:r w:rsidR="00343599">
                              <w:rPr>
                                <w:rFonts w:ascii="Arial" w:hAnsi="Arial" w:cs="Arial"/>
                                <w:sz w:val="18"/>
                              </w:rPr>
                              <w:t xml:space="preserve">the 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average sum of all FC values connected to a node) computed from </w:t>
                            </w:r>
                            <w:r w:rsidR="00343599">
                              <w:rPr>
                                <w:rFonts w:ascii="Arial" w:hAnsi="Arial" w:cs="Arial"/>
                                <w:sz w:val="18"/>
                              </w:rPr>
                              <w:t>Phase Locking Value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  <w:r w:rsidR="00343599">
                              <w:rPr>
                                <w:rFonts w:ascii="Arial" w:hAnsi="Arial" w:cs="Arial"/>
                                <w:sz w:val="18"/>
                              </w:rPr>
                              <w:t xml:space="preserve">for electrodes inside 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>(</w:t>
                            </w:r>
                            <w:r w:rsidR="00343599" w:rsidRPr="00FE3491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left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) and </w:t>
                            </w:r>
                            <w:r w:rsidR="00343599">
                              <w:rPr>
                                <w:rFonts w:ascii="Arial" w:hAnsi="Arial" w:cs="Arial"/>
                                <w:sz w:val="18"/>
                              </w:rPr>
                              <w:t xml:space="preserve">electrodes outside 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>(</w:t>
                            </w:r>
                            <w:r w:rsidR="00343599" w:rsidRPr="00FE3491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right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>)</w:t>
                            </w:r>
                            <w:r w:rsidR="00343599">
                              <w:rPr>
                                <w:rFonts w:ascii="Arial" w:hAnsi="Arial" w:cs="Arial"/>
                                <w:sz w:val="18"/>
                              </w:rPr>
                              <w:t xml:space="preserve"> of the temporal lobe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 for delta, theta, alpha, beta, low- and high- gamma</w:t>
                            </w:r>
                            <w:r w:rsidR="00343599">
                              <w:rPr>
                                <w:rFonts w:ascii="Arial" w:hAnsi="Arial" w:cs="Arial"/>
                                <w:sz w:val="18"/>
                              </w:rPr>
                              <w:t xml:space="preserve"> frequency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 bands </w:t>
                            </w:r>
                            <w:r w:rsidR="00343599">
                              <w:rPr>
                                <w:rFonts w:ascii="Arial" w:hAnsi="Arial" w:cs="Arial"/>
                                <w:sz w:val="18"/>
                              </w:rPr>
                              <w:t>for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 different epileptogenic states. Each epileptogenic state is color-coded: interictal activity with no spikes (green), interictal activity with spikes (blue), pre-ictal activity before the onset of a clinical seizure (yellow), ictal activity during a clinical seizure (red), post-ictal activity after the end of a clinical seizure (orange). Significant differences (p-value &lt;0.05) are marked with an asterisk (*) (</w:t>
                            </w:r>
                            <w:r w:rsidR="00343599" w:rsidRPr="00FE3491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Wilcoxon’s signed-rank</w:t>
                            </w:r>
                            <w:r w:rsidR="00343599" w:rsidRPr="00FE3491">
                              <w:rPr>
                                <w:rFonts w:ascii="Arial" w:hAnsi="Arial" w:cs="Arial"/>
                                <w:sz w:val="18"/>
                              </w:rPr>
                              <w:t xml:space="preserve"> test). P-values are corrected using false discovery rate correction for 10-comparisons.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17993" id="_x0000_s1027" type="#_x0000_t202" style="position:absolute;margin-left:416.8pt;margin-top:26pt;width:468pt;height:143.3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" stroked="f">
                <v:textbox>
                  <w:txbxContent>
                    <w:p w14:paraId="656657D0" w14:textId="38FD749A" w:rsidR="00A859B9" w:rsidRPr="009A51AB" w:rsidRDefault="00A859B9" w:rsidP="00A859B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</w:pPr>
                      <w:r w:rsidRPr="009A51AB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Supplementary Figure 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2</w:t>
                      </w:r>
                      <w:r w:rsidRPr="009A51AB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:</w:t>
                      </w:r>
                      <w:r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43599" w:rsidRPr="00343599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Phase Locking Value based</w:t>
                      </w:r>
                      <w:r w:rsidR="00343599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 n</w:t>
                      </w:r>
                      <w:r w:rsidRPr="00FE3491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odal strength for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Electrodes Inside and Outside of Temporal Lobe</w:t>
                      </w:r>
                      <w:r w:rsidRPr="00FE3491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 in physiologically relevant frequency bands.</w:t>
                      </w:r>
                      <w:r w:rsidRPr="00FE3491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 xml:space="preserve">Nodal strength (i.e., </w:t>
                      </w:r>
                      <w:r w:rsidR="00343599">
                        <w:rPr>
                          <w:rFonts w:ascii="Arial" w:hAnsi="Arial" w:cs="Arial"/>
                          <w:sz w:val="18"/>
                        </w:rPr>
                        <w:t xml:space="preserve">the 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 xml:space="preserve">average sum of all FC values connected to a node) computed from </w:t>
                      </w:r>
                      <w:r w:rsidR="00343599">
                        <w:rPr>
                          <w:rFonts w:ascii="Arial" w:hAnsi="Arial" w:cs="Arial"/>
                          <w:sz w:val="18"/>
                        </w:rPr>
                        <w:t>Phase Locking Value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r w:rsidR="00343599">
                        <w:rPr>
                          <w:rFonts w:ascii="Arial" w:hAnsi="Arial" w:cs="Arial"/>
                          <w:sz w:val="18"/>
                        </w:rPr>
                        <w:t xml:space="preserve">for electrodes inside 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>(</w:t>
                      </w:r>
                      <w:r w:rsidR="00343599" w:rsidRPr="00FE3491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left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 xml:space="preserve">) and </w:t>
                      </w:r>
                      <w:r w:rsidR="00343599">
                        <w:rPr>
                          <w:rFonts w:ascii="Arial" w:hAnsi="Arial" w:cs="Arial"/>
                          <w:sz w:val="18"/>
                        </w:rPr>
                        <w:t xml:space="preserve">electrodes outside 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>(</w:t>
                      </w:r>
                      <w:r w:rsidR="00343599" w:rsidRPr="00FE3491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right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>)</w:t>
                      </w:r>
                      <w:r w:rsidR="00343599">
                        <w:rPr>
                          <w:rFonts w:ascii="Arial" w:hAnsi="Arial" w:cs="Arial"/>
                          <w:sz w:val="18"/>
                        </w:rPr>
                        <w:t xml:space="preserve"> of the temporal lobe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 xml:space="preserve"> for delta, theta, alpha, beta, low- and high- gamma</w:t>
                      </w:r>
                      <w:r w:rsidR="00343599">
                        <w:rPr>
                          <w:rFonts w:ascii="Arial" w:hAnsi="Arial" w:cs="Arial"/>
                          <w:sz w:val="18"/>
                        </w:rPr>
                        <w:t xml:space="preserve"> frequency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 xml:space="preserve"> bands </w:t>
                      </w:r>
                      <w:r w:rsidR="00343599">
                        <w:rPr>
                          <w:rFonts w:ascii="Arial" w:hAnsi="Arial" w:cs="Arial"/>
                          <w:sz w:val="18"/>
                        </w:rPr>
                        <w:t>for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 xml:space="preserve"> different epileptogenic states. Each epileptogenic state is color-coded: interictal activity with no spikes (green), interictal activity with spikes (blue), pre-ictal activity before the onset of a clinical seizure (yellow), ictal activity during a clinical seizure (red), post-ictal activity after the end of a clinical seizure (orange). Significant differences (p-value &lt;0.05) are marked with an asterisk (*) (</w:t>
                      </w:r>
                      <w:r w:rsidR="00343599" w:rsidRPr="00FE3491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Wilcoxon’s signed-rank</w:t>
                      </w:r>
                      <w:r w:rsidR="00343599" w:rsidRPr="00FE3491">
                        <w:rPr>
                          <w:rFonts w:ascii="Arial" w:hAnsi="Arial" w:cs="Arial"/>
                          <w:sz w:val="18"/>
                        </w:rPr>
                        <w:t xml:space="preserve"> test). P-values are corrected using false discovery rate correction for 10-comparisons.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5B2761" w14:textId="77777777" w:rsidR="00A859B9" w:rsidRDefault="00A859B9" w:rsidP="00A859B9">
      <w:pPr>
        <w:jc w:val="center"/>
      </w:pPr>
    </w:p>
    <w:p w14:paraId="712FC477" w14:textId="45F40F00" w:rsidR="00A859B9" w:rsidRDefault="00A859B9" w:rsidP="00A859B9">
      <w:pPr>
        <w:jc w:val="center"/>
      </w:pPr>
    </w:p>
    <w:p w14:paraId="3A5CB6F3" w14:textId="4071222E" w:rsidR="009A51AB" w:rsidRDefault="00343599" w:rsidP="00343599">
      <w:pPr>
        <w:jc w:val="center"/>
      </w:pPr>
      <w:r>
        <w:rPr>
          <w:noProof/>
        </w:rPr>
        <w:drawing>
          <wp:inline distT="0" distB="0" distL="0" distR="0" wp14:anchorId="4ED113F5" wp14:editId="7626900C">
            <wp:extent cx="5941060" cy="3237230"/>
            <wp:effectExtent l="0" t="0" r="254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4D5D9" w14:textId="153CC78B" w:rsidR="009A51AB" w:rsidRDefault="009A51AB"/>
    <w:p w14:paraId="57BFCD93" w14:textId="743E7570" w:rsidR="009A51AB" w:rsidRDefault="009A51AB"/>
    <w:p w14:paraId="05CC37A6" w14:textId="067F87BE" w:rsidR="009A51AB" w:rsidRDefault="009A51AB"/>
    <w:p w14:paraId="65872C7C" w14:textId="77777777" w:rsidR="009A51AB" w:rsidRDefault="009A51AB"/>
    <w:sectPr w:rsidR="009A5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4B"/>
    <w:rsid w:val="00075989"/>
    <w:rsid w:val="00100A8E"/>
    <w:rsid w:val="001149D2"/>
    <w:rsid w:val="002D377E"/>
    <w:rsid w:val="00343599"/>
    <w:rsid w:val="00412CC2"/>
    <w:rsid w:val="004442CC"/>
    <w:rsid w:val="004665F9"/>
    <w:rsid w:val="004C1307"/>
    <w:rsid w:val="00521268"/>
    <w:rsid w:val="005566E6"/>
    <w:rsid w:val="006A199F"/>
    <w:rsid w:val="006B207A"/>
    <w:rsid w:val="006C27ED"/>
    <w:rsid w:val="00744DFF"/>
    <w:rsid w:val="0091324C"/>
    <w:rsid w:val="009A51AB"/>
    <w:rsid w:val="009E4BB0"/>
    <w:rsid w:val="00A859B9"/>
    <w:rsid w:val="00B60E5D"/>
    <w:rsid w:val="00BD3AB6"/>
    <w:rsid w:val="00CF5A02"/>
    <w:rsid w:val="00D3634B"/>
    <w:rsid w:val="00D8076A"/>
    <w:rsid w:val="00DB45BD"/>
    <w:rsid w:val="00EB01CE"/>
    <w:rsid w:val="00EF780F"/>
    <w:rsid w:val="00F05F79"/>
    <w:rsid w:val="00F5348B"/>
    <w:rsid w:val="00F70E0B"/>
    <w:rsid w:val="00FD0677"/>
    <w:rsid w:val="00FE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66126"/>
  <w15:chartTrackingRefBased/>
  <w15:docId w15:val="{9BA3E4CD-62C9-473F-8739-B5C4EA1C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34B"/>
  </w:style>
  <w:style w:type="paragraph" w:styleId="Heading1">
    <w:name w:val="heading 1"/>
    <w:basedOn w:val="Normal"/>
    <w:link w:val="Heading1Char"/>
    <w:uiPriority w:val="9"/>
    <w:qFormat/>
    <w:rsid w:val="009A51AB"/>
    <w:pPr>
      <w:widowControl w:val="0"/>
      <w:autoSpaceDE w:val="0"/>
      <w:autoSpaceDN w:val="0"/>
      <w:spacing w:before="1" w:after="0" w:line="240" w:lineRule="auto"/>
      <w:ind w:left="13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1AB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A51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A51AB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9A51AB"/>
    <w:pPr>
      <w:widowControl w:val="0"/>
      <w:autoSpaceDE w:val="0"/>
      <w:autoSpaceDN w:val="0"/>
      <w:spacing w:before="91" w:after="0" w:line="240" w:lineRule="auto"/>
      <w:ind w:left="133"/>
    </w:pPr>
    <w:rPr>
      <w:rFonts w:ascii="Arial" w:eastAsia="Arial" w:hAnsi="Arial" w:cs="Arial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A51AB"/>
    <w:rPr>
      <w:rFonts w:ascii="Arial" w:eastAsia="Arial" w:hAnsi="Arial" w:cs="Arial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173</Words>
  <Characters>1041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Rijal, Sakar</dc:creator>
  <cp:keywords/>
  <dc:description/>
  <cp:lastModifiedBy>Rijal, Sakar</cp:lastModifiedBy>
  <cp:revision>21</cp:revision>
  <dcterms:created xsi:type="dcterms:W3CDTF">2022-04-20T14:32:00Z</dcterms:created>
  <dcterms:modified xsi:type="dcterms:W3CDTF">2022-10-05T19:55:00Z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6d94edd7a6fca34b9beed83c99ff3d35adf60f7525611106e586e74fc880d957</vt:lpwstr>
  </property>
</Properties>
</file>