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8EB0D1" w14:textId="4280BD8C" w:rsidR="00B000A4" w:rsidRPr="00257BAE" w:rsidRDefault="00B000A4" w:rsidP="00E4783F">
      <w:pPr>
        <w:jc w:val="center"/>
        <w:rPr>
          <w:b/>
          <w:bCs/>
          <w:sz w:val="24"/>
          <w:szCs w:val="24"/>
        </w:rPr>
      </w:pPr>
      <w:r w:rsidRPr="00257BAE">
        <w:rPr>
          <w:b/>
          <w:bCs/>
          <w:sz w:val="24"/>
          <w:szCs w:val="24"/>
        </w:rPr>
        <w:t xml:space="preserve">Supplemental Figure </w:t>
      </w:r>
      <w:r w:rsidR="00E96407">
        <w:rPr>
          <w:b/>
          <w:bCs/>
          <w:sz w:val="24"/>
          <w:szCs w:val="24"/>
        </w:rPr>
        <w:t>1</w:t>
      </w:r>
      <w:r w:rsidRPr="00257BAE">
        <w:rPr>
          <w:b/>
          <w:bCs/>
          <w:sz w:val="24"/>
          <w:szCs w:val="24"/>
        </w:rPr>
        <w:t>: Representative</w:t>
      </w:r>
      <w:r w:rsidR="00257BAE">
        <w:rPr>
          <w:b/>
          <w:bCs/>
          <w:sz w:val="24"/>
          <w:szCs w:val="24"/>
        </w:rPr>
        <w:t xml:space="preserve"> cell-binding</w:t>
      </w:r>
      <w:r w:rsidRPr="00257BAE">
        <w:rPr>
          <w:b/>
          <w:bCs/>
          <w:sz w:val="24"/>
          <w:szCs w:val="24"/>
        </w:rPr>
        <w:t xml:space="preserve"> gating</w:t>
      </w:r>
    </w:p>
    <w:p w14:paraId="1C3EF705" w14:textId="1D62A3B3" w:rsidR="00B000A4" w:rsidRDefault="00B000A4" w:rsidP="00E4783F">
      <w:pPr>
        <w:jc w:val="center"/>
        <w:rPr>
          <w:b/>
          <w:bCs/>
          <w:sz w:val="24"/>
          <w:szCs w:val="24"/>
        </w:rPr>
      </w:pPr>
      <w:r w:rsidRPr="00257BAE">
        <w:rPr>
          <w:b/>
          <w:bCs/>
          <w:noProof/>
          <w:sz w:val="24"/>
          <w:szCs w:val="24"/>
        </w:rPr>
        <w:drawing>
          <wp:inline distT="0" distB="0" distL="0" distR="0" wp14:anchorId="4473BFD8" wp14:editId="36908B1D">
            <wp:extent cx="5158341" cy="2903220"/>
            <wp:effectExtent l="0" t="0" r="444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61322" cy="2904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138CA" w14:textId="4FA12562" w:rsidR="00C60A07" w:rsidRDefault="00C60A07" w:rsidP="00C60A07">
      <w:pPr>
        <w:rPr>
          <w:sz w:val="24"/>
          <w:szCs w:val="24"/>
        </w:rPr>
      </w:pPr>
      <w:r w:rsidRPr="00A10CE0">
        <w:rPr>
          <w:b/>
          <w:bCs/>
          <w:sz w:val="24"/>
          <w:szCs w:val="24"/>
        </w:rPr>
        <w:t>Supplemental Figure 1: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Representative scatter and FITC gating used in binding experiments (Figure </w:t>
      </w:r>
      <w:r w:rsidR="008016FE">
        <w:rPr>
          <w:sz w:val="24"/>
          <w:szCs w:val="24"/>
        </w:rPr>
        <w:t>2</w:t>
      </w:r>
      <w:r>
        <w:rPr>
          <w:sz w:val="24"/>
          <w:szCs w:val="24"/>
        </w:rPr>
        <w:t>, Supplemental Figure 2&amp;3)</w:t>
      </w:r>
      <w:r w:rsidR="006E0261">
        <w:rPr>
          <w:sz w:val="24"/>
          <w:szCs w:val="24"/>
        </w:rPr>
        <w:t xml:space="preserve">. </w:t>
      </w:r>
      <w:r w:rsidR="00533C10">
        <w:rPr>
          <w:sz w:val="24"/>
          <w:szCs w:val="24"/>
        </w:rPr>
        <w:t>Cells incubated 30min with 1</w:t>
      </w:r>
      <w:r w:rsidR="00533C10">
        <w:rPr>
          <w:rFonts w:cstheme="minorHAnsi"/>
          <w:sz w:val="24"/>
          <w:szCs w:val="24"/>
        </w:rPr>
        <w:t>µ</w:t>
      </w:r>
      <w:r w:rsidR="00533C10">
        <w:rPr>
          <w:sz w:val="24"/>
          <w:szCs w:val="24"/>
        </w:rPr>
        <w:t>g dimer or monomeric component (100</w:t>
      </w:r>
      <w:r w:rsidR="00533C10">
        <w:rPr>
          <w:rFonts w:cstheme="minorHAnsi"/>
          <w:sz w:val="24"/>
          <w:szCs w:val="24"/>
        </w:rPr>
        <w:t>µ</w:t>
      </w:r>
      <w:r w:rsidR="00533C10">
        <w:rPr>
          <w:sz w:val="24"/>
          <w:szCs w:val="24"/>
        </w:rPr>
        <w:t>L volume).</w:t>
      </w:r>
    </w:p>
    <w:p w14:paraId="6C2EDBC6" w14:textId="2144521E" w:rsidR="000906F6" w:rsidRDefault="000906F6" w:rsidP="00E4783F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Supplemental Figure 2: HL60-binding controls</w:t>
      </w:r>
    </w:p>
    <w:p w14:paraId="288F85A9" w14:textId="404A17FC" w:rsidR="000906F6" w:rsidRPr="000906F6" w:rsidRDefault="000906F6" w:rsidP="00E4783F">
      <w:pPr>
        <w:jc w:val="center"/>
        <w:rPr>
          <w:b/>
          <w:bCs/>
          <w:sz w:val="24"/>
          <w:szCs w:val="24"/>
        </w:rPr>
      </w:pPr>
      <w:r w:rsidRPr="000906F6">
        <w:rPr>
          <w:b/>
          <w:bCs/>
          <w:noProof/>
          <w:sz w:val="24"/>
          <w:szCs w:val="24"/>
        </w:rPr>
        <w:drawing>
          <wp:inline distT="0" distB="0" distL="0" distR="0" wp14:anchorId="7586FD07" wp14:editId="52A3E5CD">
            <wp:extent cx="5167790" cy="30708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72599" cy="3073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B7BB8A" w14:textId="77777777" w:rsidR="00B000A4" w:rsidRPr="00257BAE" w:rsidRDefault="00B000A4" w:rsidP="00E4783F">
      <w:pPr>
        <w:jc w:val="center"/>
        <w:rPr>
          <w:b/>
          <w:bCs/>
          <w:sz w:val="24"/>
          <w:szCs w:val="24"/>
        </w:rPr>
      </w:pPr>
    </w:p>
    <w:p w14:paraId="55170635" w14:textId="0B208FEC" w:rsidR="000906F6" w:rsidRDefault="00C60A07" w:rsidP="00C60A07">
      <w:pPr>
        <w:rPr>
          <w:b/>
          <w:bCs/>
          <w:sz w:val="24"/>
          <w:szCs w:val="24"/>
        </w:rPr>
      </w:pPr>
      <w:r w:rsidRPr="00A10CE0">
        <w:rPr>
          <w:b/>
          <w:bCs/>
          <w:sz w:val="24"/>
          <w:szCs w:val="24"/>
        </w:rPr>
        <w:t xml:space="preserve">Supplemental Figure </w:t>
      </w:r>
      <w:r w:rsidR="006D1C7E">
        <w:rPr>
          <w:b/>
          <w:bCs/>
          <w:sz w:val="24"/>
          <w:szCs w:val="24"/>
        </w:rPr>
        <w:t>2</w:t>
      </w:r>
      <w:r w:rsidRPr="00A10CE0">
        <w:rPr>
          <w:b/>
          <w:bCs/>
          <w:sz w:val="24"/>
          <w:szCs w:val="24"/>
        </w:rPr>
        <w:t>: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Representative scatter and FITC gating used in binding experiments (Figure </w:t>
      </w:r>
      <w:r w:rsidR="008016FE">
        <w:rPr>
          <w:sz w:val="24"/>
          <w:szCs w:val="24"/>
        </w:rPr>
        <w:t>2</w:t>
      </w:r>
      <w:r>
        <w:rPr>
          <w:sz w:val="24"/>
          <w:szCs w:val="24"/>
        </w:rPr>
        <w:t>)</w:t>
      </w:r>
    </w:p>
    <w:p w14:paraId="53BCF74C" w14:textId="672E8B18" w:rsidR="000906F6" w:rsidRDefault="000906F6" w:rsidP="00E4783F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Supplemental Figure 3: Jurkat-binding controls</w:t>
      </w:r>
    </w:p>
    <w:p w14:paraId="7F9B15F8" w14:textId="7B34CD70" w:rsidR="000906F6" w:rsidRDefault="000906F6" w:rsidP="00E4783F">
      <w:pPr>
        <w:jc w:val="center"/>
        <w:rPr>
          <w:b/>
          <w:bCs/>
          <w:sz w:val="24"/>
          <w:szCs w:val="24"/>
        </w:rPr>
      </w:pPr>
      <w:r w:rsidRPr="000906F6">
        <w:rPr>
          <w:b/>
          <w:bCs/>
          <w:noProof/>
          <w:sz w:val="24"/>
          <w:szCs w:val="24"/>
        </w:rPr>
        <w:drawing>
          <wp:inline distT="0" distB="0" distL="0" distR="0" wp14:anchorId="33BA4736" wp14:editId="1A57278F">
            <wp:extent cx="5128144" cy="307086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31984" cy="307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94E711" w14:textId="08EF6A53" w:rsidR="00C60A07" w:rsidRDefault="00C60A07" w:rsidP="00C60A0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Supplemental Figure 3:</w:t>
      </w:r>
      <w:r>
        <w:rPr>
          <w:sz w:val="24"/>
          <w:szCs w:val="24"/>
        </w:rPr>
        <w:t xml:space="preserve"> Jurkat cells incubated with heterodimer or monomeric components and anti-Myc-FITC or anti-FLAG-FITC as indicated.</w:t>
      </w:r>
    </w:p>
    <w:p w14:paraId="0700554C" w14:textId="15F97F4A" w:rsidR="00B000A4" w:rsidRPr="00257BAE" w:rsidRDefault="00B000A4" w:rsidP="00E4783F">
      <w:pPr>
        <w:jc w:val="center"/>
        <w:rPr>
          <w:b/>
          <w:bCs/>
          <w:sz w:val="24"/>
          <w:szCs w:val="24"/>
        </w:rPr>
      </w:pPr>
      <w:r w:rsidRPr="00257BAE">
        <w:rPr>
          <w:b/>
          <w:bCs/>
          <w:sz w:val="24"/>
          <w:szCs w:val="24"/>
        </w:rPr>
        <w:t xml:space="preserve">Supplemental Figure </w:t>
      </w:r>
      <w:r w:rsidR="000906F6">
        <w:rPr>
          <w:b/>
          <w:bCs/>
          <w:sz w:val="24"/>
          <w:szCs w:val="24"/>
        </w:rPr>
        <w:t>4</w:t>
      </w:r>
      <w:r w:rsidRPr="00257BAE">
        <w:rPr>
          <w:b/>
          <w:bCs/>
          <w:sz w:val="24"/>
          <w:szCs w:val="24"/>
        </w:rPr>
        <w:t>: Representative cytotoxicity gating</w:t>
      </w:r>
    </w:p>
    <w:p w14:paraId="6A3143AB" w14:textId="4727588B" w:rsidR="00B000A4" w:rsidRPr="00257BAE" w:rsidRDefault="002C586B" w:rsidP="00E4783F">
      <w:pPr>
        <w:jc w:val="center"/>
        <w:rPr>
          <w:b/>
          <w:bCs/>
          <w:sz w:val="24"/>
          <w:szCs w:val="24"/>
        </w:rPr>
      </w:pPr>
      <w:r w:rsidRPr="00257BAE">
        <w:rPr>
          <w:b/>
          <w:bCs/>
          <w:noProof/>
          <w:sz w:val="24"/>
          <w:szCs w:val="24"/>
        </w:rPr>
        <w:drawing>
          <wp:inline distT="0" distB="0" distL="0" distR="0" wp14:anchorId="4B7C9553" wp14:editId="02A8C2A4">
            <wp:extent cx="4433218" cy="3398520"/>
            <wp:effectExtent l="0" t="0" r="571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35865" cy="3400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DAF08" w14:textId="58602BA9" w:rsidR="00C60A07" w:rsidRDefault="00C60A07" w:rsidP="00C60A0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Supplemental Figure 4: </w:t>
      </w:r>
      <w:r>
        <w:rPr>
          <w:sz w:val="24"/>
          <w:szCs w:val="24"/>
        </w:rPr>
        <w:t xml:space="preserve">Representative gating of in vitro cytotoxicity experiments (Figure </w:t>
      </w:r>
      <w:r w:rsidR="008016FE">
        <w:rPr>
          <w:sz w:val="24"/>
          <w:szCs w:val="24"/>
        </w:rPr>
        <w:t>3</w:t>
      </w:r>
      <w:r>
        <w:rPr>
          <w:sz w:val="24"/>
          <w:szCs w:val="24"/>
        </w:rPr>
        <w:t>)</w:t>
      </w:r>
    </w:p>
    <w:p w14:paraId="521CA94F" w14:textId="5F057D88" w:rsidR="00E4783F" w:rsidRPr="00257BAE" w:rsidRDefault="00E4783F" w:rsidP="00E4783F">
      <w:pPr>
        <w:jc w:val="center"/>
        <w:rPr>
          <w:b/>
          <w:bCs/>
          <w:sz w:val="24"/>
          <w:szCs w:val="24"/>
        </w:rPr>
      </w:pPr>
      <w:r w:rsidRPr="00257BAE">
        <w:rPr>
          <w:b/>
          <w:bCs/>
          <w:sz w:val="24"/>
          <w:szCs w:val="24"/>
        </w:rPr>
        <w:lastRenderedPageBreak/>
        <w:t xml:space="preserve">Supplemental Figure </w:t>
      </w:r>
      <w:r w:rsidR="000906F6">
        <w:rPr>
          <w:b/>
          <w:bCs/>
          <w:sz w:val="24"/>
          <w:szCs w:val="24"/>
        </w:rPr>
        <w:t>5</w:t>
      </w:r>
      <w:r w:rsidR="00B000A4" w:rsidRPr="00257BAE">
        <w:rPr>
          <w:b/>
          <w:bCs/>
          <w:sz w:val="24"/>
          <w:szCs w:val="24"/>
        </w:rPr>
        <w:t>: Monomeric components do not enhance T-cell cytotoxicity</w:t>
      </w:r>
    </w:p>
    <w:p w14:paraId="233C1EFA" w14:textId="12BC051B" w:rsidR="002E2C90" w:rsidRPr="00257BAE" w:rsidRDefault="00E4783F" w:rsidP="00E4783F">
      <w:pPr>
        <w:jc w:val="center"/>
        <w:rPr>
          <w:b/>
          <w:bCs/>
          <w:sz w:val="24"/>
          <w:szCs w:val="24"/>
        </w:rPr>
      </w:pPr>
      <w:r w:rsidRPr="00257BAE">
        <w:rPr>
          <w:b/>
          <w:bCs/>
          <w:noProof/>
          <w:sz w:val="24"/>
          <w:szCs w:val="24"/>
        </w:rPr>
        <w:drawing>
          <wp:inline distT="0" distB="0" distL="0" distR="0" wp14:anchorId="08854298" wp14:editId="7B588746">
            <wp:extent cx="3552825" cy="29908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2825" cy="299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F1A15" w14:textId="63678144" w:rsidR="00F55044" w:rsidRDefault="00FF35B0" w:rsidP="00A10CE0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Supplemental Figure 5: </w:t>
      </w:r>
      <w:r>
        <w:rPr>
          <w:sz w:val="24"/>
          <w:szCs w:val="24"/>
        </w:rPr>
        <w:t>Specific cytotoxicity of T-cells to HL-60 is not enhanced by monomeric components. Monomeric components are not toxic to HL-60.</w:t>
      </w:r>
      <w:r w:rsidR="007F3945">
        <w:rPr>
          <w:sz w:val="24"/>
          <w:szCs w:val="24"/>
        </w:rPr>
        <w:t xml:space="preserve"> 3</w:t>
      </w:r>
      <w:r w:rsidR="007F3945">
        <w:rPr>
          <w:rFonts w:cstheme="minorHAnsi"/>
          <w:sz w:val="24"/>
          <w:szCs w:val="24"/>
        </w:rPr>
        <w:t>µ</w:t>
      </w:r>
      <w:r w:rsidR="007F3945">
        <w:rPr>
          <w:sz w:val="24"/>
          <w:szCs w:val="24"/>
        </w:rPr>
        <w:t>g of monomer per well</w:t>
      </w:r>
      <w:r w:rsidR="00B24015">
        <w:rPr>
          <w:sz w:val="24"/>
          <w:szCs w:val="24"/>
        </w:rPr>
        <w:t xml:space="preserve"> (200</w:t>
      </w:r>
      <w:r w:rsidR="00B24015">
        <w:rPr>
          <w:rFonts w:cstheme="minorHAnsi"/>
          <w:sz w:val="24"/>
          <w:szCs w:val="24"/>
        </w:rPr>
        <w:t>µ</w:t>
      </w:r>
      <w:r w:rsidR="00B24015">
        <w:rPr>
          <w:sz w:val="24"/>
          <w:szCs w:val="24"/>
        </w:rPr>
        <w:t>L well volume)</w:t>
      </w:r>
      <w:r w:rsidR="00182B48">
        <w:rPr>
          <w:sz w:val="24"/>
          <w:szCs w:val="24"/>
        </w:rPr>
        <w:t>, incubated 16hr.</w:t>
      </w:r>
      <w:r w:rsidR="000C0C84">
        <w:rPr>
          <w:sz w:val="24"/>
          <w:szCs w:val="24"/>
        </w:rPr>
        <w:t xml:space="preserve"> </w:t>
      </w:r>
      <w:r w:rsidR="000C0C84" w:rsidRPr="000C0C84">
        <w:rPr>
          <w:sz w:val="24"/>
          <w:szCs w:val="24"/>
        </w:rPr>
        <w:t>Data reported as individual values from triplicates.</w:t>
      </w:r>
    </w:p>
    <w:p w14:paraId="443B14BD" w14:textId="77777777" w:rsidR="00F55044" w:rsidRDefault="00F55044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7A78CCF" w14:textId="79F0B8BE" w:rsidR="00FF35B0" w:rsidRPr="00FF35B0" w:rsidRDefault="00F55044" w:rsidP="00F55044">
      <w:pPr>
        <w:rPr>
          <w:sz w:val="24"/>
          <w:szCs w:val="24"/>
        </w:rPr>
      </w:pPr>
      <w:r w:rsidRPr="00F55044">
        <w:rPr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EC5799" wp14:editId="5FE944B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34514" cy="307777"/>
                <wp:effectExtent l="0" t="0" r="0" b="0"/>
                <wp:wrapNone/>
                <wp:docPr id="73" name="TextBox 72">
                  <a:extLst xmlns:a="http://schemas.openxmlformats.org/drawingml/2006/main">
                    <a:ext uri="{FF2B5EF4-FFF2-40B4-BE49-F238E27FC236}">
                      <a16:creationId xmlns:a16="http://schemas.microsoft.com/office/drawing/2014/main" id="{7D38346E-DA69-4AE5-A015-BF3653343D6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4514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4BCEF40" w14:textId="77777777" w:rsidR="00F55044" w:rsidRDefault="00F55044" w:rsidP="00F55044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*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  <w:t>1. Control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  <w:t>2. T-cells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  <w:t>3. Dimer + T-cells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2EC5799" id="_x0000_t202" coordsize="21600,21600" o:spt="202" path="m,l,21600r21600,l21600,xe">
                <v:stroke joinstyle="miter"/>
                <v:path gradientshapeok="t" o:connecttype="rect"/>
              </v:shapetype>
              <v:shape id="TextBox 72" o:spid="_x0000_s1026" type="#_x0000_t202" style="position:absolute;margin-left:0;margin-top:0;width:467.3pt;height:24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" filled="f" stroked="f">
                <v:textbox style="mso-fit-shape-to-text:t">
                  <w:txbxContent>
                    <w:p w14:paraId="34BCEF40" w14:textId="77777777" w:rsidR="00F55044" w:rsidRDefault="00F55044" w:rsidP="00F55044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*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  <w:t>1. Control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  <w:t>2. T-cells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  <w:t>3. Dimer + T-cells</w:t>
                      </w:r>
                    </w:p>
                  </w:txbxContent>
                </v:textbox>
              </v:shape>
            </w:pict>
          </mc:Fallback>
        </mc:AlternateContent>
      </w:r>
    </w:p>
    <w:p w14:paraId="51C5CA9F" w14:textId="77777777" w:rsidR="00F55044" w:rsidRDefault="00F55044" w:rsidP="00F55044">
      <w:pPr>
        <w:rPr>
          <w:b/>
          <w:bCs/>
        </w:rPr>
      </w:pPr>
      <w:r w:rsidRPr="00497CE0">
        <w:rPr>
          <w:b/>
          <w:bCs/>
        </w:rPr>
        <w:t>Day 21</w:t>
      </w:r>
    </w:p>
    <w:p w14:paraId="2BFB0C3B" w14:textId="77777777" w:rsidR="00F55044" w:rsidRDefault="00F55044" w:rsidP="00F55044">
      <w:pPr>
        <w:rPr>
          <w:b/>
          <w:bCs/>
        </w:rPr>
      </w:pPr>
      <w:r w:rsidRPr="00497CE0">
        <w:rPr>
          <w:b/>
          <w:bCs/>
          <w:noProof/>
        </w:rPr>
        <w:drawing>
          <wp:inline distT="0" distB="0" distL="0" distR="0" wp14:anchorId="4B201E46" wp14:editId="2A364A15">
            <wp:extent cx="5943600" cy="797560"/>
            <wp:effectExtent l="0" t="0" r="0" b="2540"/>
            <wp:docPr id="6" name="Picture 2" descr="Background pattern&#10;&#10;Description automatically generated with low confidence">
              <a:extLst xmlns:a="http://schemas.openxmlformats.org/drawingml/2006/main">
                <a:ext uri="{FF2B5EF4-FFF2-40B4-BE49-F238E27FC236}">
                  <a16:creationId xmlns:a16="http://schemas.microsoft.com/office/drawing/2014/main" id="{69B1B357-BAB4-4095-A211-E11F6CC8F31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" descr="Background pattern&#10;&#10;Description automatically generated with low confidence">
                      <a:extLst>
                        <a:ext uri="{FF2B5EF4-FFF2-40B4-BE49-F238E27FC236}">
                          <a16:creationId xmlns:a16="http://schemas.microsoft.com/office/drawing/2014/main" id="{69B1B357-BAB4-4095-A211-E11F6CC8F31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10FE70" w14:textId="77777777" w:rsidR="00F55044" w:rsidRDefault="00F55044" w:rsidP="00F55044">
      <w:pPr>
        <w:rPr>
          <w:b/>
          <w:bCs/>
        </w:rPr>
      </w:pPr>
      <w:r>
        <w:rPr>
          <w:b/>
          <w:bCs/>
        </w:rPr>
        <w:t>Day 23</w:t>
      </w:r>
    </w:p>
    <w:p w14:paraId="7BFDE1B4" w14:textId="77777777" w:rsidR="00F55044" w:rsidRDefault="00F55044" w:rsidP="00F55044">
      <w:pPr>
        <w:rPr>
          <w:b/>
          <w:bCs/>
        </w:rPr>
      </w:pPr>
      <w:r w:rsidRPr="00497CE0">
        <w:rPr>
          <w:b/>
          <w:bCs/>
          <w:noProof/>
        </w:rPr>
        <w:drawing>
          <wp:inline distT="0" distB="0" distL="0" distR="0" wp14:anchorId="7FC4DB9F" wp14:editId="3E2A545A">
            <wp:extent cx="5943600" cy="737870"/>
            <wp:effectExtent l="0" t="0" r="0" b="5080"/>
            <wp:docPr id="7" name="Picture 2" descr="Background pattern&#10;&#10;Description automatically generated with low confidence">
              <a:extLst xmlns:a="http://schemas.openxmlformats.org/drawingml/2006/main">
                <a:ext uri="{FF2B5EF4-FFF2-40B4-BE49-F238E27FC236}">
                  <a16:creationId xmlns:a16="http://schemas.microsoft.com/office/drawing/2014/main" id="{E5C0AB74-13B4-43F5-BA0E-3B3A5055AF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2" descr="Background pattern&#10;&#10;Description automatically generated with low confidence">
                      <a:extLst>
                        <a:ext uri="{FF2B5EF4-FFF2-40B4-BE49-F238E27FC236}">
                          <a16:creationId xmlns:a16="http://schemas.microsoft.com/office/drawing/2014/main" id="{E5C0AB74-13B4-43F5-BA0E-3B3A5055AF5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3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8C07C" w14:textId="77777777" w:rsidR="00F55044" w:rsidRDefault="00F55044" w:rsidP="00F55044">
      <w:pPr>
        <w:rPr>
          <w:b/>
          <w:bCs/>
        </w:rPr>
      </w:pPr>
      <w:r>
        <w:rPr>
          <w:b/>
          <w:bCs/>
        </w:rPr>
        <w:t>Day 27</w:t>
      </w:r>
    </w:p>
    <w:p w14:paraId="118D25E6" w14:textId="77777777" w:rsidR="00F55044" w:rsidRDefault="00F55044" w:rsidP="00F55044">
      <w:pPr>
        <w:rPr>
          <w:b/>
          <w:bCs/>
        </w:rPr>
      </w:pPr>
      <w:r w:rsidRPr="00497CE0">
        <w:rPr>
          <w:b/>
          <w:bCs/>
          <w:noProof/>
        </w:rPr>
        <w:drawing>
          <wp:inline distT="0" distB="0" distL="0" distR="0" wp14:anchorId="78F2E89E" wp14:editId="19D2F321">
            <wp:extent cx="5943600" cy="786130"/>
            <wp:effectExtent l="0" t="0" r="0" b="0"/>
            <wp:docPr id="8" name="Picture 8" descr="Background pattern&#10;&#10;Description automatically generated with low confidence">
              <a:extLst xmlns:a="http://schemas.openxmlformats.org/drawingml/2006/main">
                <a:ext uri="{FF2B5EF4-FFF2-40B4-BE49-F238E27FC236}">
                  <a16:creationId xmlns:a16="http://schemas.microsoft.com/office/drawing/2014/main" id="{F6E1A504-0A16-48D4-9AC5-30E1FCBA1E3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Background pattern&#10;&#10;Description automatically generated with low confidence">
                      <a:extLst>
                        <a:ext uri="{FF2B5EF4-FFF2-40B4-BE49-F238E27FC236}">
                          <a16:creationId xmlns:a16="http://schemas.microsoft.com/office/drawing/2014/main" id="{F6E1A504-0A16-48D4-9AC5-30E1FCBA1E3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8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F39BA7" w14:textId="77777777" w:rsidR="00F55044" w:rsidRDefault="00F55044" w:rsidP="00F55044">
      <w:pPr>
        <w:rPr>
          <w:b/>
          <w:bCs/>
        </w:rPr>
      </w:pPr>
      <w:r>
        <w:rPr>
          <w:b/>
          <w:bCs/>
        </w:rPr>
        <w:t>Day 31</w:t>
      </w:r>
    </w:p>
    <w:p w14:paraId="12A7513A" w14:textId="77777777" w:rsidR="00F55044" w:rsidRDefault="00F55044" w:rsidP="00F55044">
      <w:pPr>
        <w:rPr>
          <w:b/>
          <w:bCs/>
        </w:rPr>
      </w:pPr>
      <w:r w:rsidRPr="00497CE0">
        <w:rPr>
          <w:b/>
          <w:bCs/>
          <w:noProof/>
        </w:rPr>
        <w:drawing>
          <wp:inline distT="0" distB="0" distL="0" distR="0" wp14:anchorId="4CC60B09" wp14:editId="64A22E23">
            <wp:extent cx="5943600" cy="791845"/>
            <wp:effectExtent l="0" t="0" r="0" b="8255"/>
            <wp:docPr id="4" name="Picture 2" descr="A picture containing graphical user interfac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4D4820F-DF1B-4464-A0DF-0626BAC22DC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A picture containing graphical user interface&#10;&#10;Description automatically generated">
                      <a:extLst>
                        <a:ext uri="{FF2B5EF4-FFF2-40B4-BE49-F238E27FC236}">
                          <a16:creationId xmlns:a16="http://schemas.microsoft.com/office/drawing/2014/main" id="{54D4820F-DF1B-4464-A0DF-0626BAC22DC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3E5C7" w14:textId="77777777" w:rsidR="00F55044" w:rsidRDefault="00F55044" w:rsidP="00F55044">
      <w:pPr>
        <w:rPr>
          <w:b/>
          <w:bCs/>
        </w:rPr>
      </w:pPr>
      <w:r>
        <w:rPr>
          <w:b/>
          <w:bCs/>
        </w:rPr>
        <w:t>Day 33</w:t>
      </w:r>
    </w:p>
    <w:p w14:paraId="3CF2D69D" w14:textId="77777777" w:rsidR="00F55044" w:rsidRPr="00497CE0" w:rsidRDefault="00F55044" w:rsidP="00F55044">
      <w:pPr>
        <w:rPr>
          <w:b/>
          <w:bCs/>
        </w:rPr>
      </w:pPr>
      <w:r w:rsidRPr="00497CE0">
        <w:rPr>
          <w:b/>
          <w:bCs/>
          <w:noProof/>
        </w:rPr>
        <w:drawing>
          <wp:inline distT="0" distB="0" distL="0" distR="0" wp14:anchorId="3CD0D4B3" wp14:editId="327CA4A7">
            <wp:extent cx="5943600" cy="802005"/>
            <wp:effectExtent l="0" t="0" r="0" b="0"/>
            <wp:docPr id="5" name="Picture 2" descr="A picture containing graphical user interfac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E2D91527-C76F-4DC3-A78A-3CE5EFE1FA1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 descr="A picture containing graphical user interface&#10;&#10;Description automatically generated">
                      <a:extLst>
                        <a:ext uri="{FF2B5EF4-FFF2-40B4-BE49-F238E27FC236}">
                          <a16:creationId xmlns:a16="http://schemas.microsoft.com/office/drawing/2014/main" id="{E2D91527-C76F-4DC3-A78A-3CE5EFE1FA1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BFFC57" w14:textId="5C064817" w:rsidR="00A10CE0" w:rsidRPr="00F55044" w:rsidRDefault="00F55044" w:rsidP="00F55044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Supplemental Figure 6: </w:t>
      </w:r>
      <w:r w:rsidRPr="00F55044">
        <w:rPr>
          <w:sz w:val="24"/>
          <w:szCs w:val="24"/>
        </w:rPr>
        <w:t>Additional</w:t>
      </w:r>
      <w:r>
        <w:rPr>
          <w:b/>
          <w:bCs/>
          <w:sz w:val="24"/>
          <w:szCs w:val="24"/>
        </w:rPr>
        <w:t xml:space="preserve"> </w:t>
      </w:r>
      <w:r w:rsidRPr="00F55044">
        <w:rPr>
          <w:sz w:val="24"/>
          <w:szCs w:val="24"/>
        </w:rPr>
        <w:t xml:space="preserve">Whole-body bioluminescent images at listed days. Background removed according to total flux from uninjected imaging control (*). </w:t>
      </w:r>
    </w:p>
    <w:sectPr w:rsidR="00A10CE0" w:rsidRPr="00F550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G3MDQ1NDc0MLKwMLVU0lEKTi0uzszPAykwqwUAQCWHqiwAAAA="/>
  </w:docVars>
  <w:rsids>
    <w:rsidRoot w:val="00E4783F"/>
    <w:rsid w:val="0005772B"/>
    <w:rsid w:val="000906F6"/>
    <w:rsid w:val="000C0C84"/>
    <w:rsid w:val="00140FC1"/>
    <w:rsid w:val="00182B48"/>
    <w:rsid w:val="001E6D0C"/>
    <w:rsid w:val="00257BAE"/>
    <w:rsid w:val="002C586B"/>
    <w:rsid w:val="002E2C90"/>
    <w:rsid w:val="004B0974"/>
    <w:rsid w:val="00533C10"/>
    <w:rsid w:val="005B597C"/>
    <w:rsid w:val="006D1C7E"/>
    <w:rsid w:val="006E0261"/>
    <w:rsid w:val="007F3945"/>
    <w:rsid w:val="008016FE"/>
    <w:rsid w:val="009E1CE1"/>
    <w:rsid w:val="00A10CE0"/>
    <w:rsid w:val="00B000A4"/>
    <w:rsid w:val="00B24015"/>
    <w:rsid w:val="00C60A07"/>
    <w:rsid w:val="00E4783F"/>
    <w:rsid w:val="00E96407"/>
    <w:rsid w:val="00F55044"/>
    <w:rsid w:val="00FD588F"/>
    <w:rsid w:val="00FF3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819042"/>
  <w15:chartTrackingRefBased/>
  <w15:docId w15:val="{435A470F-1C42-4C30-802D-8E7E6CE59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0A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6D1C7E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D1C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1C7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1C7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1C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1C7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Burke, Alan A.</dc:creator>
  <cp:keywords/>
  <dc:description/>
  <cp:lastModifiedBy>Abdullah Ali</cp:lastModifiedBy>
  <cp:revision>7</cp:revision>
  <cp:lastPrinted>2022-09-06T17:56:00Z</cp:lastPrinted>
  <dcterms:created xsi:type="dcterms:W3CDTF">2022-10-13T22:46:00Z</dcterms:created>
  <dcterms:modified xsi:type="dcterms:W3CDTF">2022-10-20T15:27:00Z</dcterms:modified>
</cp:coreProperties>
</file>