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352" w:rsidRPr="005F4C5F" w:rsidRDefault="00E86BEF">
      <w:pPr>
        <w:pStyle w:val="Titre"/>
        <w:jc w:val="both"/>
        <w:rPr>
          <w:lang w:val="en-US"/>
        </w:rPr>
      </w:pPr>
      <w:bookmarkStart w:id="0" w:name="_gjdgxs" w:colFirst="0" w:colLast="0"/>
      <w:bookmarkEnd w:id="0"/>
      <w:r w:rsidRPr="005F4C5F">
        <w:rPr>
          <w:b/>
          <w:sz w:val="30"/>
          <w:szCs w:val="30"/>
          <w:lang w:val="en-US"/>
        </w:rPr>
        <w:t>A new method for quantifying treeline-ecotone change based on multiple spatial pattern dimensions</w:t>
      </w:r>
    </w:p>
    <w:p w:rsidR="00E34352" w:rsidRPr="005F4C5F" w:rsidRDefault="00E86BEF">
      <w:pPr>
        <w:pStyle w:val="normal0"/>
        <w:jc w:val="both"/>
        <w:rPr>
          <w:i/>
          <w:sz w:val="20"/>
          <w:szCs w:val="20"/>
          <w:lang w:val="en-US"/>
        </w:rPr>
      </w:pPr>
      <w:r w:rsidRPr="005F4C5F">
        <w:rPr>
          <w:i/>
          <w:sz w:val="20"/>
          <w:szCs w:val="20"/>
          <w:lang w:val="en-US"/>
        </w:rPr>
        <w:t>Landscape Ecology</w:t>
      </w:r>
    </w:p>
    <w:p w:rsidR="00E34352" w:rsidRPr="005F4C5F" w:rsidRDefault="00E34352">
      <w:pPr>
        <w:pStyle w:val="normal0"/>
        <w:jc w:val="both"/>
        <w:rPr>
          <w:sz w:val="20"/>
          <w:szCs w:val="20"/>
          <w:lang w:val="en-US"/>
        </w:rPr>
      </w:pPr>
    </w:p>
    <w:p w:rsidR="00E34352" w:rsidRPr="005F4C5F" w:rsidRDefault="00E86BEF">
      <w:pPr>
        <w:pStyle w:val="normal0"/>
        <w:jc w:val="both"/>
        <w:rPr>
          <w:sz w:val="20"/>
          <w:szCs w:val="20"/>
          <w:lang w:val="en-US"/>
        </w:rPr>
      </w:pPr>
      <w:r w:rsidRPr="005F4C5F">
        <w:rPr>
          <w:sz w:val="20"/>
          <w:szCs w:val="20"/>
          <w:lang w:val="en-US"/>
        </w:rPr>
        <w:t>Déborah Birre</w:t>
      </w:r>
      <w:r w:rsidRPr="005F4C5F">
        <w:rPr>
          <w:sz w:val="20"/>
          <w:szCs w:val="20"/>
          <w:vertAlign w:val="superscript"/>
          <w:lang w:val="en-US"/>
        </w:rPr>
        <w:t>1</w:t>
      </w:r>
      <w:r w:rsidRPr="005F4C5F">
        <w:rPr>
          <w:sz w:val="20"/>
          <w:szCs w:val="20"/>
          <w:lang w:val="en-US"/>
        </w:rPr>
        <w:t>, Thierry Feuillet</w:t>
      </w:r>
      <w:r w:rsidRPr="005F4C5F">
        <w:rPr>
          <w:sz w:val="20"/>
          <w:szCs w:val="20"/>
          <w:vertAlign w:val="superscript"/>
          <w:lang w:val="en-US"/>
        </w:rPr>
        <w:t>2</w:t>
      </w:r>
      <w:r w:rsidRPr="005F4C5F">
        <w:rPr>
          <w:sz w:val="20"/>
          <w:szCs w:val="20"/>
          <w:lang w:val="en-US"/>
        </w:rPr>
        <w:t>, Roman Lagalis</w:t>
      </w:r>
      <w:r w:rsidRPr="005F4C5F">
        <w:rPr>
          <w:sz w:val="20"/>
          <w:szCs w:val="20"/>
          <w:vertAlign w:val="superscript"/>
          <w:lang w:val="en-US"/>
        </w:rPr>
        <w:t>3</w:t>
      </w:r>
      <w:r w:rsidRPr="005F4C5F">
        <w:rPr>
          <w:sz w:val="20"/>
          <w:szCs w:val="20"/>
          <w:lang w:val="en-US"/>
        </w:rPr>
        <w:t>, Johan Milian</w:t>
      </w:r>
      <w:r w:rsidRPr="005F4C5F">
        <w:rPr>
          <w:sz w:val="20"/>
          <w:szCs w:val="20"/>
          <w:vertAlign w:val="superscript"/>
          <w:lang w:val="en-US"/>
        </w:rPr>
        <w:t>4</w:t>
      </w:r>
      <w:r w:rsidRPr="005F4C5F">
        <w:rPr>
          <w:sz w:val="20"/>
          <w:szCs w:val="20"/>
          <w:lang w:val="en-US"/>
        </w:rPr>
        <w:t>, Frédéric Alexandre</w:t>
      </w:r>
      <w:r w:rsidRPr="005F4C5F">
        <w:rPr>
          <w:sz w:val="20"/>
          <w:szCs w:val="20"/>
          <w:vertAlign w:val="superscript"/>
          <w:lang w:val="en-US"/>
        </w:rPr>
        <w:t>1</w:t>
      </w:r>
      <w:r w:rsidRPr="005F4C5F">
        <w:rPr>
          <w:sz w:val="20"/>
          <w:szCs w:val="20"/>
          <w:lang w:val="en-US"/>
        </w:rPr>
        <w:t>, David Sheeren</w:t>
      </w:r>
      <w:r w:rsidRPr="005F4C5F">
        <w:rPr>
          <w:sz w:val="20"/>
          <w:szCs w:val="20"/>
          <w:vertAlign w:val="superscript"/>
          <w:lang w:val="en-US"/>
        </w:rPr>
        <w:t>5</w:t>
      </w:r>
      <w:r w:rsidRPr="005F4C5F">
        <w:rPr>
          <w:sz w:val="20"/>
          <w:szCs w:val="20"/>
          <w:lang w:val="en-US"/>
        </w:rPr>
        <w:t>, Roberto Serrano-Notivoli</w:t>
      </w:r>
      <w:r w:rsidRPr="005F4C5F">
        <w:rPr>
          <w:sz w:val="20"/>
          <w:szCs w:val="20"/>
          <w:vertAlign w:val="superscript"/>
          <w:lang w:val="en-US"/>
        </w:rPr>
        <w:t>6</w:t>
      </w:r>
      <w:r w:rsidRPr="005F4C5F">
        <w:rPr>
          <w:sz w:val="20"/>
          <w:szCs w:val="20"/>
          <w:lang w:val="en-US"/>
        </w:rPr>
        <w:t>, Matthieu</w:t>
      </w:r>
      <w:r w:rsidRPr="005F4C5F">
        <w:rPr>
          <w:sz w:val="20"/>
          <w:szCs w:val="20"/>
          <w:lang w:val="en-US"/>
        </w:rPr>
        <w:t xml:space="preserve"> Vignal</w:t>
      </w:r>
      <w:r w:rsidRPr="005F4C5F">
        <w:rPr>
          <w:sz w:val="20"/>
          <w:szCs w:val="20"/>
          <w:vertAlign w:val="superscript"/>
          <w:lang w:val="en-US"/>
        </w:rPr>
        <w:t>7</w:t>
      </w:r>
      <w:r w:rsidRPr="005F4C5F">
        <w:rPr>
          <w:sz w:val="20"/>
          <w:szCs w:val="20"/>
          <w:lang w:val="en-US"/>
        </w:rPr>
        <w:t>, Maaike Bader</w:t>
      </w:r>
      <w:r w:rsidRPr="005F4C5F">
        <w:rPr>
          <w:sz w:val="20"/>
          <w:szCs w:val="20"/>
          <w:vertAlign w:val="superscript"/>
          <w:lang w:val="en-US"/>
        </w:rPr>
        <w:t>8</w:t>
      </w:r>
    </w:p>
    <w:p w:rsidR="00E34352" w:rsidRPr="005F4C5F" w:rsidRDefault="00E34352">
      <w:pPr>
        <w:pStyle w:val="normal0"/>
        <w:jc w:val="both"/>
        <w:rPr>
          <w:sz w:val="20"/>
          <w:szCs w:val="20"/>
          <w:lang w:val="en-US"/>
        </w:rPr>
      </w:pPr>
    </w:p>
    <w:p w:rsidR="00E34352" w:rsidRDefault="00E86BEF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Université Sorbonne Paris Nord, PLEIADE, UR 7338, F-93430, Villetaneuse, France</w:t>
      </w:r>
    </w:p>
    <w:p w:rsidR="00E34352" w:rsidRPr="005F4C5F" w:rsidRDefault="00E86BEF">
      <w:pPr>
        <w:pStyle w:val="normal0"/>
        <w:jc w:val="both"/>
        <w:rPr>
          <w:sz w:val="20"/>
          <w:szCs w:val="20"/>
          <w:lang w:val="en-US"/>
        </w:rPr>
      </w:pPr>
      <w:r w:rsidRPr="005F4C5F">
        <w:rPr>
          <w:sz w:val="20"/>
          <w:szCs w:val="20"/>
          <w:vertAlign w:val="superscript"/>
          <w:lang w:val="en-US"/>
        </w:rPr>
        <w:t>2</w:t>
      </w:r>
      <w:r w:rsidRPr="005F4C5F">
        <w:rPr>
          <w:sz w:val="20"/>
          <w:szCs w:val="20"/>
          <w:lang w:val="en-US"/>
        </w:rPr>
        <w:t xml:space="preserve"> University of Caen, IDEES, UMR 6266, Caen, France</w:t>
      </w:r>
    </w:p>
    <w:p w:rsidR="00E34352" w:rsidRPr="005F4C5F" w:rsidRDefault="00E86BEF">
      <w:pPr>
        <w:pStyle w:val="normal0"/>
        <w:jc w:val="both"/>
        <w:rPr>
          <w:sz w:val="20"/>
          <w:szCs w:val="20"/>
          <w:lang w:val="en-US"/>
        </w:rPr>
      </w:pPr>
      <w:r w:rsidRPr="005F4C5F">
        <w:rPr>
          <w:sz w:val="20"/>
          <w:szCs w:val="20"/>
          <w:vertAlign w:val="superscript"/>
          <w:lang w:val="en-US"/>
        </w:rPr>
        <w:t xml:space="preserve">3 </w:t>
      </w:r>
      <w:r w:rsidRPr="005F4C5F">
        <w:rPr>
          <w:sz w:val="20"/>
          <w:szCs w:val="20"/>
          <w:lang w:val="en-US"/>
        </w:rPr>
        <w:t>University of Paris</w:t>
      </w:r>
      <w:r w:rsidR="005F4C5F">
        <w:rPr>
          <w:sz w:val="20"/>
          <w:szCs w:val="20"/>
          <w:lang w:val="en-US"/>
        </w:rPr>
        <w:t xml:space="preserve"> Cité</w:t>
      </w:r>
      <w:r w:rsidRPr="005F4C5F">
        <w:rPr>
          <w:sz w:val="20"/>
          <w:szCs w:val="20"/>
          <w:lang w:val="en-US"/>
        </w:rPr>
        <w:t>, Paris, France</w:t>
      </w:r>
    </w:p>
    <w:p w:rsidR="00E34352" w:rsidRPr="005F4C5F" w:rsidRDefault="00E86BEF">
      <w:pPr>
        <w:pStyle w:val="normal0"/>
        <w:jc w:val="both"/>
        <w:rPr>
          <w:sz w:val="20"/>
          <w:szCs w:val="20"/>
          <w:lang w:val="en-US"/>
        </w:rPr>
      </w:pPr>
      <w:r w:rsidRPr="005F4C5F">
        <w:rPr>
          <w:sz w:val="20"/>
          <w:szCs w:val="20"/>
          <w:vertAlign w:val="superscript"/>
          <w:lang w:val="en-US"/>
        </w:rPr>
        <w:t>4</w:t>
      </w:r>
      <w:r w:rsidRPr="005F4C5F">
        <w:rPr>
          <w:sz w:val="20"/>
          <w:szCs w:val="20"/>
          <w:lang w:val="en-US"/>
        </w:rPr>
        <w:t xml:space="preserve"> University of Paris 8, UMR LADYSS CNRS, Saint-Denis, Franc</w:t>
      </w:r>
      <w:r w:rsidRPr="005F4C5F">
        <w:rPr>
          <w:sz w:val="20"/>
          <w:szCs w:val="20"/>
          <w:lang w:val="en-US"/>
        </w:rPr>
        <w:t>e</w:t>
      </w:r>
    </w:p>
    <w:p w:rsidR="00E34352" w:rsidRPr="005F4C5F" w:rsidRDefault="00E86BEF">
      <w:pPr>
        <w:pStyle w:val="normal0"/>
        <w:jc w:val="both"/>
        <w:rPr>
          <w:sz w:val="20"/>
          <w:szCs w:val="20"/>
          <w:lang w:val="en-US"/>
        </w:rPr>
      </w:pPr>
      <w:r w:rsidRPr="005F4C5F">
        <w:rPr>
          <w:sz w:val="20"/>
          <w:szCs w:val="20"/>
          <w:vertAlign w:val="superscript"/>
          <w:lang w:val="en-US"/>
        </w:rPr>
        <w:t xml:space="preserve">5 </w:t>
      </w:r>
      <w:r w:rsidRPr="005F4C5F">
        <w:rPr>
          <w:sz w:val="20"/>
          <w:szCs w:val="20"/>
          <w:lang w:val="en-US"/>
        </w:rPr>
        <w:t>University of University of Toulouse, INRAE, UMR DYNAFOR, Castanet-Tolosan, France</w:t>
      </w:r>
    </w:p>
    <w:p w:rsidR="00E34352" w:rsidRDefault="00E86BEF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6 </w:t>
      </w:r>
      <w:r>
        <w:rPr>
          <w:sz w:val="20"/>
          <w:szCs w:val="20"/>
        </w:rPr>
        <w:t>Universidad Autónoma de Madrid</w:t>
      </w:r>
    </w:p>
    <w:p w:rsidR="00E34352" w:rsidRDefault="00E86BEF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7 </w:t>
      </w:r>
      <w:r>
        <w:rPr>
          <w:sz w:val="20"/>
          <w:szCs w:val="20"/>
        </w:rPr>
        <w:t xml:space="preserve">University of Avignon, </w:t>
      </w:r>
      <w:r>
        <w:rPr>
          <w:sz w:val="20"/>
          <w:szCs w:val="20"/>
          <w:highlight w:val="white"/>
        </w:rPr>
        <w:t>UMR 7300 ESPACE CNRS, 74 Rue Louis Pasteur, 84000, Avignon, France</w:t>
      </w:r>
    </w:p>
    <w:p w:rsidR="00E34352" w:rsidRPr="005F4C5F" w:rsidRDefault="00E86BEF">
      <w:pPr>
        <w:pStyle w:val="normal0"/>
        <w:jc w:val="both"/>
        <w:rPr>
          <w:sz w:val="20"/>
          <w:szCs w:val="20"/>
          <w:lang w:val="en-US"/>
        </w:rPr>
      </w:pPr>
      <w:r w:rsidRPr="005F4C5F">
        <w:rPr>
          <w:sz w:val="20"/>
          <w:szCs w:val="20"/>
          <w:vertAlign w:val="superscript"/>
          <w:lang w:val="en-US"/>
        </w:rPr>
        <w:t xml:space="preserve">8 </w:t>
      </w:r>
      <w:r w:rsidRPr="005F4C5F">
        <w:rPr>
          <w:sz w:val="20"/>
          <w:szCs w:val="20"/>
          <w:lang w:val="en-US"/>
        </w:rPr>
        <w:t>University of Marburg, Faculty of Geograph</w:t>
      </w:r>
      <w:r w:rsidRPr="005F4C5F">
        <w:rPr>
          <w:sz w:val="20"/>
          <w:szCs w:val="20"/>
          <w:lang w:val="en-US"/>
        </w:rPr>
        <w:t>y, Ecological Plant Geography, Marburg, Germany</w:t>
      </w:r>
    </w:p>
    <w:p w:rsidR="00E34352" w:rsidRPr="005F4C5F" w:rsidRDefault="00E34352">
      <w:pPr>
        <w:pStyle w:val="normal0"/>
        <w:jc w:val="both"/>
        <w:rPr>
          <w:sz w:val="36"/>
          <w:szCs w:val="36"/>
          <w:highlight w:val="white"/>
          <w:vertAlign w:val="superscript"/>
          <w:lang w:val="en-US"/>
        </w:rPr>
      </w:pPr>
    </w:p>
    <w:p w:rsidR="00E34352" w:rsidRDefault="00E86BEF">
      <w:pPr>
        <w:pStyle w:val="normal0"/>
        <w:jc w:val="both"/>
        <w:rPr>
          <w:sz w:val="36"/>
          <w:szCs w:val="36"/>
          <w:highlight w:val="white"/>
          <w:vertAlign w:val="superscript"/>
        </w:rPr>
      </w:pPr>
      <w:r>
        <w:rPr>
          <w:sz w:val="36"/>
          <w:szCs w:val="36"/>
          <w:highlight w:val="white"/>
          <w:vertAlign w:val="superscript"/>
        </w:rPr>
        <w:t>Corresponding author :</w:t>
      </w:r>
    </w:p>
    <w:p w:rsidR="00E34352" w:rsidRDefault="00E86BEF">
      <w:pPr>
        <w:pStyle w:val="normal0"/>
        <w:jc w:val="both"/>
        <w:rPr>
          <w:sz w:val="36"/>
          <w:szCs w:val="36"/>
          <w:highlight w:val="white"/>
          <w:vertAlign w:val="superscript"/>
        </w:rPr>
      </w:pPr>
      <w:r>
        <w:rPr>
          <w:sz w:val="36"/>
          <w:szCs w:val="36"/>
          <w:highlight w:val="white"/>
          <w:vertAlign w:val="superscript"/>
        </w:rPr>
        <w:t>Déborah Birre, Université Sorbonne Paris Nord, PLEIADE, UR 7338, F-93430, Villetaneuse, France</w:t>
      </w:r>
    </w:p>
    <w:p w:rsidR="00E34352" w:rsidRDefault="00E86BEF">
      <w:pPr>
        <w:pStyle w:val="normal0"/>
        <w:jc w:val="both"/>
        <w:rPr>
          <w:b/>
          <w:sz w:val="20"/>
          <w:szCs w:val="20"/>
        </w:rPr>
      </w:pPr>
      <w:r>
        <w:rPr>
          <w:sz w:val="36"/>
          <w:szCs w:val="36"/>
          <w:highlight w:val="white"/>
          <w:vertAlign w:val="superscript"/>
        </w:rPr>
        <w:t xml:space="preserve">Email : </w:t>
      </w:r>
      <w:hyperlink r:id="rId6">
        <w:r>
          <w:rPr>
            <w:color w:val="1155CC"/>
            <w:sz w:val="36"/>
            <w:szCs w:val="36"/>
            <w:highlight w:val="white"/>
            <w:u w:val="single"/>
            <w:vertAlign w:val="superscript"/>
          </w:rPr>
          <w:t>deborah.birre@univ-paris13.</w:t>
        </w:r>
        <w:r>
          <w:rPr>
            <w:color w:val="1155CC"/>
            <w:sz w:val="36"/>
            <w:szCs w:val="36"/>
            <w:highlight w:val="white"/>
            <w:u w:val="single"/>
            <w:vertAlign w:val="superscript"/>
          </w:rPr>
          <w:t>fr</w:t>
        </w:r>
      </w:hyperlink>
    </w:p>
    <w:p w:rsidR="00E34352" w:rsidRDefault="00E34352">
      <w:pPr>
        <w:pStyle w:val="normal0"/>
        <w:jc w:val="both"/>
        <w:rPr>
          <w:sz w:val="36"/>
          <w:szCs w:val="36"/>
          <w:highlight w:val="white"/>
          <w:vertAlign w:val="superscript"/>
        </w:rPr>
      </w:pPr>
    </w:p>
    <w:p w:rsidR="00E34352" w:rsidRDefault="00E86BEF">
      <w:pPr>
        <w:pStyle w:val="Titre"/>
        <w:jc w:val="both"/>
        <w:rPr>
          <w:b/>
          <w:sz w:val="36"/>
          <w:szCs w:val="36"/>
          <w:highlight w:val="white"/>
          <w:vertAlign w:val="superscript"/>
        </w:rPr>
      </w:pPr>
      <w:bookmarkStart w:id="1" w:name="_7mjn1ijzb8j" w:colFirst="0" w:colLast="0"/>
      <w:bookmarkEnd w:id="1"/>
      <w:r>
        <w:rPr>
          <w:b/>
          <w:sz w:val="30"/>
          <w:szCs w:val="30"/>
        </w:rPr>
        <w:t>Supplementary information</w:t>
      </w:r>
    </w:p>
    <w:p w:rsidR="00E34352" w:rsidRDefault="00E86BEF">
      <w:pPr>
        <w:pStyle w:val="normal0"/>
        <w:spacing w:before="240"/>
        <w:jc w:val="both"/>
      </w:pPr>
      <w:r w:rsidRPr="005F4C5F">
        <w:rPr>
          <w:b/>
          <w:sz w:val="20"/>
          <w:szCs w:val="20"/>
          <w:lang w:val="en-US"/>
        </w:rPr>
        <w:t xml:space="preserve">Table S1 </w:t>
      </w:r>
      <w:r w:rsidRPr="005F4C5F">
        <w:rPr>
          <w:sz w:val="20"/>
          <w:szCs w:val="20"/>
          <w:lang w:val="en-US"/>
        </w:rPr>
        <w:t xml:space="preserve">Pearson correlation coefficients of patch metrics with the first and second principal components (*: p &lt; 0.05) based on historical (~1955) treeline ecotone patterns. </w:t>
      </w:r>
      <w:r>
        <w:rPr>
          <w:sz w:val="20"/>
          <w:szCs w:val="20"/>
        </w:rPr>
        <w:t>See table 2 for abbreviations.</w:t>
      </w:r>
    </w:p>
    <w:tbl>
      <w:tblPr>
        <w:tblStyle w:val="a"/>
        <w:tblW w:w="9029" w:type="dxa"/>
        <w:tblInd w:w="0" w:type="dxa"/>
        <w:tblLayout w:type="fixed"/>
        <w:tblLook w:val="0600"/>
      </w:tblPr>
      <w:tblGrid>
        <w:gridCol w:w="3009"/>
        <w:gridCol w:w="3010"/>
        <w:gridCol w:w="3010"/>
      </w:tblGrid>
      <w:tr w:rsidR="00E34352">
        <w:trPr>
          <w:cantSplit/>
          <w:trHeight w:val="592"/>
          <w:tblHeader/>
        </w:trPr>
        <w:tc>
          <w:tcPr>
            <w:tcW w:w="3009" w:type="dxa"/>
            <w:tcBorders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Variable</w:t>
            </w:r>
          </w:p>
        </w:tc>
        <w:tc>
          <w:tcPr>
            <w:tcW w:w="301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34352" w:rsidRDefault="00E86BEF">
            <w:pPr>
              <w:pStyle w:val="normal0"/>
              <w:keepNext/>
              <w:widowControl w:val="0"/>
              <w:jc w:val="both"/>
            </w:pPr>
            <w:r>
              <w:rPr>
                <w:b/>
                <w:sz w:val="16"/>
                <w:szCs w:val="16"/>
              </w:rPr>
              <w:t>Dim.1: Aggregation and shape</w:t>
            </w:r>
          </w:p>
        </w:tc>
        <w:tc>
          <w:tcPr>
            <w:tcW w:w="301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Dim.2: Connectivity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tca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0.93*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-0.09*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ca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0.93*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-0.04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pland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0.93*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0.12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lpi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0.92*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-0.14*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gyrate_sd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0.90*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-0.15*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ai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0.89*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-0.09*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gyrate_cv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0.88*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0.26*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cohesion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0.88*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0.16*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clumpy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0.85*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-0.14*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core_sd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0.83*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-0.27*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lastRenderedPageBreak/>
              <w:t>area_sd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0.83*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-0.26*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area_cv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0.73*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0.35*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core_cv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0.70*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0.36*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gyrate_mn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0.66*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-0.41*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shape_cv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0.60*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0.46*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shape_sd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0.60*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0.31*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area_mn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0.59*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-0.42*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core_mn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0.58*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-0.42*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shape_mn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0.51*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-0.04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te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0.38*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0.47*</w:t>
            </w:r>
          </w:p>
        </w:tc>
      </w:tr>
      <w:tr w:rsidR="00E34352">
        <w:trPr>
          <w:cantSplit/>
          <w:trHeight w:val="220"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ed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0.38*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0.47*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cai_sd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0.33*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0.76*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cai_mn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0.28*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-0.78*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cai_cv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0.27*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0.80*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contig_cv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0.18*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0.83*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contig_sd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0.18*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0.82*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contig_mn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0.11*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-0.88*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pd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-0.40*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0.31*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split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-0.42*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-0.19*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division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- 0.80*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0.27*</w:t>
            </w:r>
          </w:p>
        </w:tc>
      </w:tr>
      <w:tr w:rsidR="00E34352">
        <w:trPr>
          <w:cantSplit/>
          <w:tblHeader/>
        </w:trPr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16"/>
                <w:szCs w:val="16"/>
              </w:rPr>
              <w:t>nlsi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- 0.89*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16"/>
                <w:szCs w:val="16"/>
              </w:rPr>
              <w:t>0.09*</w:t>
            </w:r>
          </w:p>
        </w:tc>
      </w:tr>
    </w:tbl>
    <w:p w:rsidR="00E34352" w:rsidRDefault="00E34352">
      <w:pPr>
        <w:pStyle w:val="normal0"/>
        <w:jc w:val="both"/>
      </w:pPr>
    </w:p>
    <w:p w:rsidR="00E34352" w:rsidRPr="005F4C5F" w:rsidRDefault="00E86BEF">
      <w:pPr>
        <w:pStyle w:val="normal0"/>
        <w:jc w:val="both"/>
        <w:rPr>
          <w:lang w:val="en-US"/>
        </w:rPr>
      </w:pPr>
      <w:r w:rsidRPr="005F4C5F">
        <w:rPr>
          <w:b/>
          <w:sz w:val="20"/>
          <w:szCs w:val="20"/>
          <w:lang w:val="en-US"/>
        </w:rPr>
        <w:t xml:space="preserve">Table S2 </w:t>
      </w:r>
      <w:r w:rsidRPr="005F4C5F">
        <w:rPr>
          <w:sz w:val="20"/>
          <w:szCs w:val="20"/>
          <w:lang w:val="en-US"/>
        </w:rPr>
        <w:t xml:space="preserve">Mean values of clusters of treeline ecotone spatial pattern types (v-test, p&lt;0.05), based on historical ecotone patterns, along the first two PCA dimensions (see Fig. 4). </w:t>
      </w:r>
    </w:p>
    <w:tbl>
      <w:tblPr>
        <w:tblStyle w:val="a0"/>
        <w:tblW w:w="9045" w:type="dxa"/>
        <w:tblInd w:w="0" w:type="dxa"/>
        <w:tblLayout w:type="fixed"/>
        <w:tblLook w:val="0600"/>
      </w:tblPr>
      <w:tblGrid>
        <w:gridCol w:w="4845"/>
        <w:gridCol w:w="1400"/>
        <w:gridCol w:w="1400"/>
        <w:gridCol w:w="1400"/>
      </w:tblGrid>
      <w:tr w:rsidR="00E34352">
        <w:trPr>
          <w:cantSplit/>
          <w:trHeight w:val="420"/>
          <w:tblHeader/>
        </w:trPr>
        <w:tc>
          <w:tcPr>
            <w:tcW w:w="4845" w:type="dxa"/>
            <w:tcBorders>
              <w:bottom w:val="single" w:sz="12" w:space="0" w:color="000000"/>
            </w:tcBorders>
          </w:tcPr>
          <w:p w:rsidR="00E34352" w:rsidRPr="005F4C5F" w:rsidRDefault="00E34352">
            <w:pPr>
              <w:pStyle w:val="normal0"/>
              <w:widowControl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00" w:type="dxa"/>
            <w:tcBorders>
              <w:bottom w:val="single" w:sz="18" w:space="0" w:color="000000"/>
              <w:right w:val="single" w:sz="8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20"/>
                <w:szCs w:val="20"/>
              </w:rPr>
              <w:t>Cluster 1</w:t>
            </w:r>
          </w:p>
        </w:tc>
        <w:tc>
          <w:tcPr>
            <w:tcW w:w="1400" w:type="dxa"/>
            <w:tcBorders>
              <w:bottom w:val="single" w:sz="18" w:space="0" w:color="000000"/>
              <w:right w:val="single" w:sz="8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20"/>
                <w:szCs w:val="20"/>
              </w:rPr>
              <w:t>Cluster 2</w:t>
            </w:r>
          </w:p>
        </w:tc>
        <w:tc>
          <w:tcPr>
            <w:tcW w:w="1400" w:type="dxa"/>
            <w:tcBorders>
              <w:bottom w:val="single" w:sz="18" w:space="0" w:color="000000"/>
              <w:right w:val="single" w:sz="8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20"/>
                <w:szCs w:val="20"/>
              </w:rPr>
              <w:t>Cluster 3</w:t>
            </w:r>
          </w:p>
        </w:tc>
      </w:tr>
      <w:tr w:rsidR="00E34352">
        <w:trPr>
          <w:cantSplit/>
          <w:trHeight w:val="360"/>
          <w:tblHeader/>
        </w:trPr>
        <w:tc>
          <w:tcPr>
            <w:tcW w:w="4845" w:type="dxa"/>
            <w:tcBorders>
              <w:top w:val="single" w:sz="12" w:space="0" w:color="000000"/>
              <w:bottom w:val="single" w:sz="4" w:space="0" w:color="000000"/>
            </w:tcBorders>
          </w:tcPr>
          <w:p w:rsidR="00E34352" w:rsidRDefault="00E34352">
            <w:pPr>
              <w:pStyle w:val="normal0"/>
              <w:keepNext/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18" w:space="0" w:color="000000"/>
              <w:bottom w:val="single" w:sz="8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20"/>
                <w:szCs w:val="20"/>
              </w:rPr>
              <w:t>Historical</w:t>
            </w:r>
          </w:p>
        </w:tc>
        <w:tc>
          <w:tcPr>
            <w:tcW w:w="1400" w:type="dxa"/>
            <w:tcBorders>
              <w:top w:val="single" w:sz="18" w:space="0" w:color="000000"/>
              <w:bottom w:val="single" w:sz="8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20"/>
                <w:szCs w:val="20"/>
              </w:rPr>
              <w:t>Historical</w:t>
            </w:r>
          </w:p>
        </w:tc>
        <w:tc>
          <w:tcPr>
            <w:tcW w:w="1400" w:type="dxa"/>
            <w:tcBorders>
              <w:top w:val="single" w:sz="18" w:space="0" w:color="000000"/>
              <w:bottom w:val="single" w:sz="8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20"/>
                <w:szCs w:val="20"/>
              </w:rPr>
              <w:t>Historical</w:t>
            </w:r>
          </w:p>
        </w:tc>
      </w:tr>
      <w:tr w:rsidR="00E34352">
        <w:trPr>
          <w:cantSplit/>
          <w:tblHeader/>
        </w:trPr>
        <w:tc>
          <w:tcPr>
            <w:tcW w:w="4845" w:type="dxa"/>
            <w:tcBorders>
              <w:top w:val="single" w:sz="4" w:space="0" w:color="000000"/>
              <w:bottom w:val="single" w:sz="8" w:space="0" w:color="000000"/>
            </w:tcBorders>
          </w:tcPr>
          <w:p w:rsidR="00E34352" w:rsidRPr="005F4C5F" w:rsidRDefault="00E86BEF">
            <w:pPr>
              <w:pStyle w:val="normal0"/>
              <w:keepNext/>
              <w:widowControl w:val="0"/>
              <w:jc w:val="both"/>
              <w:rPr>
                <w:lang w:val="en-US"/>
              </w:rPr>
            </w:pPr>
            <w:r w:rsidRPr="005F4C5F">
              <w:rPr>
                <w:b/>
                <w:sz w:val="20"/>
                <w:szCs w:val="20"/>
                <w:lang w:val="en-US"/>
              </w:rPr>
              <w:t>Dim. 1 - Aggregation and shape characterization</w:t>
            </w:r>
          </w:p>
        </w:tc>
        <w:tc>
          <w:tcPr>
            <w:tcW w:w="1400" w:type="dxa"/>
            <w:tcBorders>
              <w:top w:val="single" w:sz="8" w:space="0" w:color="000000"/>
              <w:bottom w:val="single" w:sz="8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20"/>
                <w:szCs w:val="20"/>
              </w:rPr>
              <w:t>-20.11</w:t>
            </w:r>
          </w:p>
        </w:tc>
        <w:tc>
          <w:tcPr>
            <w:tcW w:w="1400" w:type="dxa"/>
            <w:tcBorders>
              <w:top w:val="single" w:sz="8" w:space="0" w:color="000000"/>
              <w:bottom w:val="single" w:sz="8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20"/>
                <w:szCs w:val="20"/>
              </w:rPr>
              <w:t>9.66</w:t>
            </w:r>
          </w:p>
        </w:tc>
        <w:tc>
          <w:tcPr>
            <w:tcW w:w="1400" w:type="dxa"/>
            <w:tcBorders>
              <w:top w:val="single" w:sz="8" w:space="0" w:color="000000"/>
              <w:bottom w:val="single" w:sz="8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20"/>
                <w:szCs w:val="20"/>
              </w:rPr>
              <w:t>16.75</w:t>
            </w:r>
          </w:p>
        </w:tc>
      </w:tr>
      <w:tr w:rsidR="00E34352">
        <w:trPr>
          <w:cantSplit/>
          <w:trHeight w:val="594"/>
          <w:tblHeader/>
        </w:trPr>
        <w:tc>
          <w:tcPr>
            <w:tcW w:w="4845" w:type="dxa"/>
            <w:tcBorders>
              <w:top w:val="single" w:sz="8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20"/>
                <w:szCs w:val="20"/>
              </w:rPr>
              <w:t>Dim. 2 - Connectivity characterization</w:t>
            </w:r>
          </w:p>
        </w:tc>
        <w:tc>
          <w:tcPr>
            <w:tcW w:w="1400" w:type="dxa"/>
            <w:tcBorders>
              <w:top w:val="single" w:sz="8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20"/>
                <w:szCs w:val="20"/>
              </w:rPr>
              <w:t>-5.79</w:t>
            </w:r>
          </w:p>
        </w:tc>
        <w:tc>
          <w:tcPr>
            <w:tcW w:w="1400" w:type="dxa"/>
            <w:tcBorders>
              <w:top w:val="single" w:sz="8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20"/>
                <w:szCs w:val="20"/>
              </w:rPr>
              <w:t>12.24</w:t>
            </w:r>
          </w:p>
        </w:tc>
        <w:tc>
          <w:tcPr>
            <w:tcW w:w="1400" w:type="dxa"/>
            <w:tcBorders>
              <w:top w:val="single" w:sz="8" w:space="0" w:color="000000"/>
              <w:bottom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20"/>
                <w:szCs w:val="20"/>
              </w:rPr>
              <w:t>-10.04</w:t>
            </w:r>
          </w:p>
        </w:tc>
      </w:tr>
      <w:tr w:rsidR="00E34352">
        <w:trPr>
          <w:cantSplit/>
          <w:tblHeader/>
        </w:trPr>
        <w:tc>
          <w:tcPr>
            <w:tcW w:w="4845" w:type="dxa"/>
            <w:tcBorders>
              <w:top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b/>
                <w:sz w:val="20"/>
                <w:szCs w:val="20"/>
              </w:rPr>
              <w:t>Number of sites</w:t>
            </w:r>
          </w:p>
        </w:tc>
        <w:tc>
          <w:tcPr>
            <w:tcW w:w="1400" w:type="dxa"/>
            <w:tcBorders>
              <w:top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1400" w:type="dxa"/>
            <w:tcBorders>
              <w:top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1400" w:type="dxa"/>
            <w:tcBorders>
              <w:top w:val="single" w:sz="4" w:space="0" w:color="000000"/>
            </w:tcBorders>
          </w:tcPr>
          <w:p w:rsidR="00E34352" w:rsidRDefault="00E86BEF">
            <w:pPr>
              <w:pStyle w:val="normal0"/>
              <w:widowControl w:val="0"/>
              <w:jc w:val="both"/>
            </w:pPr>
            <w:r>
              <w:rPr>
                <w:sz w:val="20"/>
                <w:szCs w:val="20"/>
              </w:rPr>
              <w:t>72</w:t>
            </w:r>
          </w:p>
        </w:tc>
      </w:tr>
    </w:tbl>
    <w:p w:rsidR="00E34352" w:rsidRDefault="00E34352">
      <w:pPr>
        <w:pStyle w:val="normal0"/>
        <w:jc w:val="both"/>
      </w:pPr>
    </w:p>
    <w:sectPr w:rsidR="00E34352" w:rsidSect="00E34352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BEF" w:rsidRDefault="00E86BEF" w:rsidP="00E34352">
      <w:pPr>
        <w:spacing w:line="240" w:lineRule="auto"/>
      </w:pPr>
      <w:r>
        <w:separator/>
      </w:r>
    </w:p>
  </w:endnote>
  <w:endnote w:type="continuationSeparator" w:id="1">
    <w:p w:rsidR="00E86BEF" w:rsidRDefault="00E86BEF" w:rsidP="00E3435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352" w:rsidRDefault="00E34352">
    <w:pPr>
      <w:pStyle w:val="normal0"/>
      <w:jc w:val="right"/>
    </w:pPr>
    <w:r>
      <w:fldChar w:fldCharType="begin"/>
    </w:r>
    <w:r w:rsidR="00E86BEF">
      <w:instrText>PAGE</w:instrText>
    </w:r>
    <w:r w:rsidR="005F4C5F">
      <w:fldChar w:fldCharType="separate"/>
    </w:r>
    <w:r w:rsidR="005F4C5F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BEF" w:rsidRDefault="00E86BEF" w:rsidP="00E34352">
      <w:pPr>
        <w:spacing w:line="240" w:lineRule="auto"/>
      </w:pPr>
      <w:r>
        <w:separator/>
      </w:r>
    </w:p>
  </w:footnote>
  <w:footnote w:type="continuationSeparator" w:id="1">
    <w:p w:rsidR="00E86BEF" w:rsidRDefault="00E86BEF" w:rsidP="00E3435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4352"/>
    <w:rsid w:val="005F4C5F"/>
    <w:rsid w:val="00E34352"/>
    <w:rsid w:val="00E8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0"/>
    <w:next w:val="normal0"/>
    <w:rsid w:val="00E3435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0"/>
    <w:next w:val="normal0"/>
    <w:rsid w:val="00E3435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0"/>
    <w:next w:val="normal0"/>
    <w:rsid w:val="00E3435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0"/>
    <w:next w:val="normal0"/>
    <w:rsid w:val="00E3435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0"/>
    <w:next w:val="normal0"/>
    <w:rsid w:val="00E34352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0"/>
    <w:next w:val="normal0"/>
    <w:rsid w:val="00E3435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E34352"/>
  </w:style>
  <w:style w:type="table" w:customStyle="1" w:styleId="TableNormal">
    <w:name w:val="Table Normal"/>
    <w:rsid w:val="00E343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E34352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0"/>
    <w:next w:val="normal0"/>
    <w:rsid w:val="00E3435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E343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E343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borah.birre@univ-paris13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Déborah BIRRE</cp:lastModifiedBy>
  <cp:revision>2</cp:revision>
  <dcterms:created xsi:type="dcterms:W3CDTF">2022-10-05T10:07:00Z</dcterms:created>
  <dcterms:modified xsi:type="dcterms:W3CDTF">2022-10-05T10:07:00Z</dcterms:modified>
</cp:coreProperties>
</file>