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rPr>
          <w:rFonts w:hint="default" w:ascii="Times New Roman Regular" w:hAnsi="Times New Roman Regular" w:cs="Times New Roman Regular"/>
          <w:b/>
          <w:bCs/>
        </w:rPr>
      </w:pPr>
      <w:r>
        <w:rPr>
          <w:rFonts w:hint="default" w:ascii="Times New Roman Regular" w:hAnsi="Times New Roman Regular" w:cs="Times New Roman Regular"/>
          <w:b/>
          <w:bCs/>
        </w:rPr>
        <w:t>Supplementary Materials and Methods</w:t>
      </w:r>
    </w:p>
    <w:p>
      <w:pPr>
        <w:snapToGrid w:val="0"/>
        <w:spacing w:before="0" w:after="0"/>
        <w:rPr>
          <w:rFonts w:hint="default" w:ascii="Times New Roman Regular" w:hAnsi="Times New Roman Regular" w:eastAsia="Times New Roman Regular" w:cs="Times New Roman Regular"/>
          <w:b/>
          <w:bCs/>
          <w:color w:val="000000"/>
          <w:lang w:bidi="ar"/>
        </w:rPr>
      </w:pPr>
      <w:r>
        <w:rPr>
          <w:rFonts w:hint="default" w:ascii="Times New Roman Regular" w:hAnsi="Times New Roman Regular" w:eastAsia="Times New Roman Regular" w:cs="Times New Roman Regular"/>
          <w:b/>
          <w:bCs/>
          <w:color w:val="000000"/>
          <w:lang w:bidi="ar"/>
        </w:rPr>
        <w:t>Transfections</w:t>
      </w:r>
    </w:p>
    <w:p>
      <w:pPr>
        <w:snapToGrid w:val="0"/>
        <w:spacing w:before="0" w:after="0"/>
        <w:rPr>
          <w:rFonts w:hint="default" w:ascii="Times New Roman Regular" w:hAnsi="Times New Roman Regular" w:eastAsia="Times New Roman Regular" w:cs="Times New Roman Regular"/>
          <w:b w:val="0"/>
          <w:bCs w:val="0"/>
          <w:color w:val="000000"/>
          <w:lang w:bidi="ar"/>
        </w:rPr>
      </w:pPr>
      <w:r>
        <w:rPr>
          <w:rFonts w:hint="default" w:ascii="Times New Roman Regular" w:hAnsi="Times New Roman Regular" w:eastAsia="Times New Roman Regular" w:cs="Times New Roman Regular"/>
          <w:b w:val="0"/>
          <w:bCs w:val="0"/>
          <w:color w:val="000000"/>
          <w:lang w:bidi="ar"/>
        </w:rPr>
        <w:t xml:space="preserve">For the silencing of target LINC00461, LINC00461 Smart Silencer (si-LINC00461) and a negative control (si-NC) were purchased from RiboBio (Guangzhou, China). Transfection was performed with Lipofectamine RNAiMAX (Thermo Fisher Scientific, USA). Lentiviruses and plasmids were generated by GeneChem (Shanghai, China) in this study. The efficiency was evaluated by qRT-PCR. The target sequences of LINC00461 Smart Silencer (six sequences combined) were as follows: </w:t>
      </w:r>
    </w:p>
    <w:p>
      <w:pPr>
        <w:spacing w:before="0" w:after="0"/>
        <w:jc w:val="left"/>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5</w:t>
      </w:r>
      <w:r>
        <w:rPr>
          <w:rFonts w:hint="default" w:ascii="Times New Roman Regular" w:hAnsi="Times New Roman Regular" w:cs="Times New Roman Regular"/>
          <w:lang w:bidi="ar"/>
        </w:rPr>
        <w:t xml:space="preserve">’-ctggcgcagggagatcaaat-3’; </w:t>
      </w:r>
      <w:r>
        <w:rPr>
          <w:rFonts w:hint="default" w:ascii="Times New Roman Regular" w:hAnsi="Times New Roman Regular" w:eastAsia="Times New Roman Regular" w:cs="Times New Roman Regular"/>
          <w:color w:val="000000"/>
          <w:lang w:bidi="ar"/>
        </w:rPr>
        <w:t>5</w:t>
      </w:r>
      <w:r>
        <w:rPr>
          <w:rFonts w:hint="default" w:ascii="Times New Roman Regular" w:hAnsi="Times New Roman Regular" w:cs="Times New Roman Regular"/>
          <w:lang w:bidi="ar"/>
        </w:rPr>
        <w:t>’-gaatagacaatccaaccaac-3’;</w:t>
      </w:r>
      <w:r>
        <w:rPr>
          <w:rFonts w:hint="default" w:ascii="Times New Roman Regular" w:hAnsi="Times New Roman Regular" w:eastAsia="Times New Roman Regular" w:cs="Times New Roman Regular"/>
          <w:color w:val="000000"/>
          <w:lang w:bidi="ar"/>
        </w:rPr>
        <w:t xml:space="preserve"> </w:t>
      </w:r>
    </w:p>
    <w:p>
      <w:pPr>
        <w:spacing w:before="0" w:after="0"/>
        <w:jc w:val="left"/>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5</w:t>
      </w:r>
      <w:r>
        <w:rPr>
          <w:rFonts w:hint="default" w:ascii="Times New Roman Regular" w:hAnsi="Times New Roman Regular" w:cs="Times New Roman Regular"/>
          <w:lang w:bidi="ar"/>
        </w:rPr>
        <w:t>’-ttcctgcccagctggatttg-3’;</w:t>
      </w:r>
      <w:r>
        <w:rPr>
          <w:rFonts w:hint="default" w:ascii="Times New Roman Regular" w:hAnsi="Times New Roman Regular" w:eastAsia="Times New Roman Regular" w:cs="Times New Roman Regular"/>
          <w:color w:val="000000"/>
          <w:lang w:bidi="ar"/>
        </w:rPr>
        <w:t xml:space="preserve"> 5</w:t>
      </w:r>
      <w:r>
        <w:rPr>
          <w:rFonts w:hint="default" w:ascii="Times New Roman Regular" w:hAnsi="Times New Roman Regular" w:cs="Times New Roman Regular"/>
          <w:lang w:bidi="ar"/>
        </w:rPr>
        <w:t>’-gcagggagatcaaatgaga-3’;</w:t>
      </w:r>
      <w:r>
        <w:rPr>
          <w:rFonts w:hint="default" w:ascii="Times New Roman Regular" w:hAnsi="Times New Roman Regular" w:eastAsia="Times New Roman Regular" w:cs="Times New Roman Regular"/>
          <w:color w:val="000000"/>
          <w:lang w:bidi="ar"/>
        </w:rPr>
        <w:t xml:space="preserve"> </w:t>
      </w:r>
    </w:p>
    <w:p>
      <w:pPr>
        <w:spacing w:before="0" w:after="0"/>
        <w:jc w:val="left"/>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5</w:t>
      </w:r>
      <w:r>
        <w:rPr>
          <w:rFonts w:hint="default" w:ascii="Times New Roman Regular" w:hAnsi="Times New Roman Regular" w:cs="Times New Roman Regular"/>
          <w:lang w:bidi="ar"/>
        </w:rPr>
        <w:t xml:space="preserve">’-gagactgcaaagaagcata-3’; </w:t>
      </w:r>
      <w:r>
        <w:rPr>
          <w:rFonts w:hint="default" w:ascii="Times New Roman Regular" w:hAnsi="Times New Roman Regular" w:eastAsia="Times New Roman Regular" w:cs="Times New Roman Regular"/>
          <w:color w:val="000000"/>
          <w:lang w:bidi="ar"/>
        </w:rPr>
        <w:t>5</w:t>
      </w:r>
      <w:r>
        <w:rPr>
          <w:rFonts w:hint="default" w:ascii="Times New Roman Regular" w:hAnsi="Times New Roman Regular" w:cs="Times New Roman Regular"/>
          <w:lang w:bidi="ar"/>
        </w:rPr>
        <w:t>’-gacaatccaaccaaccaaa-3’;</w:t>
      </w:r>
    </w:p>
    <w:p>
      <w:pPr>
        <w:spacing w:before="0" w:after="0"/>
        <w:jc w:val="left"/>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 xml:space="preserve">The target sequences of the other siRNAs were as follows: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cMyc-siRNA1: 5</w:t>
      </w:r>
      <w:r>
        <w:rPr>
          <w:rFonts w:hint="default" w:ascii="Times New Roman Regular" w:hAnsi="Times New Roman Regular" w:cs="Times New Roman Regular"/>
          <w:lang w:bidi="ar"/>
        </w:rPr>
        <w:t>’-gaggagacatggtgaacca-3’;</w:t>
      </w:r>
    </w:p>
    <w:p>
      <w:pPr>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cMyc-siRNA2: 5</w:t>
      </w:r>
      <w:r>
        <w:rPr>
          <w:rFonts w:hint="default" w:ascii="Times New Roman Regular" w:hAnsi="Times New Roman Regular" w:cs="Times New Roman Regular"/>
          <w:lang w:bidi="ar"/>
        </w:rPr>
        <w:t>’-gggtcaagttggacagtgt-3’;</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cMyc-siRNA3: 5</w:t>
      </w:r>
      <w:r>
        <w:rPr>
          <w:rFonts w:hint="default" w:ascii="Times New Roman Regular" w:hAnsi="Times New Roman Regular" w:cs="Times New Roman Regular"/>
          <w:lang w:bidi="ar"/>
        </w:rPr>
        <w:t>’-cgacgagaccttcatcaaa-3’</w:t>
      </w:r>
      <w:r>
        <w:rPr>
          <w:rFonts w:hint="default" w:ascii="Times New Roman Regular" w:hAnsi="Times New Roman Regular" w:eastAsia="Times New Roman Regular" w:cs="Times New Roman Regular"/>
          <w:color w:val="000000"/>
          <w:lang w:bidi="ar"/>
        </w:rPr>
        <w:t>;</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Measurement of extracellular acidification rate (ECAR)</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The seahorse extracellular flux analyzer and XF96 Extracellular Flux Assay Kit (Agilent Technologies, USA) were used to assess ECAR. To detect ECAR, 4 × 10</w:t>
      </w:r>
      <w:r>
        <w:rPr>
          <w:rFonts w:hint="default" w:ascii="Times New Roman Regular" w:hAnsi="Times New Roman Regular" w:eastAsia="Times New Roman Regular" w:cs="Times New Roman Regular"/>
          <w:color w:val="000000"/>
          <w:vertAlign w:val="superscript"/>
          <w:lang w:bidi="ar"/>
        </w:rPr>
        <w:t>4</w:t>
      </w:r>
      <w:r>
        <w:rPr>
          <w:rFonts w:hint="default" w:ascii="Times New Roman Regular" w:hAnsi="Times New Roman Regular" w:eastAsia="Times New Roman Regular" w:cs="Times New Roman Regular"/>
          <w:color w:val="000000"/>
          <w:lang w:bidi="ar"/>
        </w:rPr>
        <w:t xml:space="preserve"> cells were incubated overnight in a 96-well plate, washed twice with hippocampal XF basic medium, and supplemented with 10 mM glucose, 2 mM oligomycin, and 50 mM 2-deoxyglucose (2-DG). The data were normalized and presented as mpH/min.</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Measurement of lactate levels</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Totally 300 µL PBS was added to each well of a 6-well plate. The cells were lysed, and homogenates were centrifuged for 10 min at 2500 rpm. The resulting supernatants were obtained to assess protein content. Lactate was quantitated with the Lactate Assay kit (Jiancheng Bioengineering Institute, Nanjing, China), as directed by the manufacturer.</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RNA fluorescence in situ hybridization (FISH)</w:t>
      </w:r>
    </w:p>
    <w:p>
      <w:pPr>
        <w:snapToGrid w:val="0"/>
        <w:spacing w:before="0" w:after="0"/>
        <w:rPr>
          <w:rFonts w:hint="default" w:ascii="Times New Roman Regular" w:hAnsi="Times New Roman Regular" w:cs="Times New Roman Regular"/>
          <w:lang w:bidi="ar"/>
        </w:rPr>
      </w:pPr>
      <w:r>
        <w:rPr>
          <w:rFonts w:hint="default" w:ascii="Times New Roman Regular" w:hAnsi="Times New Roman Regular" w:eastAsia="Times New Roman Regular" w:cs="Times New Roman Regular"/>
          <w:color w:val="000000"/>
          <w:lang w:bidi="ar"/>
        </w:rPr>
        <w:t xml:space="preserve">Cells underwent a 20-min fixation with 4% formalin and three PBS (Thermo Fisher Scientific, USA) washes for 5 min each. Thereafter, 1 mM LINC00461 probe hybridization solution was added, and the sections were incubated in a humidity chamber overnight at 42°C. Fluorescence microscopy was used to image the generated OBiO probe (Shanghai, China). </w:t>
      </w:r>
      <w:r>
        <w:rPr>
          <w:rFonts w:hint="default" w:ascii="Times New Roman Regular" w:hAnsi="Times New Roman Regular" w:cs="Times New Roman Regular"/>
          <w:lang w:bidi="ar"/>
        </w:rPr>
        <w:t xml:space="preserve">Probe information of LINC00461 </w:t>
      </w:r>
      <w:r>
        <w:rPr>
          <w:rFonts w:hint="default" w:ascii="Times New Roman Regular" w:hAnsi="Times New Roman Regular" w:eastAsia="Times New Roman Regular" w:cs="Times New Roman Regular"/>
          <w:color w:val="000000"/>
          <w:lang w:bidi="ar"/>
        </w:rPr>
        <w:t xml:space="preserve">was as follows: </w:t>
      </w:r>
      <w:r>
        <w:rPr>
          <w:rFonts w:hint="default" w:ascii="Times New Roman Regular" w:hAnsi="Times New Roman Regular" w:cs="Times New Roman Regular"/>
          <w:lang w:bidi="ar"/>
        </w:rPr>
        <w:t>5’-gggcgagacaaaagtcggtgctgctacatc-3’ CY3.</w:t>
      </w:r>
    </w:p>
    <w:p>
      <w:pPr>
        <w:snapToGrid w:val="0"/>
        <w:spacing w:before="0" w:after="0"/>
        <w:rPr>
          <w:rFonts w:hint="default" w:ascii="Times New Roman Regular" w:hAnsi="Times New Roman Regular" w:cs="Times New Roman Regular"/>
          <w:b/>
          <w:bCs/>
          <w:color w:val="000000"/>
          <w:sz w:val="21"/>
          <w:szCs w:val="21"/>
        </w:rPr>
      </w:pPr>
      <w:r>
        <w:rPr>
          <w:rFonts w:hint="default" w:ascii="Times New Roman Regular" w:hAnsi="Times New Roman Regular" w:cs="Times New Roman Regular"/>
          <w:b/>
          <w:bCs/>
          <w:color w:val="000000"/>
        </w:rPr>
        <w:t xml:space="preserve">Western </w:t>
      </w:r>
      <w:r>
        <w:rPr>
          <w:rFonts w:hint="default" w:ascii="Times New Roman Regular" w:hAnsi="Times New Roman Regular" w:cs="Times New Roman Regular"/>
          <w:b/>
          <w:bCs/>
          <w:color w:val="000000"/>
        </w:rPr>
        <w:t>blot as</w:t>
      </w:r>
      <w:bookmarkStart w:id="0" w:name="_GoBack"/>
      <w:bookmarkEnd w:id="0"/>
      <w:r>
        <w:rPr>
          <w:rFonts w:hint="default" w:ascii="Times New Roman Regular" w:hAnsi="Times New Roman Regular" w:cs="Times New Roman Regular"/>
          <w:b/>
          <w:bCs/>
          <w:color w:val="000000"/>
        </w:rPr>
        <w:t>say</w:t>
      </w:r>
      <w:r>
        <w:rPr>
          <w:rFonts w:hint="default" w:ascii="Times New Roman Regular" w:hAnsi="Times New Roman Regular" w:cs="Times New Roman Regular"/>
          <w:b/>
          <w:bCs/>
          <w:color w:val="000000"/>
        </w:rPr>
        <w:t xml:space="preserve"> </w:t>
      </w:r>
    </w:p>
    <w:p>
      <w:pPr>
        <w:snapToGrid w:val="0"/>
        <w:spacing w:before="0" w:after="0"/>
        <w:rPr>
          <w:rFonts w:hint="default" w:ascii="Times New Roman Regular" w:hAnsi="Times New Roman Regular" w:cs="Times New Roman Regular"/>
          <w:lang w:bidi="ar"/>
        </w:rPr>
      </w:pPr>
      <w:r>
        <w:rPr>
          <w:rFonts w:hint="default" w:ascii="Times New Roman Regular" w:hAnsi="Times New Roman Regular" w:cs="Times New Roman Regular"/>
          <w:color w:val="000000"/>
        </w:rPr>
        <w:t xml:space="preserve">Proteins were extracted from MDA-MB-231 and MDA-MB-468 cells with the lysis buffer. A BCA kit (Thermo Fisher Scientific) was used to determine the total protein content. Thereafter, 10% SDS-PAGE (Bio-Rad, Watford, UK) was performed to separate total protein (30 µg), after which the protein bands were transferred onto a PVDF membrane. The membrane was blocked with 5% nonfat milk (Bio-Rad) before treatment with primary antibodies, including anti-HSP90 (1:500, Abcam, ab59459), anti-c-Myc (1:1,000, Cell Signaling Technology, #18583), anti-HIF-1a (1:1,000, Cell Signaling Technology, #48085), </w:t>
      </w:r>
      <w:r>
        <w:rPr>
          <w:rFonts w:hint="default" w:ascii="Times New Roman Regular" w:hAnsi="Times New Roman Regular" w:cs="Times New Roman Regular"/>
          <w:color w:val="000000"/>
        </w:rPr>
        <w:t xml:space="preserve">anti-P53 (1:1,000, Beyotime, China, AF1162), anti-PKM2 (1:1,000, proteintech, </w:t>
      </w:r>
      <w:r>
        <w:rPr>
          <w:rFonts w:hint="default" w:ascii="Times New Roman Regular" w:hAnsi="Times New Roman Regular" w:cs="Times New Roman Regular"/>
          <w:color w:val="000000"/>
        </w:rPr>
        <w:t>15822-1-AP</w:t>
      </w:r>
      <w:r>
        <w:rPr>
          <w:rFonts w:hint="default" w:ascii="Times New Roman Regular" w:hAnsi="Times New Roman Regular" w:cs="Times New Roman Regular"/>
          <w:color w:val="000000"/>
        </w:rPr>
        <w:t xml:space="preserve">), anti-HK2 (1:1,000, Beyotime, AF7080), anti-LDHA (1:1,000, Beyotime, AF0216), </w:t>
      </w:r>
      <w:r>
        <w:rPr>
          <w:rFonts w:hint="default" w:ascii="Times New Roman Regular" w:hAnsi="Times New Roman Regular" w:cs="Times New Roman Regular"/>
          <w:color w:val="000000"/>
        </w:rPr>
        <w:t xml:space="preserve">anti-β-actin (1:1,000, Cell Signaling Technology, #4970), normal rabbit IgG (1:5,000, Cell Signaling Technology, #7074), and normal mouse IgG (1:5,000, Cell Signaling Technology, #7076). </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Chromatin isolation by RNA purification (CHIRP)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We used Magna CHIRP RNA Interactome Kit (Millipore) as directed by the manufacturer. In each CHIRP-MS assay, 5 × 10</w:t>
      </w:r>
      <w:r>
        <w:rPr>
          <w:rFonts w:hint="default" w:ascii="Times New Roman Regular" w:hAnsi="Times New Roman Regular" w:eastAsia="Times New Roman Regular" w:cs="Times New Roman Regular"/>
          <w:color w:val="000000"/>
          <w:vertAlign w:val="superscript"/>
          <w:lang w:bidi="ar"/>
        </w:rPr>
        <w:t>9</w:t>
      </w:r>
      <w:r>
        <w:rPr>
          <w:rFonts w:hint="default" w:ascii="Times New Roman Regular" w:hAnsi="Times New Roman Regular" w:eastAsia="Times New Roman Regular" w:cs="Times New Roman Regular"/>
          <w:color w:val="000000"/>
          <w:lang w:bidi="ar"/>
        </w:rPr>
        <w:t xml:space="preserve"> cells underwent transfection with biotin-labeled LINC00461 and control LINC00461 probes, respectively, and the results were recorded. Thereafter, separation of the enzymatic hydrolysate was performed on a nano-UPLC liquid phase system (Thermo Fisher Scientific) followed by mass spectrometry (MS). The probe sequences of LINC00461 w</w:t>
      </w:r>
      <w:r>
        <w:rPr>
          <w:rFonts w:hint="default" w:ascii="Times New Roman Regular" w:hAnsi="Times New Roman Regular" w:eastAsia="Times New Roman Regular" w:cs="Times New Roman Regular"/>
          <w:color w:val="000000"/>
          <w:lang w:bidi="ar"/>
        </w:rPr>
        <w:t>ere</w:t>
      </w:r>
      <w:r>
        <w:rPr>
          <w:rFonts w:hint="default" w:ascii="Times New Roman Regular" w:hAnsi="Times New Roman Regular" w:eastAsia="Times New Roman Regular" w:cs="Times New Roman Regular"/>
          <w:color w:val="000000"/>
          <w:lang w:bidi="ar"/>
        </w:rPr>
        <w:t xml:space="preserve"> as follows (</w:t>
      </w:r>
      <w:r>
        <w:rPr>
          <w:rFonts w:hint="default" w:ascii="Times New Roman Regular" w:hAnsi="Times New Roman Regular" w:cs="Times New Roman Regular"/>
          <w:lang w:bidi="ar"/>
        </w:rPr>
        <w:t>5’- -3’</w:t>
      </w:r>
      <w:r>
        <w:rPr>
          <w:rFonts w:hint="default" w:ascii="Times New Roman Regular" w:hAnsi="Times New Roman Regular" w:eastAsia="Times New Roman Regular" w:cs="Times New Roman Regular"/>
          <w:color w:val="000000"/>
          <w:lang w:bidi="ar"/>
        </w:rPr>
        <w:t>):</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cacaaacaggcttctttcgg; Probe 2</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 xml:space="preserve">ttctaggctgggaaggagaa;  </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3</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catgagctttttaccaagcg; Probe 4</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ttagcctctctctatagaga;</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5</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aaggtgcagcaagctgttac; Probe 6 tgttgccttcagagtttatt;</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7</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gcttaagattcctcctttta; Probe 8 ttctggtttttactgtctct;</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9</w:t>
      </w:r>
      <w:r>
        <w:rPr>
          <w:rFonts w:hint="default" w:ascii="Times New Roman Regular" w:hAnsi="Times New Roman Regular" w:eastAsia="Times New Roman Regular" w:cs="Times New Roman Regular"/>
          <w:color w:val="000000"/>
          <w:lang w:bidi="ar"/>
        </w:rPr>
        <w:tab/>
      </w:r>
      <w:r>
        <w:rPr>
          <w:rFonts w:hint="default" w:ascii="Times New Roman Regular" w:hAnsi="Times New Roman Regular" w:eastAsia="Times New Roman Regular" w:cs="Times New Roman Regular"/>
          <w:color w:val="000000"/>
          <w:lang w:bidi="ar"/>
        </w:rPr>
        <w:t>agaacaaactgcacatgcat; Probe 10 cccaagtctacatattatgg;</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11 catacagcccaaatacatgt; Probe 12 tagctctaagtcctcagtag;</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13 accctcttggaacagagaag; Probe 14 ctaggcgcagagtaagacag;</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15 gatagacctgatcatcctta; Probe 16 caattaggcaagacagaccc;</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17 cagactatgtagcagctaca; Probe 18 agcttgccttgaattctgaa;</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19 acaaggccataatctcatgg; Probe 20 agaggtaaaaagcctcatga;</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21 actttctacaggctaatgac; Probe 22 gctaggcatagtgttatttt;</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23 gtttgcttggtgacatatgg; Probe 24 taatctaggccacgtggaag;</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25 tctccagtctgaagtcatat; Probe 26 gtgtacagcagccaaattga;</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27 gttgtttgcacaaacagtgc; Probe 28 tattgccttaattgaacctc;</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29 ccaagatgtaggcaaaagct; Probe 30 agtttgatatgacaatggca;</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31 gagtggagagtgaagtggtg; Probe 32 gggagaagggcgcaaaagac;</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33 taaaactgccgctcaattcc; Probe 34 ttgcagtctcatttgatctc;</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35 ctttctggcagtaccgaaga; Probe 36 tatacacttctcctttgcag;</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Probe 37 aacagggctgtctgtcatag;</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Parallel reaction monitoring (PRM)</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PRM was performed using a nano-UPLC instrument (EASY-nLC1200) coupled to a Q-Exactive mass spectrometer. Tryptic peptides of each sample were dissolved in buffer A (0.1% formic acid in water) and separated by a 100-μm-ID × 15-cm reversed-phase chromatographic column. Subsequently, elution was performed over a 120-min gradient at a rate of 300 nL/min with buffer B (0.1% formic in 80% acetonitrile). After nano-UPLC separation, PRM data acquisition was conducted using LC-MS/MS. Finally, the collected PRM data were imported into Skyline software for transition extraction. For endogenous peptide quantification, all product ion peak areas were calculated, and the values were normalized to the controls (nontargeting probes).</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RNA immunoprecipitation (RIP)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The interaction between HSP90 and LINC00461 was assessed with an RNA immunoprecipitation kit (Millipore) as directed by the manufacturer. In brief, 2 × 10</w:t>
      </w:r>
      <w:r>
        <w:rPr>
          <w:rFonts w:hint="default" w:ascii="Times New Roman Regular" w:hAnsi="Times New Roman Regular" w:eastAsia="Times New Roman Regular" w:cs="Times New Roman Regular"/>
          <w:color w:val="000000"/>
          <w:vertAlign w:val="superscript"/>
          <w:lang w:bidi="ar"/>
        </w:rPr>
        <w:t>7</w:t>
      </w:r>
      <w:r>
        <w:rPr>
          <w:rFonts w:hint="default" w:ascii="Times New Roman Regular" w:hAnsi="Times New Roman Regular" w:eastAsia="Times New Roman Regular" w:cs="Times New Roman Regular"/>
          <w:color w:val="000000"/>
          <w:lang w:bidi="ar"/>
        </w:rPr>
        <w:t xml:space="preserve"> cells were extracted and lysed using RIP lysis buffer before treatment with magnetic beads linked to anti-IgG (1:5,000, Cell Signaling Technology, #7076) or anti-HSP90 (1:500, Abcam, ab59459). QRT-PCR was performed to evaluate the co-precipitated RNAs in this study.</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Co-immunoprecipitation (Co-IP)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Co-IP was performed with a Co-Immunoprecipitation kit (Thermo Fisher Scientific) as directed by the manufacturer. Briefly, western blotting was performed on both the input and IP samples with the following antibodies: anti-HSP90 (1:500, Abcam, ab59459), anti-c-Myc (1:1,000, Cell Signaling Technology, #18583), normal rabbit IgG (1:5,000, Cell Signaling Technology, #7074), and normal mouse IgG (1:5,000, Cell Signaling Technology, #7076).</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Cycloheximide (CHX) chase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The cells treated with CHX (</w:t>
      </w:r>
      <w:r>
        <w:rPr>
          <w:rFonts w:hint="default" w:ascii="Times New Roman Regular" w:hAnsi="Times New Roman Regular" w:eastAsia="Times New Roman" w:cs="Times New Roman Regular"/>
          <w:color w:val="000000"/>
          <w:lang w:bidi="ar"/>
        </w:rPr>
        <w:t>10 µM</w:t>
      </w:r>
      <w:r>
        <w:rPr>
          <w:rFonts w:hint="default" w:ascii="Times New Roman Regular" w:hAnsi="Times New Roman Regular" w:eastAsia="Times New Roman Regular" w:cs="Times New Roman Regular"/>
          <w:color w:val="000000"/>
          <w:lang w:bidi="ar"/>
        </w:rPr>
        <w:t>, MCE, USA) at different time points were harvested and analyzed using western blot.</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Ubiquitination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Cell lysates were collected after incubation with 10 mM MG132 (Merck) for 10 h, followed by overnight incubation at 4°C with anti-c-Myc antibodies (1:1,000, Cell Signaling Technology, #18583). The samples were eluted with 50 µL of lysis buffer and denatured with SDS sample buffer. The eluates were examined by Western blot with anti-ubiquitin antibodies (1:1,000, Proteintech, USA, 10201-2-AP).</w:t>
      </w:r>
    </w:p>
    <w:p>
      <w:pPr>
        <w:snapToGrid w:val="0"/>
        <w:spacing w:before="0" w:after="0"/>
        <w:rPr>
          <w:rFonts w:hint="default" w:ascii="Times New Roman Regular" w:hAnsi="Times New Roman Regular" w:cs="Times New Roman Regular"/>
          <w:b/>
          <w:bCs/>
          <w:color w:val="000000"/>
        </w:rPr>
      </w:pPr>
      <w:r>
        <w:rPr>
          <w:rFonts w:hint="default" w:ascii="Times New Roman Regular" w:hAnsi="Times New Roman Regular" w:cs="Times New Roman Regular"/>
          <w:b/>
          <w:bCs/>
          <w:color w:val="000000"/>
          <w:lang w:bidi="ar"/>
        </w:rPr>
        <w:t>RNA pull-down assay</w:t>
      </w:r>
    </w:p>
    <w:p>
      <w:pPr>
        <w:snapToGrid w:val="0"/>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cs="Times New Roman Regular"/>
          <w:color w:val="000000"/>
          <w:lang w:bidi="ar"/>
        </w:rPr>
        <w:t>RNA pull-down assay was performed with an RNA/protein pull-down kit (Thermo Fisher Scientific) as directed by the manufacturer. Briefly, the LINC00461 sequence was in vitro transcribed with biotin RNA-labeling mix and T7 RNA polymerase (Invitrogen). The biotinylated LINC00461 RNA was incubated with the cell lysates for 4 hours and was pulled down with streptavidin magnetic beads (MCE) after incubation overnight. Finally, the retrieved proteins were measured on SDS-PAGE gels for Western blot analysis.</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Quantitative real-time PCR (qRT-PCR)</w:t>
      </w:r>
    </w:p>
    <w:p>
      <w:pPr>
        <w:spacing w:before="0" w:after="0"/>
        <w:rPr>
          <w:rFonts w:hint="default" w:ascii="Times New Roman Regular" w:hAnsi="Times New Roman Regular" w:eastAsia="Times New Roman Regular" w:cs="Times New Roman Regular"/>
          <w:color w:val="000000"/>
        </w:rPr>
      </w:pPr>
      <w:r>
        <w:rPr>
          <w:rFonts w:hint="default" w:ascii="Times New Roman Regular" w:hAnsi="Times New Roman Regular" w:eastAsia="Times New Roman Regular" w:cs="Times New Roman Regular"/>
          <w:color w:val="000000"/>
          <w:lang w:bidi="ar"/>
        </w:rPr>
        <w:t>Total RNA was isolated from MDA-MB-231 and MDA-MB-468 cells with TRIzol reagent (Invitrogen, Bethesda, USA) and reverse transcribed into complementary DNA (cDNA). QRT-PCR was performed using the cDNA as a template. To ensure accuracy, each sample was quantified three times, and the assay was performed three times. Quantification was carried out by using the 2</w:t>
      </w:r>
      <w:r>
        <w:rPr>
          <w:rFonts w:hint="default" w:ascii="Times New Roman Regular" w:hAnsi="Times New Roman Regular" w:eastAsia="Times New Roman Regular" w:cs="Times New Roman Regular"/>
          <w:color w:val="000000"/>
          <w:vertAlign w:val="superscript"/>
          <w:lang w:bidi="ar"/>
        </w:rPr>
        <w:t>-ΔΔCT</w:t>
      </w:r>
      <w:r>
        <w:rPr>
          <w:rFonts w:hint="default" w:ascii="Times New Roman Regular" w:hAnsi="Times New Roman Regular" w:eastAsia="Times New Roman Regular" w:cs="Times New Roman Regular"/>
          <w:color w:val="000000"/>
          <w:lang w:bidi="ar"/>
        </w:rPr>
        <w:t xml:space="preserve"> method, with GAPDH serving as an endogenous control. RiboBio (Guangzhou, China) synthesized all primers. The following primers were used: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 xml:space="preserve">LINC00461 (Forward): </w:t>
      </w:r>
      <w:r>
        <w:rPr>
          <w:rFonts w:hint="default" w:ascii="Times New Roman Regular" w:hAnsi="Times New Roman Regular" w:cs="Times New Roman Regular"/>
          <w:lang w:bidi="ar"/>
        </w:rPr>
        <w:t xml:space="preserve">5’-gggagaggaatgatgagaaaaac-3’;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 xml:space="preserve">LINC00461 (Reverse): </w:t>
      </w:r>
      <w:r>
        <w:rPr>
          <w:rFonts w:hint="default" w:ascii="Times New Roman Regular" w:hAnsi="Times New Roman Regular" w:cs="Times New Roman Regular"/>
          <w:lang w:bidi="ar"/>
        </w:rPr>
        <w:t xml:space="preserve">5’-ctgttcctgatcctttttggttag-3’;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 xml:space="preserve">c-Myc (Forward): </w:t>
      </w:r>
      <w:r>
        <w:rPr>
          <w:rFonts w:hint="default" w:ascii="Times New Roman Regular" w:hAnsi="Times New Roman Regular" w:cs="Times New Roman Regular"/>
          <w:lang w:bidi="ar"/>
        </w:rPr>
        <w:t>5’- ggctcctggcaaaaggtca-3’;</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c-Myc (Reverse)</w:t>
      </w:r>
      <w:r>
        <w:rPr>
          <w:rFonts w:hint="default" w:ascii="Times New Roman Regular" w:hAnsi="Times New Roman Regular" w:cs="Times New Roman Regular"/>
          <w:lang w:bidi="ar"/>
        </w:rPr>
        <w:t>: 5’- ctgcgtagttgtgctgatgt-3’;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GAPDH (Forward)</w:t>
      </w:r>
      <w:r>
        <w:rPr>
          <w:rFonts w:hint="default" w:ascii="Times New Roman Regular" w:hAnsi="Times New Roman Regular" w:cs="Times New Roman Regular"/>
          <w:lang w:bidi="ar"/>
        </w:rPr>
        <w:t>: 5’- acaactttggtatcgtggaagg-3’;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cs="Times New Roman Regular"/>
        </w:rPr>
      </w:pPr>
      <w:r>
        <w:rPr>
          <w:rFonts w:hint="default" w:ascii="Times New Roman Regular" w:hAnsi="Times New Roman Regular" w:eastAsia="Times New Roman Regular" w:cs="Times New Roman Regular"/>
          <w:color w:val="000000"/>
          <w:lang w:bidi="ar"/>
        </w:rPr>
        <w:t>GAPDH (Reverse)</w:t>
      </w:r>
      <w:r>
        <w:rPr>
          <w:rFonts w:hint="default" w:ascii="Times New Roman Regular" w:hAnsi="Times New Roman Regular" w:cs="Times New Roman Regular"/>
          <w:lang w:bidi="ar"/>
        </w:rPr>
        <w:t>: 5’- gccatcacgccacagtttc-3’;</w:t>
      </w:r>
    </w:p>
    <w:p>
      <w:pPr>
        <w:spacing w:before="0" w:after="0"/>
        <w:rPr>
          <w:rFonts w:hint="default" w:ascii="Times New Roman Regular" w:hAnsi="Times New Roman Regular" w:cs="Times New Roman Regular"/>
          <w:b/>
          <w:bCs/>
        </w:rPr>
      </w:pPr>
      <w:r>
        <w:rPr>
          <w:rFonts w:hint="default" w:ascii="Times New Roman Regular" w:hAnsi="Times New Roman Regular" w:cs="Times New Roman Regular"/>
          <w:b/>
          <w:bCs/>
          <w:lang w:bidi="ar"/>
        </w:rPr>
        <w:t>Chromatin immunoprecipitation (ChIP) assay</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cs="Times New Roman Regular"/>
          <w:lang w:bidi="ar"/>
        </w:rPr>
        <w:t xml:space="preserve">ChIP assays were performed using an EZ-ChIP kit from Millipore according to the manufacturer’s protocol. </w:t>
      </w:r>
      <w:r>
        <w:rPr>
          <w:rFonts w:hint="default" w:ascii="Times New Roman Regular" w:hAnsi="Times New Roman Regular" w:eastAsia="Times New Roman Regular" w:cs="Times New Roman Regular"/>
          <w:color w:val="000000"/>
          <w:lang w:bidi="ar"/>
        </w:rPr>
        <w:t>The following primers were used:</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-promoter-F1</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gatccttgccatcccagtgtt</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-promoter-R1</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ccctagggagggttagattcct</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-promoter-F2</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tctgagctaacaggaagcga</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-promoter-R2</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agaccaaatgggtgtgacct</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-promoter-F3</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cctgcataggttatcggccc</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PKM</w:t>
      </w:r>
      <w:r>
        <w:rPr>
          <w:rFonts w:hint="default" w:ascii="Times New Roman Regular" w:hAnsi="Times New Roman Regular" w:eastAsia="Times New Roman Regular" w:cs="Times New Roman Regular"/>
          <w:color w:val="000000"/>
          <w:lang w:bidi="ar"/>
        </w:rPr>
        <w:t>2</w:t>
      </w:r>
      <w:r>
        <w:rPr>
          <w:rFonts w:hint="default" w:ascii="Times New Roman Regular" w:hAnsi="Times New Roman Regular" w:eastAsia="Times New Roman Regular" w:cs="Times New Roman Regular"/>
          <w:color w:val="000000"/>
          <w:lang w:bidi="ar"/>
        </w:rPr>
        <w:t>-promoter-R3</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ctggaatcctgcagagcgaa</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LDHA-promoter-F1</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ggcatactcaagggcttacca</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LDHA-promoter-R1</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tgattccattgcctagcccg</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LDHA-promoter-F2</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actcgagatgagatgccagtg</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LDHA-promoter-R2</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actcgagatgagatgccagtg</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LDHA-promoter-F3</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ggagggcagcaccttactta</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pacing w:before="0" w:after="0"/>
        <w:rPr>
          <w:rFonts w:hint="default" w:ascii="Times New Roman Regular" w:hAnsi="Times New Roman Regular" w:eastAsia="Times New Roman Regular" w:cs="Times New Roman Regular"/>
          <w:color w:val="000000"/>
          <w:lang w:bidi="ar"/>
        </w:rPr>
      </w:pPr>
      <w:r>
        <w:rPr>
          <w:rFonts w:hint="default" w:ascii="Times New Roman Regular" w:hAnsi="Times New Roman Regular" w:eastAsia="Times New Roman Regular" w:cs="Times New Roman Regular"/>
          <w:color w:val="000000"/>
          <w:lang w:bidi="ar"/>
        </w:rPr>
        <w:t>LDHA-promoter-R3</w:t>
      </w:r>
      <w:r>
        <w:rPr>
          <w:rFonts w:hint="default" w:ascii="Times New Roman Regular" w:hAnsi="Times New Roman Regular" w:cs="Times New Roman Regular"/>
          <w:lang w:bidi="ar"/>
        </w:rPr>
        <w:t xml:space="preserve">: 5’- </w:t>
      </w:r>
      <w:r>
        <w:rPr>
          <w:rFonts w:hint="default" w:ascii="Times New Roman Regular" w:hAnsi="Times New Roman Regular" w:eastAsia="Times New Roman Regular" w:cs="Times New Roman Regular"/>
          <w:color w:val="000000"/>
          <w:lang w:bidi="ar"/>
        </w:rPr>
        <w:t>gaggggccttaagtggaaca</w:t>
      </w:r>
      <w:r>
        <w:rPr>
          <w:rFonts w:hint="default" w:ascii="Times New Roman Regular" w:hAnsi="Times New Roman Regular" w:cs="Times New Roman Regular"/>
          <w:lang w:bidi="ar"/>
        </w:rPr>
        <w:t>-3’;</w:t>
      </w:r>
      <w:r>
        <w:rPr>
          <w:rFonts w:hint="default" w:ascii="Times New Roman Regular" w:hAnsi="Times New Roman Regular" w:eastAsia="Times New Roman Regular" w:cs="Times New Roman Regular"/>
          <w:color w:val="000000"/>
          <w:lang w:bidi="ar"/>
        </w:rPr>
        <w:t xml:space="preserve"> </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Immunohistochemistry staining (IHC)</w:t>
      </w:r>
    </w:p>
    <w:p>
      <w:pPr>
        <w:snapToGrid w:val="0"/>
        <w:spacing w:before="0" w:after="0"/>
        <w:rPr>
          <w:rFonts w:hint="default" w:ascii="Times New Roman Regular" w:hAnsi="Times New Roman Regular" w:cs="Times New Roman Regular"/>
          <w:color w:val="000000"/>
        </w:rPr>
      </w:pPr>
      <w:r>
        <w:rPr>
          <w:rFonts w:hint="default" w:ascii="Times New Roman Regular" w:hAnsi="Times New Roman Regular" w:eastAsia="Times New Roman Regular" w:cs="Times New Roman Regular"/>
          <w:color w:val="000000"/>
          <w:lang w:bidi="ar"/>
        </w:rPr>
        <w:t>Tissue sections were deparaffinised in xylene solutions followed by rehydration in graded ethanol. After this, slides were incubated in 3% hydrogen peroxide for 10 min and then boiled in citrate solution (pH = 6) in a microwave for 20 min and cooled to room temperature. The slides were then blocked in an appropriate blocking solution for 30 min and subsequently incubated with primary antibodies overnight at 4°C. The final IHC scores = intensity score</w:t>
      </w:r>
      <w:r>
        <w:rPr>
          <w:rFonts w:hint="default" w:ascii="Times New Roman Regular" w:hAnsi="Times New Roman Regular" w:cs="Times New Roman Regular"/>
          <w:color w:val="000000"/>
          <w:lang w:bidi="ar"/>
        </w:rPr>
        <w:t xml:space="preserve"> × </w:t>
      </w:r>
      <w:r>
        <w:rPr>
          <w:rFonts w:hint="default" w:ascii="Times New Roman Regular" w:hAnsi="Times New Roman Regular" w:eastAsia="Times New Roman Regular" w:cs="Times New Roman Regular"/>
          <w:color w:val="000000"/>
          <w:lang w:bidi="ar"/>
        </w:rPr>
        <w:t xml:space="preserve">percentage score. Intensity was scored according to staining intensity (0: negative, 1: weak, 2: moderate, and 3: strong); percentage score was evaluated based on the percentage of stained cells (0: 0%, 1: 1–25%, 2: 26–50%, 3: 51–75%, and 4: 76–100%). The xenograft tumor tissues were immune-stained with antibodies against HSP90 (1:50, Proteintech, 13171-1-AP), </w:t>
      </w:r>
      <w:r>
        <w:rPr>
          <w:rFonts w:hint="default" w:ascii="Times New Roman Regular" w:hAnsi="Times New Roman Regular" w:cs="Times New Roman Regular"/>
          <w:color w:val="000000"/>
          <w:lang w:bidi="ar"/>
        </w:rPr>
        <w:t>anti-PKM</w:t>
      </w:r>
      <w:r>
        <w:rPr>
          <w:rFonts w:hint="default" w:ascii="Times New Roman Regular" w:hAnsi="Times New Roman Regular" w:cs="Times New Roman Regular"/>
          <w:color w:val="000000"/>
          <w:lang w:bidi="ar"/>
        </w:rPr>
        <w:t>2</w:t>
      </w:r>
      <w:r>
        <w:rPr>
          <w:rFonts w:hint="default" w:ascii="Times New Roman Regular" w:hAnsi="Times New Roman Regular" w:cs="Times New Roman Regular"/>
          <w:color w:val="000000"/>
          <w:lang w:bidi="ar"/>
        </w:rPr>
        <w:t xml:space="preserve"> </w:t>
      </w:r>
      <w:r>
        <w:rPr>
          <w:rFonts w:hint="default" w:ascii="Times New Roman Regular" w:hAnsi="Times New Roman Regular" w:cs="Times New Roman Regular"/>
          <w:color w:val="000000"/>
        </w:rPr>
        <w:t xml:space="preserve">(1:1,000, </w:t>
      </w:r>
      <w:r>
        <w:rPr>
          <w:rFonts w:hint="default" w:ascii="Times New Roman Regular" w:hAnsi="Times New Roman Regular" w:cs="Times New Roman Regular"/>
          <w:color w:val="000000"/>
        </w:rPr>
        <w:t>proteintech</w:t>
      </w:r>
      <w:r>
        <w:rPr>
          <w:rFonts w:hint="default" w:ascii="Times New Roman Regular" w:hAnsi="Times New Roman Regular" w:cs="Times New Roman Regular"/>
          <w:color w:val="000000"/>
        </w:rPr>
        <w:t xml:space="preserve">, </w:t>
      </w:r>
      <w:r>
        <w:rPr>
          <w:rFonts w:hint="default" w:ascii="Times New Roman Regular" w:hAnsi="Times New Roman Regular" w:cs="Times New Roman Regular"/>
          <w:color w:val="000000"/>
        </w:rPr>
        <w:t>15822-1-AP</w:t>
      </w:r>
      <w:r>
        <w:rPr>
          <w:rFonts w:hint="default" w:ascii="Times New Roman Regular" w:hAnsi="Times New Roman Regular" w:cs="Times New Roman Regular"/>
          <w:color w:val="000000"/>
        </w:rPr>
        <w:t>)</w:t>
      </w:r>
      <w:r>
        <w:rPr>
          <w:rFonts w:hint="default" w:ascii="Times New Roman Regular" w:hAnsi="Times New Roman Regular" w:cs="Times New Roman Regular"/>
          <w:color w:val="000000"/>
          <w:lang w:bidi="ar"/>
        </w:rPr>
        <w:t xml:space="preserve">, </w:t>
      </w:r>
      <w:r>
        <w:rPr>
          <w:rFonts w:hint="default" w:ascii="Times New Roman Regular" w:hAnsi="Times New Roman Regular" w:eastAsia="Times New Roman Regular" w:cs="Times New Roman Regular"/>
          <w:color w:val="000000"/>
          <w:lang w:bidi="ar"/>
        </w:rPr>
        <w:t xml:space="preserve">c-Myc (1:200, Proteintech, 10828-1-AP), and LDHA </w:t>
      </w:r>
      <w:r>
        <w:rPr>
          <w:rFonts w:hint="default" w:ascii="Times New Roman Regular" w:hAnsi="Times New Roman Regular" w:cs="Times New Roman Regular"/>
          <w:color w:val="000000"/>
          <w:lang w:bidi="ar"/>
        </w:rPr>
        <w:t>(1:200, Beyotime, AF0216).</w:t>
      </w:r>
    </w:p>
    <w:p>
      <w:pPr>
        <w:snapToGrid w:val="0"/>
        <w:spacing w:before="0" w:after="0"/>
        <w:rPr>
          <w:rFonts w:hint="default" w:ascii="Times New Roman Regular" w:hAnsi="Times New Roman Regular" w:eastAsia="Times New Roman Regular" w:cs="Times New Roman Regular"/>
          <w:b/>
          <w:bCs/>
          <w:color w:val="000000"/>
        </w:rPr>
      </w:pPr>
      <w:r>
        <w:rPr>
          <w:rFonts w:hint="default" w:ascii="Times New Roman Regular" w:hAnsi="Times New Roman Regular" w:eastAsia="Times New Roman Regular" w:cs="Times New Roman Regular"/>
          <w:b/>
          <w:bCs/>
          <w:color w:val="000000"/>
          <w:lang w:bidi="ar"/>
        </w:rPr>
        <w:t>In vivo experiments</w:t>
      </w:r>
    </w:p>
    <w:p>
      <w:pPr>
        <w:snapToGrid w:val="0"/>
        <w:spacing w:before="0" w:after="0"/>
        <w:rPr>
          <w:rFonts w:hint="default" w:ascii="Times New Roman Regular" w:hAnsi="Times New Roman Regular" w:cs="Times New Roman Regular"/>
          <w:b/>
          <w:bCs/>
        </w:rPr>
      </w:pPr>
      <w:r>
        <w:rPr>
          <w:rFonts w:hint="default" w:ascii="Times New Roman Regular" w:hAnsi="Times New Roman Regular" w:eastAsia="Times New Roman Regular" w:cs="Times New Roman Regular"/>
          <w:color w:val="000000"/>
          <w:lang w:bidi="ar"/>
        </w:rPr>
        <w:t>T</w:t>
      </w:r>
      <w:r>
        <w:rPr>
          <w:rFonts w:hint="default" w:ascii="Times New Roman Regular" w:hAnsi="Times New Roman Regular" w:eastAsia="Times New Roman Regular" w:cs="Times New Roman Regular"/>
          <w:color w:val="000000"/>
          <w:lang w:bidi="ar"/>
        </w:rPr>
        <w:t>o</w:t>
      </w:r>
      <w:r>
        <w:rPr>
          <w:rFonts w:hint="default" w:ascii="Times New Roman Regular" w:hAnsi="Times New Roman Regular" w:eastAsia="Times New Roman Regular" w:cs="Times New Roman Regular"/>
          <w:color w:val="000000"/>
          <w:lang w:bidi="ar"/>
        </w:rPr>
        <w:t xml:space="preserve"> clarify the effect of LINC00461 in vivo, 4-week-old male BALB/c nude mice were treated by subcutaneous injection into the right armpit with MDA-MB-231cells (2.0 × 10</w:t>
      </w:r>
      <w:r>
        <w:rPr>
          <w:rFonts w:hint="default" w:ascii="Times New Roman Regular" w:hAnsi="Times New Roman Regular" w:eastAsia="Times New Roman Regular" w:cs="Times New Roman Regular"/>
          <w:color w:val="000000"/>
          <w:vertAlign w:val="superscript"/>
          <w:lang w:bidi="ar"/>
        </w:rPr>
        <w:t>6</w:t>
      </w:r>
      <w:r>
        <w:rPr>
          <w:rFonts w:hint="default" w:ascii="Times New Roman Regular" w:hAnsi="Times New Roman Regular" w:eastAsia="Times New Roman Regular" w:cs="Times New Roman Regular"/>
          <w:color w:val="000000"/>
          <w:lang w:bidi="ar"/>
        </w:rPr>
        <w:t xml:space="preserve"> or 1× 10</w:t>
      </w:r>
      <w:r>
        <w:rPr>
          <w:rFonts w:hint="default" w:ascii="Times New Roman Regular" w:hAnsi="Times New Roman Regular" w:eastAsia="Times New Roman Regular" w:cs="Times New Roman Regular"/>
          <w:color w:val="000000"/>
          <w:vertAlign w:val="superscript"/>
          <w:lang w:bidi="ar"/>
        </w:rPr>
        <w:t>6</w:t>
      </w:r>
      <w:r>
        <w:rPr>
          <w:rFonts w:hint="default" w:ascii="Times New Roman Regular" w:hAnsi="Times New Roman Regular" w:eastAsia="Times New Roman Regular" w:cs="Times New Roman Regular"/>
          <w:color w:val="000000"/>
          <w:lang w:bidi="ar"/>
        </w:rPr>
        <w:t xml:space="preserve"> cells for establishing LINC00461 overexpressing with c-Myc or HSP90 inhibition xenograft model. Tumor growth and mouse weight were assessed twice a week using a Vernier caliper. Tumor volume (V) was derived as 1/a × b</w:t>
      </w:r>
      <w:r>
        <w:rPr>
          <w:rFonts w:hint="default" w:ascii="Times New Roman Regular" w:hAnsi="Times New Roman Regular" w:eastAsia="Times New Roman Regular" w:cs="Times New Roman Regular"/>
          <w:color w:val="000000"/>
          <w:vertAlign w:val="superscript"/>
          <w:lang w:bidi="ar"/>
        </w:rPr>
        <w:t>2</w:t>
      </w:r>
      <w:r>
        <w:rPr>
          <w:rFonts w:hint="default" w:ascii="Times New Roman Regular" w:hAnsi="Times New Roman Regular" w:eastAsia="Times New Roman Regular" w:cs="Times New Roman Regular"/>
          <w:color w:val="000000"/>
          <w:lang w:bidi="ar"/>
        </w:rPr>
        <w:t xml:space="preserve">, where a is the long axis and b is the short axis. </w:t>
      </w:r>
    </w:p>
    <w:p>
      <w:pPr>
        <w:spacing w:before="0" w:after="0"/>
        <w:rPr>
          <w:rFonts w:hint="default" w:ascii="Times New Roman Regular" w:hAnsi="Times New Roman Regular" w:cs="Times New Roman Regular"/>
          <w:b/>
          <w:bCs/>
        </w:rPr>
      </w:pPr>
    </w:p>
    <w:p>
      <w:pPr>
        <w:spacing w:before="0" w:after="0"/>
        <w:rPr>
          <w:rFonts w:hint="default" w:ascii="Times New Roman Regular" w:hAnsi="Times New Roman Regular" w:cs="Times New Roman Regular"/>
          <w:b/>
          <w:bCs/>
        </w:rPr>
      </w:pPr>
      <w:r>
        <w:rPr>
          <w:rFonts w:hint="default" w:ascii="Times New Roman Regular" w:hAnsi="Times New Roman Regular" w:cs="Times New Roman Regular"/>
          <w:b/>
          <w:bCs/>
        </w:rPr>
        <w:t xml:space="preserve">Supplementary Figures </w:t>
      </w:r>
    </w:p>
    <w:p>
      <w:pPr>
        <w:spacing w:before="0" w:after="0"/>
        <w:rPr>
          <w:rFonts w:hint="default" w:ascii="Times New Roman Regular" w:hAnsi="Times New Roman Regular" w:cs="Times New Roman Regular"/>
          <w:b/>
          <w:bCs/>
          <w:color w:val="000000"/>
        </w:rPr>
      </w:pPr>
    </w:p>
    <w:p>
      <w:pPr>
        <w:spacing w:before="0" w:after="0"/>
        <w:rPr>
          <w:rFonts w:hint="default" w:ascii="Times New Roman Regular" w:hAnsi="Times New Roman Regular" w:cs="Times New Roman Regular"/>
        </w:rPr>
      </w:pPr>
      <w:r>
        <w:rPr>
          <w:rFonts w:hint="default" w:ascii="Times New Roman Regular" w:hAnsi="Times New Roman Regular" w:cs="Times New Roman Regular"/>
          <w:b/>
          <w:bCs/>
          <w:color w:val="000000"/>
        </w:rPr>
        <w:t>Figure S1.</w:t>
      </w:r>
      <w:r>
        <w:rPr>
          <w:rFonts w:hint="default" w:ascii="Times New Roman Regular" w:hAnsi="Times New Roman Regular" w:cs="Times New Roman Regular"/>
          <w:color w:val="000000"/>
        </w:rPr>
        <w:t xml:space="preserve"> LINC00461 interacts with HSP90 and decreases ubiquitination of c-Myc.</w:t>
      </w:r>
      <w:r>
        <w:rPr>
          <w:rFonts w:hint="default" w:ascii="Times New Roman Regular" w:hAnsi="Times New Roman Regular" w:cs="Times New Roman Regular"/>
        </w:rPr>
        <w:t xml:space="preserve"> </w:t>
      </w:r>
      <w:r>
        <w:rPr>
          <w:rFonts w:hint="default" w:ascii="Times New Roman Regular" w:hAnsi="Times New Roman Regular" w:cs="Times New Roman Regular"/>
          <w:color w:val="000000"/>
        </w:rPr>
        <w:t>(A) RIP assay was performed in MDA-MB-231 cells with anti-HSP90 and anti-IgG antibodies. LINC00461 levels were assessed using qRT-PCR.</w:t>
      </w:r>
      <w:r>
        <w:rPr>
          <w:rFonts w:hint="default" w:ascii="Times New Roman Regular" w:hAnsi="Times New Roman Regular" w:cs="Times New Roman Regular"/>
          <w:color w:val="000000"/>
          <w:szCs w:val="21"/>
        </w:rPr>
        <w:t xml:space="preserve"> </w:t>
      </w:r>
      <w:r>
        <w:rPr>
          <w:rFonts w:hint="default" w:ascii="Times New Roman Regular" w:hAnsi="Times New Roman Regular" w:cs="Times New Roman Regular"/>
          <w:color w:val="000000"/>
        </w:rPr>
        <w:t xml:space="preserve">(B) C-Myc levels analyzed via qRT-PCR in si-NC or si-LINC00461 TNBC cells and control or LINC00461-overexpressing TNBC cells. </w:t>
      </w:r>
    </w:p>
    <w:p>
      <w:pPr>
        <w:spacing w:before="0" w:after="0"/>
        <w:rPr>
          <w:rFonts w:hint="default" w:ascii="Times New Roman Regular" w:hAnsi="Times New Roman Regular" w:cs="Times New Roman Regular"/>
          <w:b/>
          <w:bCs/>
          <w:color w:val="000000"/>
        </w:rPr>
      </w:pPr>
    </w:p>
    <w:p>
      <w:pPr>
        <w:spacing w:before="0" w:after="0"/>
        <w:rPr>
          <w:rFonts w:hint="default" w:ascii="Times New Roman Regular" w:hAnsi="Times New Roman Regular" w:cs="Times New Roman Regular"/>
        </w:rPr>
      </w:pPr>
      <w:r>
        <w:rPr>
          <w:rFonts w:hint="default" w:ascii="Times New Roman Regular" w:hAnsi="Times New Roman Regular" w:cs="Times New Roman Regular"/>
          <w:b/>
          <w:bCs/>
          <w:color w:val="000000"/>
        </w:rPr>
        <w:t xml:space="preserve">Figure S2. </w:t>
      </w:r>
      <w:r>
        <w:rPr>
          <w:rFonts w:hint="default" w:ascii="Times New Roman Regular" w:hAnsi="Times New Roman Regular" w:cs="Times New Roman Regular"/>
          <w:color w:val="000000"/>
        </w:rPr>
        <w:t>LINC00461 regulates glucose metabolism and proliferation via c-Myc</w:t>
      </w:r>
      <w:r>
        <w:rPr>
          <w:rFonts w:hint="default" w:ascii="Times New Roman Regular" w:hAnsi="Times New Roman Regular" w:cs="Times New Roman Regular"/>
          <w:color w:val="000000"/>
        </w:rPr>
        <w:t>.</w:t>
      </w:r>
      <w:r>
        <w:rPr>
          <w:rFonts w:hint="default" w:ascii="Times New Roman Regular" w:hAnsi="Times New Roman Regular" w:cs="Times New Roman Regular"/>
          <w:color w:val="000000"/>
        </w:rPr>
        <w:t xml:space="preserve"> </w:t>
      </w:r>
      <w:r>
        <w:rPr>
          <w:rFonts w:hint="default" w:ascii="Times New Roman Regular" w:hAnsi="Times New Roman Regular" w:cs="Times New Roman Regular"/>
          <w:color w:val="000000"/>
        </w:rPr>
        <w:t>(A) C-Myc expression confirmed via qRT-PCR in TNBC cells. (B) The colony formation tests were performed in the cells shown with the number of colonies in each group.</w:t>
      </w:r>
    </w:p>
    <w:p>
      <w:pPr>
        <w:snapToGrid w:val="0"/>
        <w:spacing w:before="0" w:after="0"/>
        <w:rPr>
          <w:rFonts w:hint="default" w:ascii="Times New Roman Regular" w:hAnsi="Times New Roman Regular" w:eastAsia="Times New Roman" w:cs="Times New Roman Regular"/>
          <w:color w:val="000000"/>
          <w:kern w:val="2"/>
          <w:sz w:val="21"/>
          <w:szCs w:val="21"/>
        </w:rPr>
      </w:pPr>
    </w:p>
    <w:p>
      <w:pPr>
        <w:spacing w:before="0" w:after="0"/>
        <w:rPr>
          <w:rFonts w:hint="default" w:ascii="Times New Roman Regular" w:hAnsi="Times New Roman Regular" w:cs="Times New Roman Regula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0000000" w:usb3="00000000" w:csb0="0000019F" w:csb1="00000000"/>
  </w:font>
  <w:font w:name="苹方-简">
    <w:panose1 w:val="020B0400000000000000"/>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Arial Black">
    <w:panose1 w:val="020B0A04020102020204"/>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9E529"/>
    <w:rsid w:val="000A00EB"/>
    <w:rsid w:val="0037073F"/>
    <w:rsid w:val="00561BDF"/>
    <w:rsid w:val="00627624"/>
    <w:rsid w:val="00635E36"/>
    <w:rsid w:val="009004EE"/>
    <w:rsid w:val="00B84339"/>
    <w:rsid w:val="00CA5609"/>
    <w:rsid w:val="4F79E529"/>
    <w:rsid w:val="7FFA9621"/>
    <w:rsid w:val="9DF96D8A"/>
    <w:rsid w:val="BBF50452"/>
    <w:rsid w:val="E6F7EFBF"/>
    <w:rsid w:val="FBE7669F"/>
    <w:rsid w:val="FD9BA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宋体" w:cs="Times New Roman"/>
      <w:sz w:val="24"/>
      <w:szCs w:val="24"/>
      <w:lang w:val="en-US" w:eastAsia="zh-CN" w:bidi="ar-SA"/>
    </w:rPr>
  </w:style>
  <w:style w:type="paragraph" w:styleId="2">
    <w:name w:val="heading 1"/>
    <w:basedOn w:val="3"/>
    <w:next w:val="1"/>
    <w:qFormat/>
    <w:uiPriority w:val="2"/>
    <w:pPr>
      <w:numPr>
        <w:ilvl w:val="0"/>
        <w:numId w:val="1"/>
      </w:numPr>
      <w:spacing w:before="240"/>
      <w:contextualSpacing w:val="0"/>
      <w:outlineLvl w:val="0"/>
    </w:pPr>
    <w:rPr>
      <w:b/>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widowControl w:val="0"/>
      <w:numPr>
        <w:ilvl w:val="0"/>
        <w:numId w:val="2"/>
      </w:numPr>
      <w:spacing w:before="0" w:after="0"/>
      <w:contextualSpacing/>
      <w:jc w:val="both"/>
    </w:pPr>
    <w:rPr>
      <w:rFonts w:eastAsia="Cambria" w:asciiTheme="minorHAnsi" w:hAnsiTheme="minorHAnsi"/>
      <w:kern w:val="2"/>
      <w:sz w:val="21"/>
    </w:rPr>
  </w:style>
  <w:style w:type="paragraph" w:styleId="4">
    <w:name w:val="Normal (Web)"/>
    <w:basedOn w:val="1"/>
    <w:qFormat/>
    <w:uiPriority w:val="0"/>
    <w:pPr>
      <w:widowControl w:val="0"/>
      <w:spacing w:before="0" w:beforeAutospacing="1" w:after="0" w:afterAutospacing="1"/>
    </w:pPr>
    <w:rPr>
      <w:rFonts w:asciiTheme="minorHAnsi" w:hAnsiTheme="minorHAnsi" w:eastAsiaTheme="minorEastAsi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1572</Words>
  <Characters>8962</Characters>
  <Lines>74</Lines>
  <Paragraphs>21</Paragraphs>
  <TotalTime>1</TotalTime>
  <ScaleCrop>false</ScaleCrop>
  <LinksUpToDate>false</LinksUpToDate>
  <CharactersWithSpaces>10513</CharactersWithSpaces>
  <Application>WPS Office_4.5.0.7415_F1E327BC-269C-435d-A152-05C5408002CA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2022-06-27T13:16:00Z</dcterms:created>
  <dc:creator>不知所去的胖憨憨</dc:creator>
  <cp:lastModifiedBy>不知所去的胖憨憨</cp:lastModifiedBy>
  <dcterms:modified xsi:type="dcterms:W3CDTF">2022-08-13T14:01:24Z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2052-4.5.0.7415</vt:lpwstr>
  </property>
  <property fmtid="{D5CDD505-2E9C-101B-9397-08002B2CF9AE}" pid="3" name="ICV">
    <vt:lpwstr>EEAA3828FFC6F5D79A0AB76280323C89</vt:lpwstr>
  </property>
</Properties>
</file>