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33351" w14:textId="77777777" w:rsidR="00DC0478" w:rsidRPr="00FF32A9" w:rsidRDefault="00DC0478" w:rsidP="00DC0478">
      <w:pPr>
        <w:rPr>
          <w:rFonts w:cstheme="minorHAnsi"/>
          <w:b/>
          <w:bCs/>
          <w:color w:val="000000" w:themeColor="text1"/>
          <w:sz w:val="22"/>
          <w:szCs w:val="22"/>
        </w:rPr>
      </w:pPr>
      <w:r w:rsidRPr="00FF32A9">
        <w:rPr>
          <w:rFonts w:cstheme="minorHAnsi"/>
          <w:b/>
          <w:bCs/>
          <w:color w:val="000000" w:themeColor="text1"/>
          <w:sz w:val="22"/>
          <w:szCs w:val="22"/>
        </w:rPr>
        <w:t>SUPPLEMENTARY FIGURE LEGENDS</w:t>
      </w:r>
    </w:p>
    <w:p w14:paraId="1AA46D1D" w14:textId="77777777" w:rsidR="00DC0478" w:rsidRPr="00FF32A9" w:rsidRDefault="00DC0478" w:rsidP="00DC0478">
      <w:pPr>
        <w:rPr>
          <w:rFonts w:cstheme="minorHAnsi"/>
          <w:b/>
          <w:bCs/>
          <w:color w:val="000000" w:themeColor="text1"/>
          <w:sz w:val="22"/>
          <w:szCs w:val="22"/>
        </w:rPr>
      </w:pPr>
    </w:p>
    <w:p w14:paraId="30FABE57" w14:textId="77777777" w:rsidR="00DC0478" w:rsidRPr="00FF32A9" w:rsidRDefault="00DC0478" w:rsidP="00DC0478">
      <w:pPr>
        <w:rPr>
          <w:rFonts w:cstheme="minorHAnsi"/>
          <w:color w:val="000000" w:themeColor="text1"/>
          <w:sz w:val="22"/>
          <w:szCs w:val="22"/>
        </w:rPr>
      </w:pPr>
      <w:r w:rsidRPr="00FF32A9">
        <w:rPr>
          <w:rFonts w:cstheme="minorHAnsi"/>
          <w:b/>
          <w:bCs/>
          <w:color w:val="000000" w:themeColor="text1"/>
          <w:sz w:val="22"/>
          <w:szCs w:val="22"/>
        </w:rPr>
        <w:t xml:space="preserve">Supplementary Fig. 1. Preliminary multiplex analysis of inflammatory plasma biomarkers. </w:t>
      </w:r>
      <w:r w:rsidRPr="00FF32A9">
        <w:rPr>
          <w:rFonts w:cstheme="minorHAnsi"/>
          <w:color w:val="000000" w:themeColor="text1"/>
          <w:sz w:val="22"/>
          <w:szCs w:val="22"/>
        </w:rPr>
        <w:t>T</w:t>
      </w:r>
      <w:r w:rsidRPr="00FF32A9">
        <w:rPr>
          <w:rFonts w:cstheme="minorHAnsi"/>
          <w:color w:val="000000" w:themeColor="text1"/>
          <w:sz w:val="22"/>
          <w:szCs w:val="22"/>
          <w:vertAlign w:val="subscript"/>
        </w:rPr>
        <w:t>0</w:t>
      </w:r>
      <w:r w:rsidRPr="00FF32A9">
        <w:rPr>
          <w:rFonts w:cstheme="minorHAnsi"/>
          <w:color w:val="000000" w:themeColor="text1"/>
          <w:sz w:val="22"/>
          <w:szCs w:val="22"/>
        </w:rPr>
        <w:t xml:space="preserve"> plasma was obtained from an exploratory cohort of 23 patients selected based on extremes in post-LT outcomes. Luminex analysis of 73 plasma chemokines and cytokines was performed. Heatmap indicates fold change concentration comparison to normal healthy controls. Biomarkers with significant variability based on differences in variance as calculated by ANOVA analysis and those with biologic significance were selected for further analysis. </w:t>
      </w:r>
    </w:p>
    <w:p w14:paraId="1E64CA0D" w14:textId="77777777" w:rsidR="00DC0478" w:rsidRPr="00FF32A9" w:rsidRDefault="00DC0478" w:rsidP="00DC0478">
      <w:pPr>
        <w:rPr>
          <w:rFonts w:cstheme="minorHAnsi"/>
          <w:color w:val="000000" w:themeColor="text1"/>
          <w:sz w:val="22"/>
          <w:szCs w:val="22"/>
        </w:rPr>
      </w:pPr>
    </w:p>
    <w:p w14:paraId="1BA82247" w14:textId="77777777" w:rsidR="00DC0478" w:rsidRPr="00FF32A9" w:rsidRDefault="00DC0478" w:rsidP="00DC0478">
      <w:pPr>
        <w:rPr>
          <w:rFonts w:cstheme="minorHAnsi"/>
          <w:i/>
          <w:iCs/>
          <w:color w:val="000000" w:themeColor="text1"/>
          <w:sz w:val="22"/>
          <w:szCs w:val="22"/>
        </w:rPr>
      </w:pPr>
      <w:r w:rsidRPr="00FF32A9">
        <w:rPr>
          <w:rFonts w:cstheme="minorHAnsi"/>
          <w:b/>
          <w:bCs/>
          <w:color w:val="000000" w:themeColor="text1"/>
          <w:sz w:val="22"/>
          <w:szCs w:val="22"/>
        </w:rPr>
        <w:t xml:space="preserve">Supplementary Fig. 2. Biomarker Effect Size in Liver Transplant Recipients. </w:t>
      </w:r>
      <w:r w:rsidRPr="00FF32A9">
        <w:rPr>
          <w:rFonts w:cstheme="minorHAnsi"/>
          <w:color w:val="000000" w:themeColor="text1"/>
          <w:sz w:val="22"/>
          <w:szCs w:val="22"/>
        </w:rPr>
        <w:t xml:space="preserve">The effect size for each biomarker for (a) comparison of ES and EF liver transplant recipients and (b) biomarker components of the LIFI score are shown, with bias-corrected (Hedges) effect size with box representing the 95% confidence interval for the effect size of each analyte. </w:t>
      </w:r>
      <w:r w:rsidRPr="00FF32A9">
        <w:rPr>
          <w:rFonts w:cstheme="minorHAnsi"/>
          <w:i/>
          <w:iCs/>
          <w:color w:val="000000" w:themeColor="text1"/>
          <w:sz w:val="22"/>
          <w:szCs w:val="22"/>
        </w:rPr>
        <w:t>ES: Early Survivor (alive &gt;1-year post-transplant), EF: Early Futility (death &lt;</w:t>
      </w:r>
      <w:proofErr w:type="gramStart"/>
      <w:r w:rsidRPr="00FF32A9">
        <w:rPr>
          <w:rFonts w:cstheme="minorHAnsi"/>
          <w:i/>
          <w:iCs/>
          <w:color w:val="000000" w:themeColor="text1"/>
          <w:sz w:val="22"/>
          <w:szCs w:val="22"/>
        </w:rPr>
        <w:t>1 year</w:t>
      </w:r>
      <w:proofErr w:type="gramEnd"/>
      <w:r w:rsidRPr="00FF32A9">
        <w:rPr>
          <w:rFonts w:cstheme="minorHAnsi"/>
          <w:i/>
          <w:iCs/>
          <w:color w:val="000000" w:themeColor="text1"/>
          <w:sz w:val="22"/>
          <w:szCs w:val="22"/>
        </w:rPr>
        <w:t xml:space="preserve"> post-transplant), LIFI: Liver Immune Frailty Index.</w:t>
      </w:r>
    </w:p>
    <w:p w14:paraId="1C37B132" w14:textId="77777777" w:rsidR="00DC0478" w:rsidRPr="00FF32A9" w:rsidRDefault="00DC0478" w:rsidP="00DC0478">
      <w:pPr>
        <w:rPr>
          <w:rFonts w:cstheme="minorHAnsi"/>
          <w:color w:val="000000" w:themeColor="text1"/>
          <w:sz w:val="22"/>
          <w:szCs w:val="22"/>
        </w:rPr>
      </w:pPr>
    </w:p>
    <w:p w14:paraId="1F9595DF" w14:textId="77777777" w:rsidR="00DC0478" w:rsidRPr="00FF32A9" w:rsidRDefault="00DC0478" w:rsidP="00DC0478">
      <w:pPr>
        <w:rPr>
          <w:rFonts w:eastAsia="Times New Roman" w:cstheme="minorHAnsi"/>
          <w:color w:val="000000" w:themeColor="text1"/>
          <w:sz w:val="22"/>
          <w:szCs w:val="22"/>
        </w:rPr>
      </w:pPr>
      <w:r w:rsidRPr="00FF32A9">
        <w:rPr>
          <w:rFonts w:cstheme="minorHAnsi"/>
          <w:b/>
          <w:bCs/>
          <w:color w:val="000000" w:themeColor="text1"/>
          <w:sz w:val="22"/>
          <w:szCs w:val="22"/>
        </w:rPr>
        <w:t>Supplementary Fig. 3. Calibration plot of (a) LIFI model and (b) LIFI</w:t>
      </w:r>
      <w:r w:rsidRPr="00FF32A9">
        <w:rPr>
          <w:rFonts w:cstheme="minorHAnsi"/>
          <w:b/>
          <w:bCs/>
          <w:color w:val="000000" w:themeColor="text1"/>
          <w:sz w:val="22"/>
          <w:szCs w:val="22"/>
          <w:vertAlign w:val="subscript"/>
        </w:rPr>
        <w:t>MF</w:t>
      </w:r>
      <w:r w:rsidRPr="00FF32A9">
        <w:rPr>
          <w:rFonts w:cstheme="minorHAnsi"/>
          <w:b/>
          <w:bCs/>
          <w:color w:val="000000" w:themeColor="text1"/>
          <w:sz w:val="22"/>
          <w:szCs w:val="22"/>
        </w:rPr>
        <w:t xml:space="preserve"> Model</w:t>
      </w:r>
      <w:r w:rsidRPr="00FF32A9">
        <w:rPr>
          <w:rFonts w:cstheme="minorHAnsi"/>
          <w:color w:val="000000" w:themeColor="text1"/>
          <w:sz w:val="22"/>
          <w:szCs w:val="22"/>
        </w:rPr>
        <w:t xml:space="preserve">. </w:t>
      </w:r>
      <w:r w:rsidRPr="00FF32A9">
        <w:rPr>
          <w:rFonts w:eastAsia="Times New Roman" w:cstheme="minorHAnsi"/>
          <w:color w:val="000000" w:themeColor="text1"/>
          <w:sz w:val="22"/>
          <w:szCs w:val="22"/>
        </w:rPr>
        <w:t>The calibration plot compares the observed (dots with error bars) against expected probabilities (diagonal dash line) for assessment of the prediction model performance. The close distance between the observed vs. expected probabilities indicates the model has good calibration. The plot was created using the Stata’s </w:t>
      </w:r>
      <w:proofErr w:type="spellStart"/>
      <w:r w:rsidRPr="00FF32A9">
        <w:rPr>
          <w:rFonts w:eastAsia="Times New Roman" w:cstheme="minorHAnsi"/>
          <w:i/>
          <w:iCs/>
          <w:color w:val="000000" w:themeColor="text1"/>
          <w:sz w:val="22"/>
          <w:szCs w:val="22"/>
        </w:rPr>
        <w:t>pmcalplot</w:t>
      </w:r>
      <w:proofErr w:type="spellEnd"/>
      <w:r w:rsidRPr="00FF32A9">
        <w:rPr>
          <w:rFonts w:eastAsia="Times New Roman" w:cstheme="minorHAnsi"/>
          <w:i/>
          <w:iCs/>
          <w:color w:val="000000" w:themeColor="text1"/>
          <w:sz w:val="22"/>
          <w:szCs w:val="22"/>
        </w:rPr>
        <w:t> </w:t>
      </w:r>
      <w:r w:rsidRPr="00FF32A9">
        <w:rPr>
          <w:rFonts w:eastAsia="Times New Roman" w:cstheme="minorHAnsi"/>
          <w:color w:val="000000" w:themeColor="text1"/>
          <w:sz w:val="22"/>
          <w:szCs w:val="22"/>
        </w:rPr>
        <w:t xml:space="preserve">command. </w:t>
      </w:r>
      <w:r w:rsidRPr="00FF32A9">
        <w:rPr>
          <w:rFonts w:cstheme="minorHAnsi"/>
          <w:i/>
          <w:iCs/>
          <w:color w:val="000000" w:themeColor="text1"/>
          <w:sz w:val="22"/>
          <w:szCs w:val="22"/>
        </w:rPr>
        <w:t>LIFI: Liver Immune Frailty Index, LIFI</w:t>
      </w:r>
      <w:r w:rsidRPr="00FF32A9">
        <w:rPr>
          <w:rFonts w:cstheme="minorHAnsi"/>
          <w:i/>
          <w:iCs/>
          <w:color w:val="000000" w:themeColor="text1"/>
          <w:sz w:val="22"/>
          <w:szCs w:val="22"/>
          <w:vertAlign w:val="subscript"/>
        </w:rPr>
        <w:t>MF</w:t>
      </w:r>
      <w:r w:rsidRPr="00FF32A9">
        <w:rPr>
          <w:rFonts w:cstheme="minorHAnsi"/>
          <w:i/>
          <w:iCs/>
          <w:color w:val="000000" w:themeColor="text1"/>
          <w:sz w:val="22"/>
          <w:szCs w:val="22"/>
        </w:rPr>
        <w:t>: Alternative LIFI index excluding HCV.</w:t>
      </w:r>
    </w:p>
    <w:p w14:paraId="48A34329" w14:textId="77777777" w:rsidR="00DC0478" w:rsidRPr="00FF32A9" w:rsidRDefault="00DC0478" w:rsidP="00DC0478">
      <w:pPr>
        <w:rPr>
          <w:rFonts w:cstheme="minorHAnsi"/>
          <w:color w:val="000000" w:themeColor="text1"/>
          <w:sz w:val="22"/>
          <w:szCs w:val="22"/>
        </w:rPr>
      </w:pPr>
    </w:p>
    <w:p w14:paraId="3A5449BF" w14:textId="77777777" w:rsidR="00DC0478" w:rsidRPr="00FF32A9" w:rsidRDefault="00DC0478" w:rsidP="00DC0478">
      <w:pPr>
        <w:rPr>
          <w:rFonts w:cstheme="minorHAnsi"/>
          <w:i/>
          <w:iCs/>
          <w:color w:val="000000" w:themeColor="text1"/>
          <w:sz w:val="22"/>
          <w:szCs w:val="22"/>
        </w:rPr>
      </w:pPr>
      <w:r w:rsidRPr="00FF32A9">
        <w:rPr>
          <w:rFonts w:cstheme="minorHAnsi"/>
          <w:b/>
          <w:bCs/>
          <w:color w:val="000000" w:themeColor="text1"/>
          <w:sz w:val="22"/>
          <w:szCs w:val="22"/>
        </w:rPr>
        <w:t xml:space="preserve">Supplementary Fig. 4. Gating strategy for polychromatic flow cytometric assessment of T cells. </w:t>
      </w:r>
      <w:r w:rsidRPr="00FF32A9">
        <w:rPr>
          <w:rFonts w:cstheme="minorHAnsi"/>
          <w:color w:val="000000" w:themeColor="text1"/>
          <w:sz w:val="22"/>
          <w:szCs w:val="22"/>
        </w:rPr>
        <w:t>2x10</w:t>
      </w:r>
      <w:r w:rsidRPr="00FF32A9">
        <w:rPr>
          <w:rFonts w:cstheme="minorHAnsi"/>
          <w:color w:val="000000" w:themeColor="text1"/>
          <w:sz w:val="22"/>
          <w:szCs w:val="22"/>
          <w:vertAlign w:val="superscript"/>
        </w:rPr>
        <w:t>6</w:t>
      </w:r>
      <w:r w:rsidRPr="00FF32A9">
        <w:rPr>
          <w:rFonts w:cstheme="minorHAnsi"/>
          <w:color w:val="000000" w:themeColor="text1"/>
          <w:sz w:val="22"/>
          <w:szCs w:val="22"/>
        </w:rPr>
        <w:t xml:space="preserve"> T</w:t>
      </w:r>
      <w:r w:rsidRPr="00FF32A9">
        <w:rPr>
          <w:rFonts w:cstheme="minorHAnsi"/>
          <w:color w:val="000000" w:themeColor="text1"/>
          <w:sz w:val="22"/>
          <w:szCs w:val="22"/>
          <w:vertAlign w:val="subscript"/>
        </w:rPr>
        <w:t>0</w:t>
      </w:r>
      <w:r w:rsidRPr="00FF32A9">
        <w:rPr>
          <w:rFonts w:cstheme="minorHAnsi"/>
          <w:color w:val="000000" w:themeColor="text1"/>
          <w:sz w:val="22"/>
          <w:szCs w:val="22"/>
        </w:rPr>
        <w:t xml:space="preserve"> PBMCs were stained for evaluation by polychromatic flow cytometry. T cells from individual recipients were stratified based on LIFI risk </w:t>
      </w:r>
      <w:proofErr w:type="spellStart"/>
      <w:r w:rsidRPr="00FF32A9">
        <w:rPr>
          <w:rFonts w:cstheme="minorHAnsi"/>
          <w:color w:val="000000" w:themeColor="text1"/>
          <w:sz w:val="22"/>
          <w:szCs w:val="22"/>
        </w:rPr>
        <w:t>tertile</w:t>
      </w:r>
      <w:proofErr w:type="spellEnd"/>
      <w:r w:rsidRPr="00FF32A9">
        <w:rPr>
          <w:rFonts w:cstheme="minorHAnsi"/>
          <w:color w:val="000000" w:themeColor="text1"/>
          <w:sz w:val="22"/>
          <w:szCs w:val="22"/>
        </w:rPr>
        <w:t>. Gating was based on FMO. (a) Lymphocyte population was selected based on forward and side scatter. From these, (b) single cells then (c) live cell populations were selected for further analysis. (d) T cells were selected based on CD3</w:t>
      </w:r>
      <w:r w:rsidRPr="00FF32A9">
        <w:rPr>
          <w:rFonts w:cstheme="minorHAnsi"/>
          <w:color w:val="000000" w:themeColor="text1"/>
          <w:sz w:val="22"/>
          <w:szCs w:val="22"/>
          <w:vertAlign w:val="superscript"/>
        </w:rPr>
        <w:t>+</w:t>
      </w:r>
      <w:r w:rsidRPr="00FF32A9">
        <w:rPr>
          <w:rFonts w:cstheme="minorHAnsi"/>
          <w:color w:val="000000" w:themeColor="text1"/>
          <w:sz w:val="22"/>
          <w:szCs w:val="22"/>
        </w:rPr>
        <w:t xml:space="preserve"> staining and were (e) stratified into CD3</w:t>
      </w:r>
      <w:r w:rsidRPr="00FF32A9">
        <w:rPr>
          <w:rFonts w:cstheme="minorHAnsi"/>
          <w:color w:val="000000" w:themeColor="text1"/>
          <w:sz w:val="22"/>
          <w:szCs w:val="22"/>
          <w:vertAlign w:val="superscript"/>
        </w:rPr>
        <w:t>+</w:t>
      </w:r>
      <w:r w:rsidRPr="00FF32A9">
        <w:rPr>
          <w:rFonts w:cstheme="minorHAnsi"/>
          <w:color w:val="000000" w:themeColor="text1"/>
          <w:sz w:val="22"/>
          <w:szCs w:val="22"/>
        </w:rPr>
        <w:t>CD4</w:t>
      </w:r>
      <w:r w:rsidRPr="00FF32A9">
        <w:rPr>
          <w:rFonts w:cstheme="minorHAnsi"/>
          <w:color w:val="000000" w:themeColor="text1"/>
          <w:sz w:val="22"/>
          <w:szCs w:val="22"/>
          <w:vertAlign w:val="superscript"/>
        </w:rPr>
        <w:t>+</w:t>
      </w:r>
      <w:r w:rsidRPr="00FF32A9">
        <w:rPr>
          <w:rFonts w:cstheme="minorHAnsi"/>
          <w:color w:val="000000" w:themeColor="text1"/>
          <w:sz w:val="22"/>
          <w:szCs w:val="22"/>
        </w:rPr>
        <w:t xml:space="preserve"> and CD3</w:t>
      </w:r>
      <w:r w:rsidRPr="00FF32A9">
        <w:rPr>
          <w:rFonts w:cstheme="minorHAnsi"/>
          <w:color w:val="000000" w:themeColor="text1"/>
          <w:sz w:val="22"/>
          <w:szCs w:val="22"/>
          <w:vertAlign w:val="superscript"/>
        </w:rPr>
        <w:t>+</w:t>
      </w:r>
      <w:r w:rsidRPr="00FF32A9">
        <w:rPr>
          <w:rFonts w:cstheme="minorHAnsi"/>
          <w:color w:val="000000" w:themeColor="text1"/>
          <w:sz w:val="22"/>
          <w:szCs w:val="22"/>
        </w:rPr>
        <w:t>CD8</w:t>
      </w:r>
      <w:r w:rsidRPr="00FF32A9">
        <w:rPr>
          <w:rFonts w:cstheme="minorHAnsi"/>
          <w:color w:val="000000" w:themeColor="text1"/>
          <w:sz w:val="22"/>
          <w:szCs w:val="22"/>
          <w:vertAlign w:val="superscript"/>
        </w:rPr>
        <w:t>+</w:t>
      </w:r>
      <w:r w:rsidRPr="00FF32A9">
        <w:rPr>
          <w:rFonts w:cstheme="minorHAnsi"/>
          <w:color w:val="000000" w:themeColor="text1"/>
          <w:sz w:val="22"/>
          <w:szCs w:val="22"/>
        </w:rPr>
        <w:t xml:space="preserve"> T cells subsets for further analysis. (f and h) Effector memory, effector, naïve, and central memory populations were determined based on staining for CD45RA and CCR7. (g) CD25</w:t>
      </w:r>
      <w:r w:rsidRPr="00FF32A9">
        <w:rPr>
          <w:rFonts w:cstheme="minorHAnsi"/>
          <w:color w:val="000000" w:themeColor="text1"/>
          <w:sz w:val="22"/>
          <w:szCs w:val="22"/>
          <w:vertAlign w:val="superscript"/>
        </w:rPr>
        <w:t>hi</w:t>
      </w:r>
      <w:r w:rsidRPr="00FF32A9">
        <w:rPr>
          <w:rFonts w:cstheme="minorHAnsi"/>
          <w:color w:val="000000" w:themeColor="text1"/>
          <w:sz w:val="22"/>
          <w:szCs w:val="22"/>
        </w:rPr>
        <w:t>FoxP3</w:t>
      </w:r>
      <w:r w:rsidRPr="00FF32A9">
        <w:rPr>
          <w:rFonts w:cstheme="minorHAnsi"/>
          <w:color w:val="000000" w:themeColor="text1"/>
          <w:sz w:val="22"/>
          <w:szCs w:val="22"/>
          <w:vertAlign w:val="superscript"/>
        </w:rPr>
        <w:t>+</w:t>
      </w:r>
      <w:r w:rsidRPr="00FF32A9">
        <w:rPr>
          <w:rFonts w:cstheme="minorHAnsi"/>
          <w:color w:val="000000" w:themeColor="text1"/>
          <w:sz w:val="22"/>
          <w:szCs w:val="22"/>
        </w:rPr>
        <w:t xml:space="preserve"> populations of CD3</w:t>
      </w:r>
      <w:r w:rsidRPr="00FF32A9">
        <w:rPr>
          <w:rFonts w:cstheme="minorHAnsi"/>
          <w:color w:val="000000" w:themeColor="text1"/>
          <w:sz w:val="22"/>
          <w:szCs w:val="22"/>
          <w:vertAlign w:val="superscript"/>
        </w:rPr>
        <w:t>+</w:t>
      </w:r>
      <w:r w:rsidRPr="00FF32A9">
        <w:rPr>
          <w:rFonts w:cstheme="minorHAnsi"/>
          <w:color w:val="000000" w:themeColor="text1"/>
          <w:sz w:val="22"/>
          <w:szCs w:val="22"/>
        </w:rPr>
        <w:t>CD4</w:t>
      </w:r>
      <w:r w:rsidRPr="00FF32A9">
        <w:rPr>
          <w:rFonts w:cstheme="minorHAnsi"/>
          <w:color w:val="000000" w:themeColor="text1"/>
          <w:sz w:val="22"/>
          <w:szCs w:val="22"/>
          <w:vertAlign w:val="superscript"/>
        </w:rPr>
        <w:t>+</w:t>
      </w:r>
      <w:r w:rsidRPr="00FF32A9">
        <w:rPr>
          <w:rFonts w:cstheme="minorHAnsi"/>
          <w:color w:val="000000" w:themeColor="text1"/>
          <w:sz w:val="22"/>
          <w:szCs w:val="22"/>
        </w:rPr>
        <w:t xml:space="preserve"> T cells determined proportion of regulatory CD4</w:t>
      </w:r>
      <w:r w:rsidRPr="00FF32A9">
        <w:rPr>
          <w:rFonts w:cstheme="minorHAnsi"/>
          <w:color w:val="000000" w:themeColor="text1"/>
          <w:sz w:val="22"/>
          <w:szCs w:val="22"/>
          <w:vertAlign w:val="superscript"/>
        </w:rPr>
        <w:t>+</w:t>
      </w:r>
      <w:r w:rsidRPr="00FF32A9">
        <w:rPr>
          <w:rFonts w:cstheme="minorHAnsi"/>
          <w:color w:val="000000" w:themeColor="text1"/>
          <w:sz w:val="22"/>
          <w:szCs w:val="22"/>
        </w:rPr>
        <w:t xml:space="preserve"> T cells. CD3</w:t>
      </w:r>
      <w:r w:rsidRPr="00FF32A9">
        <w:rPr>
          <w:rFonts w:cstheme="minorHAnsi"/>
          <w:color w:val="000000" w:themeColor="text1"/>
          <w:sz w:val="22"/>
          <w:szCs w:val="22"/>
          <w:vertAlign w:val="superscript"/>
        </w:rPr>
        <w:t>+</w:t>
      </w:r>
      <w:r w:rsidRPr="00FF32A9">
        <w:rPr>
          <w:rFonts w:cstheme="minorHAnsi"/>
          <w:color w:val="000000" w:themeColor="text1"/>
          <w:sz w:val="22"/>
          <w:szCs w:val="22"/>
        </w:rPr>
        <w:t>CD4</w:t>
      </w:r>
      <w:r w:rsidRPr="00FF32A9">
        <w:rPr>
          <w:rFonts w:cstheme="minorHAnsi"/>
          <w:color w:val="000000" w:themeColor="text1"/>
          <w:sz w:val="22"/>
          <w:szCs w:val="22"/>
          <w:vertAlign w:val="superscript"/>
        </w:rPr>
        <w:t>+</w:t>
      </w:r>
      <w:r w:rsidRPr="00FF32A9">
        <w:rPr>
          <w:rFonts w:cstheme="minorHAnsi"/>
          <w:color w:val="000000" w:themeColor="text1"/>
          <w:sz w:val="22"/>
          <w:szCs w:val="22"/>
        </w:rPr>
        <w:t xml:space="preserve"> and CD3</w:t>
      </w:r>
      <w:r w:rsidRPr="00FF32A9">
        <w:rPr>
          <w:rFonts w:cstheme="minorHAnsi"/>
          <w:color w:val="000000" w:themeColor="text1"/>
          <w:sz w:val="22"/>
          <w:szCs w:val="22"/>
          <w:vertAlign w:val="superscript"/>
        </w:rPr>
        <w:t>+</w:t>
      </w:r>
      <w:r w:rsidRPr="00FF32A9">
        <w:rPr>
          <w:rFonts w:cstheme="minorHAnsi"/>
          <w:color w:val="000000" w:themeColor="text1"/>
          <w:sz w:val="22"/>
          <w:szCs w:val="22"/>
        </w:rPr>
        <w:t>CD8</w:t>
      </w:r>
      <w:r w:rsidRPr="00FF32A9">
        <w:rPr>
          <w:rFonts w:cstheme="minorHAnsi"/>
          <w:color w:val="000000" w:themeColor="text1"/>
          <w:sz w:val="22"/>
          <w:szCs w:val="22"/>
          <w:vertAlign w:val="superscript"/>
        </w:rPr>
        <w:t>+</w:t>
      </w:r>
      <w:r w:rsidRPr="00FF32A9">
        <w:rPr>
          <w:rFonts w:cstheme="minorHAnsi"/>
          <w:color w:val="000000" w:themeColor="text1"/>
          <w:sz w:val="22"/>
          <w:szCs w:val="22"/>
        </w:rPr>
        <w:t xml:space="preserve"> T cells were further assessed for expression of inhibitory markers (I and N) PD-1, (j and o) TIGIT, and (k and p) Tim3 as well as concurrent expression of (l and q) PD1 and TIGIT or (m and r) PD1 and Tim3. Samples with recovery of &lt;50% viable cells or with event count of &lt;10,000 were excluded. % positive subset and MFI of the parent CD3</w:t>
      </w:r>
      <w:r w:rsidRPr="00FF32A9">
        <w:rPr>
          <w:rFonts w:cstheme="minorHAnsi"/>
          <w:color w:val="000000" w:themeColor="text1"/>
          <w:sz w:val="22"/>
          <w:szCs w:val="22"/>
          <w:vertAlign w:val="superscript"/>
        </w:rPr>
        <w:t>+</w:t>
      </w:r>
      <w:r w:rsidRPr="00FF32A9">
        <w:rPr>
          <w:rFonts w:cstheme="minorHAnsi"/>
          <w:color w:val="000000" w:themeColor="text1"/>
          <w:sz w:val="22"/>
          <w:szCs w:val="22"/>
        </w:rPr>
        <w:t>CD4</w:t>
      </w:r>
      <w:r w:rsidRPr="00FF32A9">
        <w:rPr>
          <w:rFonts w:cstheme="minorHAnsi"/>
          <w:color w:val="000000" w:themeColor="text1"/>
          <w:sz w:val="22"/>
          <w:szCs w:val="22"/>
          <w:vertAlign w:val="superscript"/>
        </w:rPr>
        <w:t>+</w:t>
      </w:r>
      <w:r w:rsidRPr="00FF32A9">
        <w:rPr>
          <w:rFonts w:cstheme="minorHAnsi"/>
          <w:color w:val="000000" w:themeColor="text1"/>
          <w:sz w:val="22"/>
          <w:szCs w:val="22"/>
        </w:rPr>
        <w:t xml:space="preserve"> or CD3</w:t>
      </w:r>
      <w:r w:rsidRPr="00FF32A9">
        <w:rPr>
          <w:rFonts w:cstheme="minorHAnsi"/>
          <w:color w:val="000000" w:themeColor="text1"/>
          <w:sz w:val="22"/>
          <w:szCs w:val="22"/>
          <w:vertAlign w:val="superscript"/>
        </w:rPr>
        <w:t>+</w:t>
      </w:r>
      <w:r w:rsidRPr="00FF32A9">
        <w:rPr>
          <w:rFonts w:cstheme="minorHAnsi"/>
          <w:color w:val="000000" w:themeColor="text1"/>
          <w:sz w:val="22"/>
          <w:szCs w:val="22"/>
        </w:rPr>
        <w:t>CD8</w:t>
      </w:r>
      <w:r w:rsidRPr="00FF32A9">
        <w:rPr>
          <w:rFonts w:cstheme="minorHAnsi"/>
          <w:color w:val="000000" w:themeColor="text1"/>
          <w:sz w:val="22"/>
          <w:szCs w:val="22"/>
          <w:vertAlign w:val="superscript"/>
        </w:rPr>
        <w:t>+</w:t>
      </w:r>
      <w:r w:rsidRPr="00FF32A9">
        <w:rPr>
          <w:rFonts w:cstheme="minorHAnsi"/>
          <w:color w:val="000000" w:themeColor="text1"/>
          <w:sz w:val="22"/>
          <w:szCs w:val="22"/>
        </w:rPr>
        <w:t xml:space="preserve"> T cell population was recorded through analysis on </w:t>
      </w:r>
      <w:proofErr w:type="spellStart"/>
      <w:r w:rsidRPr="00FF32A9">
        <w:rPr>
          <w:rFonts w:cstheme="minorHAnsi"/>
          <w:color w:val="000000" w:themeColor="text1"/>
          <w:sz w:val="22"/>
          <w:szCs w:val="22"/>
        </w:rPr>
        <w:t>FlowJo</w:t>
      </w:r>
      <w:proofErr w:type="spellEnd"/>
      <w:r w:rsidRPr="00FF32A9">
        <w:rPr>
          <w:rFonts w:cstheme="minorHAnsi"/>
          <w:color w:val="000000" w:themeColor="text1"/>
          <w:sz w:val="22"/>
          <w:szCs w:val="22"/>
        </w:rPr>
        <w:t xml:space="preserve"> v10.9. </w:t>
      </w:r>
      <w:r w:rsidRPr="00FF32A9">
        <w:rPr>
          <w:rFonts w:cstheme="minorHAnsi"/>
          <w:i/>
          <w:iCs/>
          <w:color w:val="000000" w:themeColor="text1"/>
          <w:sz w:val="22"/>
          <w:szCs w:val="22"/>
        </w:rPr>
        <w:t>FMO: Fluorescence minus one; LIFI: Liver Immune Frailty Index</w:t>
      </w:r>
    </w:p>
    <w:p w14:paraId="4E9DF3A9" w14:textId="77777777" w:rsidR="00DC0478" w:rsidRPr="00FF32A9" w:rsidRDefault="00DC0478" w:rsidP="00DC0478">
      <w:pPr>
        <w:rPr>
          <w:rFonts w:cstheme="minorHAnsi"/>
          <w:i/>
          <w:iCs/>
          <w:color w:val="000000" w:themeColor="text1"/>
          <w:sz w:val="22"/>
          <w:szCs w:val="22"/>
        </w:rPr>
      </w:pPr>
    </w:p>
    <w:p w14:paraId="1C997AFB" w14:textId="77777777" w:rsidR="00DC0478" w:rsidRPr="00FF32A9" w:rsidRDefault="00DC0478" w:rsidP="00DC0478">
      <w:pPr>
        <w:rPr>
          <w:rFonts w:cstheme="minorHAnsi"/>
          <w:i/>
          <w:iCs/>
          <w:color w:val="000000" w:themeColor="text1"/>
          <w:sz w:val="22"/>
          <w:szCs w:val="22"/>
        </w:rPr>
      </w:pPr>
    </w:p>
    <w:p w14:paraId="470FA7D4" w14:textId="77777777" w:rsidR="00DC0478" w:rsidRPr="00FF32A9" w:rsidRDefault="00DC0478" w:rsidP="00DC0478">
      <w:pPr>
        <w:rPr>
          <w:rFonts w:cstheme="minorHAnsi"/>
          <w:b/>
          <w:bCs/>
          <w:color w:val="000000" w:themeColor="text1"/>
          <w:sz w:val="22"/>
          <w:szCs w:val="22"/>
        </w:rPr>
      </w:pPr>
      <w:r w:rsidRPr="00FF32A9">
        <w:rPr>
          <w:rFonts w:cstheme="minorHAnsi"/>
          <w:b/>
          <w:bCs/>
          <w:color w:val="000000" w:themeColor="text1"/>
          <w:sz w:val="22"/>
          <w:szCs w:val="22"/>
        </w:rPr>
        <w:t>OTHER SUPPLEMENTARY FILES</w:t>
      </w:r>
    </w:p>
    <w:p w14:paraId="3EA65625" w14:textId="77777777" w:rsidR="00DC0478" w:rsidRPr="00FF32A9" w:rsidRDefault="00DC0478" w:rsidP="00DC0478">
      <w:pPr>
        <w:rPr>
          <w:rFonts w:cstheme="minorHAnsi"/>
          <w:color w:val="000000" w:themeColor="text1"/>
          <w:sz w:val="22"/>
          <w:szCs w:val="22"/>
        </w:rPr>
      </w:pPr>
    </w:p>
    <w:p w14:paraId="0E439306" w14:textId="77777777" w:rsidR="00DC0478" w:rsidRPr="00FF32A9" w:rsidRDefault="00DC0478" w:rsidP="00DC0478">
      <w:pPr>
        <w:rPr>
          <w:rFonts w:cstheme="minorHAnsi"/>
          <w:color w:val="000000" w:themeColor="text1"/>
          <w:sz w:val="22"/>
          <w:szCs w:val="22"/>
        </w:rPr>
      </w:pPr>
      <w:r w:rsidRPr="00FF32A9">
        <w:rPr>
          <w:rFonts w:cstheme="minorHAnsi"/>
          <w:b/>
          <w:bCs/>
          <w:color w:val="000000" w:themeColor="text1"/>
          <w:sz w:val="22"/>
          <w:szCs w:val="22"/>
        </w:rPr>
        <w:t>Supplementary Data 1.</w:t>
      </w:r>
      <w:r w:rsidRPr="00FF32A9">
        <w:rPr>
          <w:rFonts w:cstheme="minorHAnsi"/>
          <w:color w:val="000000" w:themeColor="text1"/>
          <w:sz w:val="22"/>
          <w:szCs w:val="22"/>
        </w:rPr>
        <w:t xml:space="preserve"> </w:t>
      </w:r>
      <w:r w:rsidRPr="00FF32A9">
        <w:rPr>
          <w:rFonts w:cstheme="minorHAnsi"/>
          <w:b/>
          <w:bCs/>
          <w:color w:val="000000" w:themeColor="text1"/>
          <w:sz w:val="22"/>
          <w:szCs w:val="22"/>
        </w:rPr>
        <w:t xml:space="preserve">Deidentified data set used for LIFI model development. </w:t>
      </w:r>
      <w:r w:rsidRPr="00FF32A9">
        <w:rPr>
          <w:rFonts w:cstheme="minorHAnsi"/>
          <w:color w:val="000000" w:themeColor="text1"/>
          <w:sz w:val="22"/>
          <w:szCs w:val="22"/>
        </w:rPr>
        <w:t>Clinical and biologic variables assessed in the development of the LIFI score (limited to pre-transplant variables</w:t>
      </w:r>
      <w:proofErr w:type="gramStart"/>
      <w:r w:rsidRPr="00FF32A9">
        <w:rPr>
          <w:rFonts w:cstheme="minorHAnsi"/>
          <w:color w:val="000000" w:themeColor="text1"/>
          <w:sz w:val="22"/>
          <w:szCs w:val="22"/>
        </w:rPr>
        <w:t>)</w:t>
      </w:r>
      <w:proofErr w:type="gramEnd"/>
      <w:r w:rsidRPr="00FF32A9">
        <w:rPr>
          <w:rFonts w:cstheme="minorHAnsi"/>
          <w:color w:val="000000" w:themeColor="text1"/>
          <w:sz w:val="22"/>
          <w:szCs w:val="22"/>
        </w:rPr>
        <w:t xml:space="preserve"> and post-transplant variables used in analysis of patient outcomes is included. The data dictionary defining variables is found on a separate workbook sheet (Available via </w:t>
      </w:r>
      <w:proofErr w:type="spellStart"/>
      <w:r w:rsidRPr="00FF32A9">
        <w:rPr>
          <w:rFonts w:cstheme="minorHAnsi"/>
          <w:color w:val="000000" w:themeColor="text1"/>
          <w:sz w:val="22"/>
          <w:szCs w:val="22"/>
        </w:rPr>
        <w:t>Figshare</w:t>
      </w:r>
      <w:proofErr w:type="spellEnd"/>
      <w:r w:rsidRPr="00FF32A9">
        <w:rPr>
          <w:rFonts w:cstheme="minorHAnsi"/>
          <w:color w:val="000000" w:themeColor="text1"/>
          <w:sz w:val="22"/>
          <w:szCs w:val="22"/>
        </w:rPr>
        <w:t xml:space="preserve"> upload. https://doi.org/10.6084/m9.figshare.24079410).</w:t>
      </w:r>
    </w:p>
    <w:p w14:paraId="516C0EE4" w14:textId="77777777" w:rsidR="00DC0478" w:rsidRPr="00FF32A9" w:rsidRDefault="00DC0478" w:rsidP="00DC0478">
      <w:pPr>
        <w:rPr>
          <w:rFonts w:cstheme="minorHAnsi"/>
          <w:color w:val="000000" w:themeColor="text1"/>
          <w:sz w:val="22"/>
          <w:szCs w:val="22"/>
        </w:rPr>
      </w:pPr>
    </w:p>
    <w:p w14:paraId="39842622" w14:textId="77777777" w:rsidR="00DC0478" w:rsidRPr="00FF32A9" w:rsidRDefault="00DC0478" w:rsidP="00DC0478">
      <w:pPr>
        <w:rPr>
          <w:rFonts w:cstheme="minorHAnsi"/>
          <w:color w:val="000000" w:themeColor="text1"/>
          <w:sz w:val="22"/>
          <w:szCs w:val="22"/>
        </w:rPr>
      </w:pPr>
      <w:r w:rsidRPr="00FF32A9">
        <w:rPr>
          <w:rFonts w:cstheme="minorHAnsi"/>
          <w:b/>
          <w:bCs/>
          <w:color w:val="000000" w:themeColor="text1"/>
          <w:sz w:val="22"/>
          <w:szCs w:val="22"/>
        </w:rPr>
        <w:t>Supplementary Data 2.</w:t>
      </w:r>
      <w:r w:rsidRPr="00FF32A9">
        <w:rPr>
          <w:rFonts w:cstheme="minorHAnsi"/>
          <w:color w:val="000000" w:themeColor="text1"/>
          <w:sz w:val="22"/>
          <w:szCs w:val="22"/>
        </w:rPr>
        <w:t xml:space="preserve"> </w:t>
      </w:r>
      <w:r w:rsidRPr="00FF32A9">
        <w:rPr>
          <w:rFonts w:cstheme="minorHAnsi"/>
          <w:b/>
          <w:bCs/>
          <w:color w:val="000000" w:themeColor="text1"/>
          <w:sz w:val="22"/>
          <w:szCs w:val="22"/>
        </w:rPr>
        <w:t>Figure Data.</w:t>
      </w:r>
      <w:r w:rsidRPr="00FF32A9">
        <w:rPr>
          <w:rFonts w:cstheme="minorHAnsi"/>
          <w:color w:val="000000" w:themeColor="text1"/>
          <w:sz w:val="22"/>
          <w:szCs w:val="22"/>
        </w:rPr>
        <w:t xml:space="preserve"> Workbook sheets are labeled with respects to the figure data contained in each sheet.</w:t>
      </w:r>
    </w:p>
    <w:p w14:paraId="658ECDD3" w14:textId="77777777" w:rsidR="001777A1" w:rsidRDefault="001777A1"/>
    <w:sectPr w:rsidR="001777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478"/>
    <w:rsid w:val="001777A1"/>
    <w:rsid w:val="00DC04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8EE89"/>
  <w15:chartTrackingRefBased/>
  <w15:docId w15:val="{4562DDDC-5E4B-4D18-8CB8-CF87E172E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0478"/>
    <w:pPr>
      <w:spacing w:after="0" w:line="240" w:lineRule="auto"/>
    </w:pPr>
    <w:rPr>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515</Words>
  <Characters>2940</Characters>
  <Application>Microsoft Office Word</Application>
  <DocSecurity>0</DocSecurity>
  <Lines>24</Lines>
  <Paragraphs>6</Paragraphs>
  <ScaleCrop>false</ScaleCrop>
  <Company/>
  <LinksUpToDate>false</LinksUpToDate>
  <CharactersWithSpaces>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2023-10-12T23:03:00Z</dcterms:created>
  <dcterms:modified xsi:type="dcterms:W3CDTF">2023-10-12T23:03:00Z</dcterms:modified>
</cp:coreProperties>
</file>