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C40" w:rsidRPr="005D1D00" w:rsidRDefault="00E11C40" w:rsidP="00E11C40">
      <w:pPr>
        <w:pStyle w:val="Heading1"/>
        <w:shd w:val="clear" w:color="auto" w:fill="FFFFFF"/>
        <w:spacing w:before="0"/>
        <w:rPr>
          <w:rFonts w:asciiTheme="majorBidi" w:hAnsiTheme="majorBidi"/>
          <w:b/>
          <w:bCs/>
          <w:color w:val="000000" w:themeColor="text1"/>
          <w:sz w:val="20"/>
          <w:szCs w:val="20"/>
        </w:rPr>
      </w:pPr>
      <w:r w:rsidRPr="005D1D00">
        <w:rPr>
          <w:rFonts w:asciiTheme="majorBidi" w:eastAsiaTheme="minorHAnsi" w:hAnsiTheme="majorBidi"/>
          <w:b/>
          <w:bCs/>
          <w:color w:val="0070C0"/>
          <w:sz w:val="20"/>
          <w:szCs w:val="20"/>
          <w:lang w:bidi="fa-IR"/>
        </w:rPr>
        <w:t>Table 5.</w:t>
      </w:r>
      <w:r w:rsidRPr="005D1D00">
        <w:rPr>
          <w:rFonts w:asciiTheme="majorBidi" w:hAnsiTheme="majorBidi"/>
          <w:b/>
          <w:bCs/>
          <w:color w:val="000000" w:themeColor="text1"/>
          <w:sz w:val="20"/>
          <w:szCs w:val="20"/>
        </w:rPr>
        <w:t xml:space="preserve"> Rating the stakeholders according to position, power, interest, and influence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339"/>
        <w:gridCol w:w="437"/>
        <w:gridCol w:w="352"/>
        <w:gridCol w:w="522"/>
        <w:gridCol w:w="495"/>
        <w:gridCol w:w="550"/>
        <w:gridCol w:w="411"/>
        <w:gridCol w:w="409"/>
        <w:gridCol w:w="409"/>
        <w:gridCol w:w="409"/>
        <w:gridCol w:w="409"/>
        <w:gridCol w:w="409"/>
        <w:gridCol w:w="434"/>
        <w:gridCol w:w="409"/>
        <w:gridCol w:w="409"/>
        <w:gridCol w:w="409"/>
        <w:gridCol w:w="394"/>
      </w:tblGrid>
      <w:tr w:rsidR="00E11C40" w:rsidRPr="005B5F6F" w:rsidTr="00B84E10">
        <w:trPr>
          <w:trHeight w:val="20"/>
        </w:trPr>
        <w:tc>
          <w:tcPr>
            <w:tcW w:w="1145" w:type="pct"/>
            <w:vMerge w:val="restart"/>
            <w:shd w:val="clear" w:color="000000" w:fill="BDD6EE"/>
            <w:vAlign w:val="center"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stakeholders</w:t>
            </w:r>
          </w:p>
        </w:tc>
        <w:tc>
          <w:tcPr>
            <w:tcW w:w="1145" w:type="pct"/>
            <w:gridSpan w:val="5"/>
            <w:shd w:val="clear" w:color="000000" w:fill="BDD6EE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Position analysis</w:t>
            </w:r>
          </w:p>
        </w:tc>
        <w:tc>
          <w:tcPr>
            <w:tcW w:w="514" w:type="pct"/>
            <w:gridSpan w:val="2"/>
            <w:shd w:val="clear" w:color="000000" w:fill="BDD6EE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Interest analysis</w:t>
            </w:r>
          </w:p>
        </w:tc>
        <w:tc>
          <w:tcPr>
            <w:tcW w:w="1326" w:type="pct"/>
            <w:gridSpan w:val="6"/>
            <w:shd w:val="clear" w:color="000000" w:fill="BDD6EE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Influence analysis</w:t>
            </w:r>
          </w:p>
        </w:tc>
        <w:tc>
          <w:tcPr>
            <w:tcW w:w="870" w:type="pct"/>
            <w:gridSpan w:val="4"/>
            <w:shd w:val="clear" w:color="000000" w:fill="BDD6EE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Power analysis</w:t>
            </w:r>
          </w:p>
        </w:tc>
      </w:tr>
      <w:tr w:rsidR="00E11C40" w:rsidRPr="005B5F6F" w:rsidTr="00B84E10">
        <w:trPr>
          <w:cantSplit/>
          <w:trHeight w:val="1178"/>
        </w:trPr>
        <w:tc>
          <w:tcPr>
            <w:tcW w:w="1145" w:type="pct"/>
            <w:vMerge/>
            <w:shd w:val="clear" w:color="000000" w:fill="DEEAF6"/>
            <w:vAlign w:val="center"/>
          </w:tcPr>
          <w:p w:rsidR="00E11C40" w:rsidRPr="005B5F6F" w:rsidRDefault="00E11C40" w:rsidP="00B84E1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81" w:type="pct"/>
            <w:shd w:val="clear" w:color="000000" w:fill="DEEAF6"/>
            <w:textDirection w:val="tbRl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Person</w:t>
            </w:r>
          </w:p>
        </w:tc>
        <w:tc>
          <w:tcPr>
            <w:tcW w:w="233" w:type="pct"/>
            <w:shd w:val="clear" w:color="000000" w:fill="DEEAF6"/>
            <w:textDirection w:val="tbRl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Group</w:t>
            </w:r>
          </w:p>
        </w:tc>
        <w:tc>
          <w:tcPr>
            <w:tcW w:w="188" w:type="pct"/>
            <w:shd w:val="clear" w:color="000000" w:fill="DEEAF6"/>
            <w:textDirection w:val="tbRl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Organization</w:t>
            </w:r>
          </w:p>
        </w:tc>
        <w:tc>
          <w:tcPr>
            <w:tcW w:w="279" w:type="pct"/>
            <w:shd w:val="clear" w:color="000000" w:fill="DEEAF6"/>
            <w:textDirection w:val="tbRl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Internal organization</w:t>
            </w:r>
          </w:p>
        </w:tc>
        <w:tc>
          <w:tcPr>
            <w:tcW w:w="265" w:type="pct"/>
            <w:shd w:val="clear" w:color="000000" w:fill="DEEAF6"/>
            <w:textDirection w:val="tbRl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External organization</w:t>
            </w:r>
          </w:p>
        </w:tc>
        <w:tc>
          <w:tcPr>
            <w:tcW w:w="294" w:type="pct"/>
            <w:shd w:val="clear" w:color="000000" w:fill="DEEAF6"/>
            <w:textDirection w:val="tbRl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Financial</w:t>
            </w:r>
          </w:p>
        </w:tc>
        <w:tc>
          <w:tcPr>
            <w:tcW w:w="220" w:type="pct"/>
            <w:shd w:val="clear" w:color="000000" w:fill="DEEAF6"/>
            <w:textDirection w:val="tbRl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Non-financial</w:t>
            </w:r>
          </w:p>
        </w:tc>
        <w:tc>
          <w:tcPr>
            <w:tcW w:w="219" w:type="pct"/>
            <w:shd w:val="clear" w:color="000000" w:fill="DEEAF6"/>
            <w:textDirection w:val="tbRl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Influential</w:t>
            </w:r>
          </w:p>
        </w:tc>
        <w:tc>
          <w:tcPr>
            <w:tcW w:w="219" w:type="pct"/>
            <w:shd w:val="clear" w:color="000000" w:fill="DEEAF6"/>
            <w:textDirection w:val="tbRl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Influenced</w:t>
            </w:r>
          </w:p>
        </w:tc>
        <w:tc>
          <w:tcPr>
            <w:tcW w:w="219" w:type="pct"/>
            <w:shd w:val="clear" w:color="000000" w:fill="DEEAF6"/>
            <w:textDirection w:val="tbRl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Positive</w:t>
            </w:r>
          </w:p>
        </w:tc>
        <w:tc>
          <w:tcPr>
            <w:tcW w:w="219" w:type="pct"/>
            <w:shd w:val="clear" w:color="000000" w:fill="DEEAF6"/>
            <w:textDirection w:val="tbRl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Negative</w:t>
            </w:r>
          </w:p>
        </w:tc>
        <w:tc>
          <w:tcPr>
            <w:tcW w:w="219" w:type="pct"/>
            <w:shd w:val="clear" w:color="000000" w:fill="DEEAF6"/>
            <w:textDirection w:val="tbRl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Obvious</w:t>
            </w:r>
          </w:p>
        </w:tc>
        <w:tc>
          <w:tcPr>
            <w:tcW w:w="232" w:type="pct"/>
            <w:shd w:val="clear" w:color="000000" w:fill="DEEAF6"/>
            <w:textDirection w:val="tbRl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Hidden</w:t>
            </w:r>
          </w:p>
        </w:tc>
        <w:tc>
          <w:tcPr>
            <w:tcW w:w="219" w:type="pct"/>
            <w:shd w:val="clear" w:color="000000" w:fill="DEEAF6"/>
            <w:textDirection w:val="tbRl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Conscious</w:t>
            </w:r>
          </w:p>
        </w:tc>
        <w:tc>
          <w:tcPr>
            <w:tcW w:w="219" w:type="pct"/>
            <w:shd w:val="clear" w:color="000000" w:fill="DEEAF6"/>
            <w:textDirection w:val="tbRl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Unconscious</w:t>
            </w:r>
          </w:p>
        </w:tc>
        <w:tc>
          <w:tcPr>
            <w:tcW w:w="219" w:type="pct"/>
            <w:shd w:val="clear" w:color="000000" w:fill="DEEAF6"/>
            <w:textDirection w:val="tbRl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Design</w:t>
            </w:r>
          </w:p>
        </w:tc>
        <w:tc>
          <w:tcPr>
            <w:tcW w:w="214" w:type="pct"/>
            <w:shd w:val="clear" w:color="000000" w:fill="DEEAF6"/>
            <w:textDirection w:val="tbRl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Implementation</w:t>
            </w:r>
          </w:p>
        </w:tc>
      </w:tr>
      <w:tr w:rsidR="00E11C40" w:rsidRPr="005B5F6F" w:rsidTr="00B84E10">
        <w:trPr>
          <w:trHeight w:val="20"/>
        </w:trPr>
        <w:tc>
          <w:tcPr>
            <w:tcW w:w="1145" w:type="pct"/>
            <w:vAlign w:val="center"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Cardiologists &amp; Physicians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188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65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94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</w:tr>
      <w:tr w:rsidR="00E11C40" w:rsidRPr="005B5F6F" w:rsidTr="00B84E10">
        <w:trPr>
          <w:trHeight w:val="20"/>
        </w:trPr>
        <w:tc>
          <w:tcPr>
            <w:tcW w:w="1145" w:type="pct"/>
            <w:vAlign w:val="center"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Commission Article 20 in the Ministry of Health and Medical Education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188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65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94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</w:tr>
      <w:tr w:rsidR="00E11C40" w:rsidRPr="005B5F6F" w:rsidTr="00B84E10">
        <w:trPr>
          <w:trHeight w:val="20"/>
        </w:trPr>
        <w:tc>
          <w:tcPr>
            <w:tcW w:w="1145" w:type="pct"/>
            <w:vAlign w:val="center"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Deputy for Curative Affairs in universities of medical sciences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188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65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94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</w:tr>
      <w:tr w:rsidR="00E11C40" w:rsidRPr="005B5F6F" w:rsidTr="00B84E10">
        <w:trPr>
          <w:trHeight w:val="20"/>
        </w:trPr>
        <w:tc>
          <w:tcPr>
            <w:tcW w:w="1145" w:type="pct"/>
            <w:vAlign w:val="center"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Deputy for Curative Affairs in the Ministry of Health and Medical Education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188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65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94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</w:tr>
      <w:tr w:rsidR="00E11C40" w:rsidRPr="005B5F6F" w:rsidTr="00B84E10">
        <w:trPr>
          <w:trHeight w:val="20"/>
        </w:trPr>
        <w:tc>
          <w:tcPr>
            <w:tcW w:w="1145" w:type="pct"/>
            <w:vAlign w:val="center"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Deputy for Education in the Ministry of Health and Medical Education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188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65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94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</w:tr>
      <w:tr w:rsidR="00E11C40" w:rsidRPr="005B5F6F" w:rsidTr="00B84E10">
        <w:trPr>
          <w:trHeight w:val="20"/>
        </w:trPr>
        <w:tc>
          <w:tcPr>
            <w:tcW w:w="1145" w:type="pct"/>
            <w:vAlign w:val="center"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Deputy for Management Development and Finance in the Ministry of Health and Medical Education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188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65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94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</w:tr>
      <w:tr w:rsidR="00E11C40" w:rsidRPr="005B5F6F" w:rsidTr="00B84E10">
        <w:trPr>
          <w:trHeight w:val="20"/>
        </w:trPr>
        <w:tc>
          <w:tcPr>
            <w:tcW w:w="1145" w:type="pct"/>
            <w:vAlign w:val="center"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Elites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188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265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94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</w:tr>
      <w:tr w:rsidR="00E11C40" w:rsidRPr="005B5F6F" w:rsidTr="00B84E10">
        <w:trPr>
          <w:trHeight w:val="20"/>
        </w:trPr>
        <w:tc>
          <w:tcPr>
            <w:tcW w:w="1145" w:type="pct"/>
            <w:vAlign w:val="center"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Governorate/municipality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188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65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94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</w:tr>
      <w:tr w:rsidR="00E11C40" w:rsidRPr="005B5F6F" w:rsidTr="00B84E10">
        <w:trPr>
          <w:trHeight w:val="20"/>
        </w:trPr>
        <w:tc>
          <w:tcPr>
            <w:tcW w:w="1145" w:type="pct"/>
            <w:vAlign w:val="center"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Health donors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188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65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94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</w:tr>
      <w:tr w:rsidR="00E11C40" w:rsidRPr="005B5F6F" w:rsidTr="00B84E10">
        <w:trPr>
          <w:trHeight w:val="20"/>
        </w:trPr>
        <w:tc>
          <w:tcPr>
            <w:tcW w:w="1145" w:type="pct"/>
            <w:vAlign w:val="center"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proofErr w:type="spellStart"/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Heyat</w:t>
            </w:r>
            <w:proofErr w:type="spellEnd"/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 xml:space="preserve"> </w:t>
            </w:r>
            <w:proofErr w:type="spellStart"/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Omana</w:t>
            </w:r>
            <w:proofErr w:type="spellEnd"/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 xml:space="preserve"> </w:t>
            </w:r>
            <w:proofErr w:type="spellStart"/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Arzi</w:t>
            </w:r>
            <w:proofErr w:type="spellEnd"/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188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65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94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</w:tr>
      <w:tr w:rsidR="00E11C40" w:rsidRPr="005B5F6F" w:rsidTr="00B84E10">
        <w:trPr>
          <w:trHeight w:val="20"/>
        </w:trPr>
        <w:tc>
          <w:tcPr>
            <w:tcW w:w="1145" w:type="pct"/>
            <w:vAlign w:val="center"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Households or Users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188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65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94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</w:tr>
      <w:tr w:rsidR="00E11C40" w:rsidRPr="005B5F6F" w:rsidTr="00B84E10">
        <w:trPr>
          <w:trHeight w:val="20"/>
        </w:trPr>
        <w:tc>
          <w:tcPr>
            <w:tcW w:w="1145" w:type="pct"/>
            <w:vAlign w:val="center"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Insurance organizations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188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65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94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</w:tr>
      <w:tr w:rsidR="00E11C40" w:rsidRPr="005B5F6F" w:rsidTr="00B84E10">
        <w:trPr>
          <w:trHeight w:val="20"/>
        </w:trPr>
        <w:tc>
          <w:tcPr>
            <w:tcW w:w="1145" w:type="pct"/>
            <w:vAlign w:val="center"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Medical Council of the Islamic Republic of Iran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188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65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94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</w:tr>
      <w:tr w:rsidR="00E11C40" w:rsidRPr="005B5F6F" w:rsidTr="00B84E10">
        <w:trPr>
          <w:trHeight w:val="20"/>
        </w:trPr>
        <w:tc>
          <w:tcPr>
            <w:tcW w:w="1145" w:type="pct"/>
            <w:vAlign w:val="center"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Parliament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188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65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94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</w:tr>
      <w:tr w:rsidR="00E11C40" w:rsidRPr="005B5F6F" w:rsidTr="00B84E10">
        <w:trPr>
          <w:trHeight w:val="20"/>
        </w:trPr>
        <w:tc>
          <w:tcPr>
            <w:tcW w:w="1145" w:type="pct"/>
            <w:vAlign w:val="center"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Planning and Budget Organization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188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65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94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</w:tr>
      <w:tr w:rsidR="00E11C40" w:rsidRPr="005B5F6F" w:rsidTr="00B84E10">
        <w:trPr>
          <w:trHeight w:val="20"/>
        </w:trPr>
        <w:tc>
          <w:tcPr>
            <w:tcW w:w="1145" w:type="pct"/>
            <w:vAlign w:val="center"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Private hospital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188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65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94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</w:tr>
      <w:tr w:rsidR="00E11C40" w:rsidRPr="005B5F6F" w:rsidTr="00B84E10">
        <w:trPr>
          <w:trHeight w:val="20"/>
        </w:trPr>
        <w:tc>
          <w:tcPr>
            <w:tcW w:w="1145" w:type="pct"/>
            <w:vAlign w:val="center"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Regionalization department in the Ministry of Health and Medical Education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188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65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94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</w:tr>
      <w:tr w:rsidR="00E11C40" w:rsidRPr="005B5F6F" w:rsidTr="00B84E10">
        <w:trPr>
          <w:trHeight w:val="20"/>
        </w:trPr>
        <w:tc>
          <w:tcPr>
            <w:tcW w:w="1145" w:type="pct"/>
            <w:vAlign w:val="center"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University board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188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65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94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</w:tr>
      <w:tr w:rsidR="00E11C40" w:rsidRPr="005B5F6F" w:rsidTr="00B84E10">
        <w:trPr>
          <w:trHeight w:val="20"/>
        </w:trPr>
        <w:tc>
          <w:tcPr>
            <w:tcW w:w="1145" w:type="pct"/>
            <w:vAlign w:val="center"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University Hospital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188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65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94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</w:tr>
      <w:tr w:rsidR="00E11C40" w:rsidRPr="005B5F6F" w:rsidTr="00B84E10">
        <w:trPr>
          <w:trHeight w:val="20"/>
        </w:trPr>
        <w:tc>
          <w:tcPr>
            <w:tcW w:w="1145" w:type="pct"/>
            <w:vAlign w:val="center"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University President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188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65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94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32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*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E11C40" w:rsidRPr="005B5F6F" w:rsidRDefault="00E11C40" w:rsidP="00B84E10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</w:rPr>
            </w:pPr>
            <w:r w:rsidRPr="005B5F6F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rtl/>
                <w:lang w:bidi="fa-IR"/>
              </w:rPr>
              <w:t> </w:t>
            </w:r>
          </w:p>
        </w:tc>
      </w:tr>
    </w:tbl>
    <w:p w:rsidR="00EA62CB" w:rsidRDefault="00E11C40">
      <w:bookmarkStart w:id="0" w:name="_GoBack"/>
      <w:bookmarkEnd w:id="0"/>
    </w:p>
    <w:sectPr w:rsidR="00EA62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F8"/>
    <w:rsid w:val="000433F8"/>
    <w:rsid w:val="00193F9B"/>
    <w:rsid w:val="008168D4"/>
    <w:rsid w:val="00E1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186D43-F413-4B65-963A-9045A8341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1C40"/>
  </w:style>
  <w:style w:type="paragraph" w:styleId="Heading1">
    <w:name w:val="heading 1"/>
    <w:basedOn w:val="Normal"/>
    <w:next w:val="Normal"/>
    <w:link w:val="Heading1Char"/>
    <w:uiPriority w:val="9"/>
    <w:qFormat/>
    <w:rsid w:val="00E11C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1C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2022-10-04T11:41:00Z</dcterms:created>
  <dcterms:modified xsi:type="dcterms:W3CDTF">2022-10-04T11:41:00Z</dcterms:modified>
</cp:coreProperties>
</file>