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440" w:rsidRPr="00EF1587" w:rsidRDefault="00F771ED" w:rsidP="003D0440">
      <w:pPr>
        <w:spacing w:line="360" w:lineRule="auto"/>
        <w:jc w:val="both"/>
        <w:rPr>
          <w:rFonts w:ascii="Times New Roman" w:hAnsi="Times New Roman" w:cs="Times New Roman"/>
          <w:lang w:val="en-GB"/>
        </w:rPr>
      </w:pPr>
      <w:r>
        <w:rPr>
          <w:rFonts w:ascii="Times New Roman" w:hAnsi="Times New Roman" w:cs="Times New Roman"/>
          <w:lang w:val="en-GB"/>
        </w:rPr>
        <w:t>Additional file</w:t>
      </w:r>
      <w:bookmarkStart w:id="0" w:name="_GoBack"/>
      <w:bookmarkEnd w:id="0"/>
      <w:r w:rsidR="003D0440" w:rsidRPr="00EF1587">
        <w:rPr>
          <w:rFonts w:ascii="Times New Roman" w:hAnsi="Times New Roman" w:cs="Times New Roman"/>
          <w:lang w:val="en-GB"/>
        </w:rPr>
        <w:t xml:space="preserve"> 1</w:t>
      </w:r>
    </w:p>
    <w:p w:rsidR="003D0440" w:rsidRPr="00EF1587" w:rsidRDefault="003D0440" w:rsidP="003D0440">
      <w:pPr>
        <w:spacing w:line="360" w:lineRule="auto"/>
        <w:jc w:val="both"/>
        <w:rPr>
          <w:rFonts w:ascii="Times New Roman" w:hAnsi="Times New Roman" w:cs="Times New Roman"/>
          <w:i/>
          <w:iCs/>
          <w:lang w:val="en-GB"/>
        </w:rPr>
      </w:pPr>
      <w:r w:rsidRPr="00EF1587">
        <w:rPr>
          <w:rFonts w:ascii="Times New Roman" w:hAnsi="Times New Roman" w:cs="Times New Roman"/>
          <w:i/>
          <w:iCs/>
          <w:lang w:val="en-GB"/>
        </w:rPr>
        <w:t>Overview of included studies and their general characteristics.</w:t>
      </w:r>
    </w:p>
    <w:tbl>
      <w:tblPr>
        <w:tblW w:w="15735" w:type="dxa"/>
        <w:tblInd w:w="-851" w:type="dxa"/>
        <w:tblLayout w:type="fixed"/>
        <w:tblLook w:val="04A0" w:firstRow="1" w:lastRow="0" w:firstColumn="1" w:lastColumn="0" w:noHBand="0" w:noVBand="1"/>
      </w:tblPr>
      <w:tblGrid>
        <w:gridCol w:w="1135"/>
        <w:gridCol w:w="992"/>
        <w:gridCol w:w="1418"/>
        <w:gridCol w:w="1134"/>
        <w:gridCol w:w="1134"/>
        <w:gridCol w:w="1134"/>
        <w:gridCol w:w="1417"/>
        <w:gridCol w:w="1559"/>
        <w:gridCol w:w="2552"/>
        <w:gridCol w:w="3260"/>
      </w:tblGrid>
      <w:tr w:rsidR="003D0440" w:rsidTr="00185080">
        <w:trPr>
          <w:trHeight w:val="510"/>
          <w:tblHeader/>
        </w:trPr>
        <w:tc>
          <w:tcPr>
            <w:tcW w:w="1135" w:type="dxa"/>
            <w:tcBorders>
              <w:top w:val="single" w:sz="4" w:space="0" w:color="auto"/>
              <w:left w:val="nil"/>
              <w:bottom w:val="single" w:sz="12"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Authors</w:t>
            </w:r>
          </w:p>
        </w:tc>
        <w:tc>
          <w:tcPr>
            <w:tcW w:w="992" w:type="dxa"/>
            <w:tcBorders>
              <w:top w:val="single" w:sz="4" w:space="0" w:color="auto"/>
              <w:left w:val="nil"/>
              <w:bottom w:val="single" w:sz="12"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Year of publication</w:t>
            </w:r>
          </w:p>
        </w:tc>
        <w:tc>
          <w:tcPr>
            <w:tcW w:w="1418" w:type="dxa"/>
            <w:tcBorders>
              <w:top w:val="single" w:sz="4" w:space="0" w:color="auto"/>
              <w:left w:val="nil"/>
              <w:bottom w:val="single" w:sz="12"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Title</w:t>
            </w:r>
          </w:p>
        </w:tc>
        <w:tc>
          <w:tcPr>
            <w:tcW w:w="1134" w:type="dxa"/>
            <w:tcBorders>
              <w:top w:val="single" w:sz="4" w:space="0" w:color="auto"/>
              <w:left w:val="nil"/>
              <w:bottom w:val="single" w:sz="12"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w:t>
            </w:r>
          </w:p>
        </w:tc>
        <w:tc>
          <w:tcPr>
            <w:tcW w:w="1134" w:type="dxa"/>
            <w:tcBorders>
              <w:top w:val="single" w:sz="4" w:space="0" w:color="auto"/>
              <w:left w:val="nil"/>
              <w:bottom w:val="single" w:sz="12"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Discipline</w:t>
            </w:r>
          </w:p>
        </w:tc>
        <w:tc>
          <w:tcPr>
            <w:tcW w:w="1134" w:type="dxa"/>
            <w:tcBorders>
              <w:top w:val="single" w:sz="4" w:space="0" w:color="auto"/>
              <w:left w:val="nil"/>
              <w:bottom w:val="single" w:sz="12"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Country of study conduct</w:t>
            </w:r>
          </w:p>
        </w:tc>
        <w:tc>
          <w:tcPr>
            <w:tcW w:w="1417" w:type="dxa"/>
            <w:tcBorders>
              <w:top w:val="single" w:sz="4" w:space="0" w:color="auto"/>
              <w:left w:val="nil"/>
              <w:bottom w:val="single" w:sz="12"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Types of study design/ approach</w:t>
            </w:r>
          </w:p>
        </w:tc>
        <w:tc>
          <w:tcPr>
            <w:tcW w:w="1559" w:type="dxa"/>
            <w:tcBorders>
              <w:top w:val="single" w:sz="4" w:space="0" w:color="auto"/>
              <w:left w:val="nil"/>
              <w:bottom w:val="single" w:sz="12"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Concept studied</w:t>
            </w:r>
          </w:p>
        </w:tc>
        <w:tc>
          <w:tcPr>
            <w:tcW w:w="2552" w:type="dxa"/>
            <w:tcBorders>
              <w:top w:val="single" w:sz="4" w:space="0" w:color="auto"/>
              <w:left w:val="nil"/>
              <w:bottom w:val="single" w:sz="12"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Aim/purpose</w:t>
            </w:r>
          </w:p>
        </w:tc>
        <w:tc>
          <w:tcPr>
            <w:tcW w:w="3260" w:type="dxa"/>
            <w:tcBorders>
              <w:top w:val="single" w:sz="4" w:space="0" w:color="auto"/>
              <w:left w:val="nil"/>
              <w:bottom w:val="single" w:sz="12"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Key findings</w:t>
            </w:r>
          </w:p>
        </w:tc>
      </w:tr>
      <w:tr w:rsidR="003D0440" w:rsidRPr="00F40144" w:rsidTr="00185080">
        <w:trPr>
          <w:trHeight w:val="660"/>
        </w:trPr>
        <w:tc>
          <w:tcPr>
            <w:tcW w:w="1135" w:type="dxa"/>
            <w:tcBorders>
              <w:top w:val="single" w:sz="12" w:space="0" w:color="auto"/>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Bernstein et al.</w:t>
            </w:r>
          </w:p>
        </w:tc>
        <w:tc>
          <w:tcPr>
            <w:tcW w:w="992" w:type="dxa"/>
            <w:tcBorders>
              <w:top w:val="single" w:sz="12" w:space="0" w:color="auto"/>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single" w:sz="12" w:space="0" w:color="auto"/>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Evaluation of a Preoperative Optimization Protocol for Primary Hip and Knee Arthroplasty Patients</w:t>
            </w:r>
          </w:p>
        </w:tc>
        <w:tc>
          <w:tcPr>
            <w:tcW w:w="1134" w:type="dxa"/>
            <w:tcBorders>
              <w:top w:val="single" w:sz="12" w:space="0" w:color="auto"/>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Arthroplasty</w:t>
            </w:r>
          </w:p>
        </w:tc>
        <w:tc>
          <w:tcPr>
            <w:tcW w:w="1134" w:type="dxa"/>
            <w:tcBorders>
              <w:top w:val="single" w:sz="12" w:space="0" w:color="auto"/>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Orthopaedics</w:t>
            </w:r>
          </w:p>
        </w:tc>
        <w:tc>
          <w:tcPr>
            <w:tcW w:w="1134" w:type="dxa"/>
            <w:tcBorders>
              <w:top w:val="single" w:sz="12" w:space="0" w:color="auto"/>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single" w:sz="12" w:space="0" w:color="auto"/>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study</w:t>
            </w:r>
          </w:p>
        </w:tc>
        <w:tc>
          <w:tcPr>
            <w:tcW w:w="1559" w:type="dxa"/>
            <w:tcBorders>
              <w:top w:val="single" w:sz="12" w:space="0" w:color="auto"/>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Implementation of a JTA preoperative optimisation protocol</w:t>
            </w:r>
          </w:p>
        </w:tc>
        <w:tc>
          <w:tcPr>
            <w:tcW w:w="2552" w:type="dxa"/>
            <w:tcBorders>
              <w:top w:val="single" w:sz="12" w:space="0" w:color="auto"/>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To evaluate the implementation of the optimization protocol developed for patients undergoing primary lower extremity JTA in an urban acute care hospital, and its effect  on clinical and financial outcomes. </w:t>
            </w:r>
          </w:p>
        </w:tc>
        <w:tc>
          <w:tcPr>
            <w:tcW w:w="3260" w:type="dxa"/>
            <w:tcBorders>
              <w:top w:val="single" w:sz="12" w:space="0" w:color="auto"/>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Evidence-based preoperative optimization program resulted in higher-value care (similar outcomes with lower resource utilisation).</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Chatfield, Longenecker, Fink, &amp; Gold</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2017</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Ten CEO Imperatives for Healthcare Transformation: Lessons from Top-Performing Academic Medical Centers</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Healthcare Management</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Health care management</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Data envelopment analysis, on-site semi-structured interviews</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Key imperatives in achieving system-wide healthcare transformations</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To identify top-performing healthcare institutions and ask the CEOs about their imperatives for achieving system-wide transformation. </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10 clear imperatives essential for achieving system-wide healthcare transformation.</w:t>
            </w:r>
          </w:p>
        </w:tc>
      </w:tr>
      <w:tr w:rsidR="003D0440" w:rsidRPr="00F40144" w:rsidTr="00185080">
        <w:trPr>
          <w:trHeight w:val="99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Colldén &amp; Hellström</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Value-based healthcare translated: A complementary view of implementation</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BMC Health Services Research</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Health care management | Psychiatry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Sweden</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Longitudinal case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Two-year implementation of the Management Innovation Value-Based Health Care (VBHC) to a psychiatric department in a large Swedish hospital</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To investigate how a translation theory perspective can inform the Consolidated Framework of Implementation Research (CFIR) to increase understanding of the complex process of putting MIs into practice. </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 themes for which CFIR did not explain the findings: intervention characteristics were modified along the process, and the process did not follow predefined plans. Also, translation theory can complement research on implementation and the CFIR framework.</w:t>
            </w:r>
          </w:p>
        </w:tc>
      </w:tr>
      <w:tr w:rsidR="003D0440" w:rsidRPr="00F40144"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Dundon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2016</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Improvement in Total Joint Replacement Quality Metrics Year One Versus Year Three of the Bundled Payments for Care Improvement Initiative</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Bone and Joint Surgery-American Volume</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Orthopaedics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Comparison of quality and cost metrics</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Effects of Bundled Payments for Care Improvement initiative after 1 vs. 3 years</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To compare year-1 and year-3 results of the BPCI program with respect to hospital LOS; discharge to inpatient facilities; 30, 60, and 90-day readmission rates; and the cost of the episode of care. </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The institution improved the overall quality of care, lowered readmission rates, and decreased episode-of-care costs by year 3 of implementation of the BPCI program. Value-based alternative payment models can be successful in reducing cost while maintaining or even improving quality for total joint arthroplasty. </w:t>
            </w:r>
          </w:p>
        </w:tc>
      </w:tr>
      <w:tr w:rsidR="003D0440" w:rsidRPr="00F40144" w:rsidTr="00185080">
        <w:trPr>
          <w:trHeight w:val="99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Ebinger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Value-based ST-segment-elevation myocardial infarction care using risk-guided triage and early discharge</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Circulation: Cardiovascular Quality and Outcomes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Cardiology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application; Prospective application; quantitative analysis</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Impact of STEMI risk score, implemented to increase value</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1. To determine the impact of risk-guided STEMI care on value through a retrospective comparison of actual costs with estimated costs. 2. To evaluate the impact of an electronic medical record–integrated risk calculator for the identification </w:t>
            </w:r>
            <w:r w:rsidRPr="00EF1587">
              <w:rPr>
                <w:rFonts w:ascii="Times New Roman" w:hAnsi="Times New Roman" w:cs="Times New Roman"/>
                <w:sz w:val="16"/>
                <w:szCs w:val="16"/>
                <w:lang w:val="en-GB"/>
              </w:rPr>
              <w:lastRenderedPageBreak/>
              <w:t xml:space="preserve">and standardised care of low-risk patients after successful treatment prospectively. </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lastRenderedPageBreak/>
              <w:t xml:space="preserve">Lower costs and reduced length of stay for both retrospective and prospective cohorts. Applying risk-guided care safely reduces costs (improved clinical efficiency and low complication rate), improving the value of STEMI care. </w:t>
            </w:r>
          </w:p>
        </w:tc>
      </w:tr>
      <w:tr w:rsidR="003D0440" w:rsidRPr="00F40144"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Glotzbach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Value-driven cardiac surgery: Achieving "perfect care" after coronary artery bypass grafting</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Thoracic and Cardiovascular 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Cardiology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observational analysis; Linear regression analysis; Multivariate analysis</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The implementation of a value-driven outcomes tool in post-operative care. </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determine if the implementation of a value-driven outcomes tool comprising modifiable quality and utilisation metrics lowers cost and improves the value of coronary artery bypass grafting (CABG) post-operative care.</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"Perfect care" achieved in 65.1% of the patients. Negative relationship between costs and percent compliance with "perfect care". Quality and utilisation metrics can help promote quality and decrease costs, thus increasing value. </w:t>
            </w:r>
          </w:p>
        </w:tc>
      </w:tr>
      <w:tr w:rsidR="003D0440"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Goretti, Marinari, Vanni, &amp; Ferrari</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2020</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Value-Based Healthcare and Enhanced Recovery After Surgery Implementation in a High-Volume Bariatric Center in Italy</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Obesity 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Bariatrics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Italy</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Observational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Implementation of Value-Based Model in ERAS to increase patients' engagement and adherence. </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demonstrate the feasibility of applying a Value-Based Healthcare (VBHC) strategy associated with ERAS to increase patients’ engagement and outcomes.</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Building a caring relationship by a multidisciplinary team, adding patient wellness in a VBHC framework on top of ERAS as a patient-centered approach, increases patients’ engagement and adherence to the pathway of care, resulting in better health outcomes (clinical and PROMs). The Value-Based Model is sustainable and replicable.</w:t>
            </w:r>
          </w:p>
        </w:tc>
      </w:tr>
      <w:tr w:rsidR="003D0440" w:rsidRPr="00F40144" w:rsidTr="00185080">
        <w:trPr>
          <w:trHeight w:val="49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Gorman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2019</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Does Value Matter in Orthopaedic Trauma?: A Survey of Orthopaedic Trauma Association Members</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orthopaedic trauma</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Orthopaedic trauma</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Systems-based survey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Perceptions of VBHC</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examine the perceptions of value-based care among orthopaedic traumatologists and how they influence their practice.</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understanding of value in orthopaedic trauma is limited and practice integration is rare.</w:t>
            </w:r>
          </w:p>
        </w:tc>
      </w:tr>
      <w:tr w:rsidR="003D0440" w:rsidRPr="00F40144"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Low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2017</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Transitional home care program utilizing the integrated practice unit concept (THC-IPU): Effectiveness in improving acute hospital utilization</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International Journal of Integrated Care</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Transitional care</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Singapore</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cohort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Implementation of IPUs in transitional care</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evaluate the effectiveness of a Transitional Home Care program that applied the IPU concept in reducing readmission and in improving acute hospital utilisation. Also, to identify patient subgroups that will benefit maximally from the THC-IPU program.</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Patients within the THC-ICU program were less likely to be readmitted within 30 days, and had lower Emergency Department attendance rates within 30 until 90 days after discharge. The program was especially effective for patients with a higher risk of readmission. </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Makari-Judson, Hubbard, &amp; Wrenn</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2013</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Use of survivorship care plans to re-engineer breast cancer follow-up</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Open Breast Cancer Journal</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Oncology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Observational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Impact of Survivorship Care Program</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demonstrate the use of Survivorship Care Plans (SCPs) to coordinate follow-up in a multidisciplinary practice and improve access to breast surgeons.</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SCPs were useful in re-engineering follow-up habits of clinicians, adding value to each visit and gaining acceptance from established patients regarding recommended surveillance. SCPs contributed to reduced wait times and increase in volume of new patients seen by breast surgeons. </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lastRenderedPageBreak/>
              <w:t>McCray, Grobmyer, &amp; Pederson</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2017</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Impact of value-based breast cancer care pathway implementation on preoperative breast magnetic resonance imaging utilization</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Gland 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Oncology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review</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Effect of BC care paths on pre-operative MRI utilisation</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Determine the impact of BC care paths on pre-operative MRI utilisation.</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Implementation of online BC care paths was associated with a decreased use of pre-operative MRI overall and in patients without a BC care path indication, driving value based care through the reduction of pre-operative breast MRIs.</w:t>
            </w:r>
          </w:p>
        </w:tc>
      </w:tr>
      <w:tr w:rsidR="003D0440" w:rsidRPr="00F40144"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McLaughlin, Buxey, Chaw, &amp; Martin</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2014</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Value-based neurosurgery: The example of microvascular decompression surgery</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neurosurgery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Neurology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review</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Impact of coordinated implementation of processes across the episode of surgical care on value of neurosurgical care</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To assess the impact of implementing a comprehensive bundle of perioperative and intraoperative care improvement processes on the overall clinical value of Microvascular decompression. </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Comprehensive implementation of improvement processes throughout the continuum of care resulted in improved global outcome and greater value of delivered care. </w:t>
            </w:r>
          </w:p>
        </w:tc>
      </w:tr>
      <w:tr w:rsidR="003D0440" w:rsidRPr="00F40144"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Mittal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ValuedCare program: A population health model for the delivery of evidence-based care across the care continuum for hip fracture patients in Eastern Singapore</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Orthopaedic Surgery and Research</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Orthopaedics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Singapore</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Non-randomised historical controlled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Impact of ValuedCare program</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test a population health program which could implement multiple evidence-based practices across the continuum of care.</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implementation of VC methodology has enabled consistent delivery of high-quality, reliable and comprehensive evidence-based care for hip fracture patients.</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Nabhani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2016</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Cost Analysis of the Enhanced Recovery After Surgery Protocol in Patients Undergoing Radical Cystectomy for Bladder Cancer</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European Urology Focus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Urology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Resource-based cost analysis</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Implementation of the ERAS protocol</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evaluate the ERAS protocol for 30-day global costs relative to standard management in the era immediately preceding the initiation of ERAS for RC.</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Implementation of ERAS protocol leads to reduced costs. </w:t>
            </w:r>
          </w:p>
        </w:tc>
      </w:tr>
      <w:tr w:rsidR="003D0440" w:rsidRPr="00F40144" w:rsidTr="00185080">
        <w:trPr>
          <w:trHeight w:val="99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Nilsson, Bääthe, Andersson, &amp; Sandoff</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2017a</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Value-based healthcare as a trigger for improvement initiatives</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Leadership in Health Services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Health Care Management</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Sweden</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Explorative interview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Experiences of improvements resulting from VBHC implementation</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gain a deeper understanding of VBHC when used as a management strategy to improve patients’ health outcomes.</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VBHC worked as a trigger for initiating processes, measurements, and patients' health outcomes improvements. To implement and sustain improvements, it is important to establish awareness of the need for improvements and to motivate changes not just among managers and clinical leaders directly involved in VBHC projects but also engage all other staff providing care.</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lastRenderedPageBreak/>
              <w:t>Nilsson, Bääthe, Andersson, Wikström, &amp; Sandoff</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2017b</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Experiences from implementing value-based healthcare at a Swedish University Hospital - a longitudinal interview study</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Bmc Health Services Research</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Health Care Management</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Sweden</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Explorative interview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Experiences from implementing VBHC</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explore how representatives of four pilot project teams experienced implementing VBHC over a period of 2 years</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Value for the patients is the fundamental drive for implementing VBHC. However, there were multiple understandings of the value concept. Coordination, cooperation and inter-departmental teamwork was critical. </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Nilsson, Bääthe, Andersson, &amp; Sandoff</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need to succeed: learning experiences resulting from the implementation of value-based healthcare</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Leadership in Health Services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Health Care Management</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Sweden</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Explorative interview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Learning experiences from the implementation of VBHC</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explore learning experiences from the two first years of the implementation of VBHC</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3 main themes on learning experiences: resource allocation to support implementation, anchoring to create engagement, and dedicated, development-oriented leadership with power of decision. </w:t>
            </w:r>
          </w:p>
        </w:tc>
      </w:tr>
      <w:tr w:rsidR="003D0440" w:rsidRPr="00F40144" w:rsidTr="00185080">
        <w:trPr>
          <w:trHeight w:val="82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Nuti, Noto, Vola, &amp; Vainieri</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Let's play the patients music: A new generation of performance measurement systems in healthcare</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Management Decision</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Health Care Management</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Italy</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Longitudinal case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re-framing process of a new performance measurement system.</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investigate the development of performance measurement systems that can assess the population-based value creation process across multiple healthcare organizations while adopting a patient-based perspective.</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Re-framing PMSs contributes to re-focusing stakeholders' perspective toward value creation; legitimizes organizational units specifically aimed at managing transversal  communication, cooperation, and coordination; supports the alignment of professionals' and organizations' goals and behaviours; and fosters shared accountability among providers.</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Pelt, Erickson, Gililland, &amp; Peters</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2018</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Adding Value to Total Joint Arthroplasty Care in an Academic Environment: The Utah Experience</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Arthroplasty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Orthopaedics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Care pathway redesign</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describe the experience in adding value to joint arthroplasty care at the University of Utah.</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Real-time data and knowledgeable personnel, engaged physicians, investment in money and resources, and alignment of providers, payers, and hospital administration can help lead to improvements and the successful implementation of value creation and care pathway redesign.</w:t>
            </w:r>
          </w:p>
        </w:tc>
      </w:tr>
      <w:tr w:rsidR="003D0440" w:rsidRPr="00F40144" w:rsidTr="00185080">
        <w:trPr>
          <w:trHeight w:val="495"/>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Robinson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2017</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Measuring the Value of a Clinical Practice Guideline for Children with Perforated Appendicitis</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Annals of 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Paediatric 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Retrospective review</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Clinical outcomes and costs of clinical practice guideline</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determine the incremental cost-effectiveness of a clinical practice guideline (CPG) compared with ‘‘usual care’’ for treatment of perforated appendicitis in children.</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An evidence-based CPG increased the value of surgical care for children with perforated appendicitis by improving outcomes and lowering costs. </w:t>
            </w:r>
          </w:p>
        </w:tc>
      </w:tr>
      <w:tr w:rsidR="003D0440" w:rsidRPr="00F40144" w:rsidTr="00185080">
        <w:trPr>
          <w:trHeight w:val="660"/>
        </w:trPr>
        <w:tc>
          <w:tcPr>
            <w:tcW w:w="1135"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Russell et al.</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2014</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Optimal utilization of a breast care advanced practice clinician</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American Journal of Surgery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Oncology</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USA</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Incorporation of "lean" business philosophy to role of APCs. </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broaden the Advanced Practice Clinician (APC) scope of practice.</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Using a lean philosophy in the APC breast clinic leads to added value in patient care. </w:t>
            </w:r>
          </w:p>
        </w:tc>
      </w:tr>
      <w:tr w:rsidR="003D0440" w:rsidRPr="00F40144" w:rsidTr="00185080">
        <w:trPr>
          <w:trHeight w:val="1155"/>
        </w:trPr>
        <w:tc>
          <w:tcPr>
            <w:tcW w:w="1135" w:type="dxa"/>
            <w:tcBorders>
              <w:top w:val="nil"/>
              <w:left w:val="nil"/>
              <w:bottom w:val="nil"/>
              <w:right w:val="nil"/>
            </w:tcBorders>
            <w:shd w:val="clear" w:color="auto" w:fill="auto"/>
            <w:hideMark/>
          </w:tcPr>
          <w:p w:rsidR="003D0440" w:rsidRPr="0070024B" w:rsidRDefault="003D0440" w:rsidP="00185080">
            <w:pPr>
              <w:jc w:val="both"/>
              <w:rPr>
                <w:rFonts w:ascii="Times New Roman" w:hAnsi="Times New Roman" w:cs="Times New Roman"/>
                <w:sz w:val="16"/>
                <w:szCs w:val="16"/>
              </w:rPr>
            </w:pPr>
            <w:r w:rsidRPr="0070024B">
              <w:rPr>
                <w:rFonts w:ascii="Times New Roman" w:hAnsi="Times New Roman" w:cs="Times New Roman"/>
                <w:sz w:val="16"/>
                <w:szCs w:val="16"/>
              </w:rPr>
              <w:lastRenderedPageBreak/>
              <w:t>Van Den Berg, Dijksman, Keus, Scheele, &amp; Van Pampus</w:t>
            </w:r>
          </w:p>
        </w:tc>
        <w:tc>
          <w:tcPr>
            <w:tcW w:w="99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2020</w:t>
            </w:r>
          </w:p>
        </w:tc>
        <w:tc>
          <w:tcPr>
            <w:tcW w:w="1418"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Value-based health care in obstetrics</w:t>
            </w:r>
          </w:p>
        </w:tc>
        <w:tc>
          <w:tcPr>
            <w:tcW w:w="1134"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Journal of evaluation in clinical practice</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Obstetrics</w:t>
            </w:r>
          </w:p>
        </w:tc>
        <w:tc>
          <w:tcPr>
            <w:tcW w:w="1134"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Netherlands</w:t>
            </w:r>
          </w:p>
        </w:tc>
        <w:tc>
          <w:tcPr>
            <w:tcW w:w="1417"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Comparison study</w:t>
            </w:r>
          </w:p>
        </w:tc>
        <w:tc>
          <w:tcPr>
            <w:tcW w:w="1559"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Development and impact of a practical outcome set</w:t>
            </w:r>
          </w:p>
        </w:tc>
        <w:tc>
          <w:tcPr>
            <w:tcW w:w="2552" w:type="dxa"/>
            <w:tcBorders>
              <w:top w:val="nil"/>
              <w:left w:val="nil"/>
              <w:bottom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demonstrate a practical approach to VBHC for obstetrics and demonstrate what is necessary to learn through benchmarking.</w:t>
            </w:r>
          </w:p>
        </w:tc>
        <w:tc>
          <w:tcPr>
            <w:tcW w:w="3260" w:type="dxa"/>
            <w:tcBorders>
              <w:top w:val="nil"/>
              <w:left w:val="nil"/>
              <w:bottom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Defining, measuring, and comparing relevant outcomes enable care providers to identify improvements. Collection and comparison of readily available data can provide insights in where care can be improved. Insights from literature and comparison of care practices and processes can lead to how care can be improved. Continuous monitoring of outcomes and expanding the set of outcomes that is readily available are key in the process towards value‐based care provision.</w:t>
            </w:r>
          </w:p>
        </w:tc>
      </w:tr>
      <w:tr w:rsidR="003D0440" w:rsidRPr="00F40144" w:rsidTr="00185080">
        <w:trPr>
          <w:trHeight w:val="825"/>
        </w:trPr>
        <w:tc>
          <w:tcPr>
            <w:tcW w:w="1135" w:type="dxa"/>
            <w:tcBorders>
              <w:top w:val="nil"/>
              <w:left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van Veghel et al.</w:t>
            </w:r>
          </w:p>
        </w:tc>
        <w:tc>
          <w:tcPr>
            <w:tcW w:w="992" w:type="dxa"/>
            <w:tcBorders>
              <w:top w:val="nil"/>
              <w:left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2020</w:t>
            </w:r>
          </w:p>
        </w:tc>
        <w:tc>
          <w:tcPr>
            <w:tcW w:w="1418" w:type="dxa"/>
            <w:tcBorders>
              <w:top w:val="nil"/>
              <w:left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Organization of outcome-based quality improvement in Dutch heart centres</w:t>
            </w:r>
          </w:p>
        </w:tc>
        <w:tc>
          <w:tcPr>
            <w:tcW w:w="1134" w:type="dxa"/>
            <w:tcBorders>
              <w:top w:val="nil"/>
              <w:left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European Heart Journal - Quality of Care and Clinical Outcomes</w:t>
            </w:r>
          </w:p>
        </w:tc>
        <w:tc>
          <w:tcPr>
            <w:tcW w:w="1134" w:type="dxa"/>
            <w:tcBorders>
              <w:top w:val="nil"/>
              <w:left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Cardiology</w:t>
            </w:r>
          </w:p>
        </w:tc>
        <w:tc>
          <w:tcPr>
            <w:tcW w:w="1134" w:type="dxa"/>
            <w:tcBorders>
              <w:top w:val="nil"/>
              <w:left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Netherlands</w:t>
            </w:r>
          </w:p>
        </w:tc>
        <w:tc>
          <w:tcPr>
            <w:tcW w:w="1417" w:type="dxa"/>
            <w:tcBorders>
              <w:top w:val="nil"/>
              <w:left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Mixed-methods (interviews and surveys)</w:t>
            </w:r>
          </w:p>
        </w:tc>
        <w:tc>
          <w:tcPr>
            <w:tcW w:w="1559" w:type="dxa"/>
            <w:tcBorders>
              <w:top w:val="nil"/>
              <w:left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Implementation of patient-relevant outcome measures. </w:t>
            </w:r>
          </w:p>
        </w:tc>
        <w:tc>
          <w:tcPr>
            <w:tcW w:w="2552" w:type="dxa"/>
            <w:tcBorders>
              <w:top w:val="nil"/>
              <w:left w:val="nil"/>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To evaluate the current state of outcome-based quality improvement within six Dutch heart centres.</w:t>
            </w:r>
          </w:p>
        </w:tc>
        <w:tc>
          <w:tcPr>
            <w:tcW w:w="3260" w:type="dxa"/>
            <w:tcBorders>
              <w:top w:val="nil"/>
              <w:left w:val="nil"/>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predominant focus of the heart centres is on the actual monitoring of outcomes. A systematic approach for the identification of improvement potential and the selection and implementation of improvement initiatives is lacking. The organizational context for outcome-based quality improvement is similar in the six heart centres.</w:t>
            </w:r>
          </w:p>
        </w:tc>
      </w:tr>
      <w:tr w:rsidR="003D0440" w:rsidRPr="00F40144" w:rsidTr="00185080">
        <w:trPr>
          <w:trHeight w:val="990"/>
        </w:trPr>
        <w:tc>
          <w:tcPr>
            <w:tcW w:w="1135" w:type="dxa"/>
            <w:tcBorders>
              <w:top w:val="nil"/>
              <w:left w:val="nil"/>
              <w:bottom w:val="single" w:sz="4"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Zipfel et al. </w:t>
            </w:r>
          </w:p>
        </w:tc>
        <w:tc>
          <w:tcPr>
            <w:tcW w:w="992" w:type="dxa"/>
            <w:tcBorders>
              <w:top w:val="nil"/>
              <w:left w:val="nil"/>
              <w:bottom w:val="single" w:sz="4"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2019</w:t>
            </w:r>
          </w:p>
        </w:tc>
        <w:tc>
          <w:tcPr>
            <w:tcW w:w="1418" w:type="dxa"/>
            <w:tcBorders>
              <w:top w:val="nil"/>
              <w:left w:val="nil"/>
              <w:bottom w:val="single" w:sz="4"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implementation of change model adds value to value-based healthcare: A qualitative study</w:t>
            </w:r>
          </w:p>
        </w:tc>
        <w:tc>
          <w:tcPr>
            <w:tcW w:w="1134" w:type="dxa"/>
            <w:tcBorders>
              <w:top w:val="nil"/>
              <w:left w:val="nil"/>
              <w:bottom w:val="single" w:sz="4"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BMC Health Services Research</w:t>
            </w:r>
          </w:p>
        </w:tc>
        <w:tc>
          <w:tcPr>
            <w:tcW w:w="1134" w:type="dxa"/>
            <w:tcBorders>
              <w:top w:val="nil"/>
              <w:left w:val="nil"/>
              <w:bottom w:val="single" w:sz="4"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Cardiology</w:t>
            </w:r>
          </w:p>
        </w:tc>
        <w:tc>
          <w:tcPr>
            <w:tcW w:w="1134" w:type="dxa"/>
            <w:tcBorders>
              <w:top w:val="nil"/>
              <w:left w:val="nil"/>
              <w:bottom w:val="single" w:sz="4"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The Netherlands</w:t>
            </w:r>
          </w:p>
        </w:tc>
        <w:tc>
          <w:tcPr>
            <w:tcW w:w="1417" w:type="dxa"/>
            <w:tcBorders>
              <w:top w:val="nil"/>
              <w:left w:val="nil"/>
              <w:bottom w:val="single" w:sz="4"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Case study</w:t>
            </w:r>
          </w:p>
        </w:tc>
        <w:tc>
          <w:tcPr>
            <w:tcW w:w="1559" w:type="dxa"/>
            <w:tcBorders>
              <w:top w:val="nil"/>
              <w:left w:val="nil"/>
              <w:bottom w:val="single" w:sz="4"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 xml:space="preserve">Implementing VBHC with versus without a systematic implementation method. </w:t>
            </w:r>
          </w:p>
        </w:tc>
        <w:tc>
          <w:tcPr>
            <w:tcW w:w="2552" w:type="dxa"/>
            <w:tcBorders>
              <w:top w:val="nil"/>
              <w:left w:val="nil"/>
              <w:bottom w:val="single" w:sz="4" w:space="0" w:color="auto"/>
              <w:right w:val="nil"/>
            </w:tcBorders>
            <w:shd w:val="clear" w:color="auto" w:fill="auto"/>
            <w:hideMark/>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1. To investigate the implementation of improvement initiatives in the context of VBHC. 2. To explore how implementation science could be of added value for VBHC and vice versa.</w:t>
            </w:r>
          </w:p>
        </w:tc>
        <w:tc>
          <w:tcPr>
            <w:tcW w:w="3260" w:type="dxa"/>
            <w:tcBorders>
              <w:top w:val="nil"/>
              <w:left w:val="nil"/>
              <w:bottom w:val="single" w:sz="4" w:space="0" w:color="auto"/>
              <w:right w:val="nil"/>
            </w:tcBorders>
          </w:tcPr>
          <w:p w:rsidR="003D0440" w:rsidRPr="00EF1587" w:rsidRDefault="003D0440" w:rsidP="00185080">
            <w:pPr>
              <w:jc w:val="both"/>
              <w:rPr>
                <w:rFonts w:ascii="Times New Roman" w:hAnsi="Times New Roman" w:cs="Times New Roman"/>
                <w:sz w:val="16"/>
                <w:szCs w:val="16"/>
                <w:lang w:val="en-GB"/>
              </w:rPr>
            </w:pPr>
            <w:r w:rsidRPr="00EF1587">
              <w:rPr>
                <w:rFonts w:ascii="Times New Roman" w:hAnsi="Times New Roman" w:cs="Times New Roman"/>
                <w:sz w:val="16"/>
                <w:szCs w:val="16"/>
                <w:lang w:val="en-GB"/>
              </w:rPr>
              <w:t>Outcome measures were seen as an important starting point for the implementation and for monitoring change. Several themes were identified as most important: support, personal importance, involvement, leadership, climate and continuous monitoring. Success factors included intrinsic motivation for the change, speed of implementation, complexity and continuous evaluation.</w:t>
            </w:r>
          </w:p>
        </w:tc>
      </w:tr>
    </w:tbl>
    <w:p w:rsidR="003D0440" w:rsidRPr="00EF1587" w:rsidRDefault="003D0440" w:rsidP="003D0440">
      <w:pPr>
        <w:spacing w:line="360" w:lineRule="auto"/>
        <w:jc w:val="both"/>
        <w:rPr>
          <w:rFonts w:ascii="Times New Roman" w:hAnsi="Times New Roman" w:cs="Times New Roman"/>
          <w:lang w:val="en-GB"/>
        </w:rPr>
      </w:pPr>
    </w:p>
    <w:p w:rsidR="003D0440" w:rsidRPr="00EF1587" w:rsidRDefault="003D0440" w:rsidP="003D0440">
      <w:pPr>
        <w:spacing w:line="360" w:lineRule="auto"/>
        <w:jc w:val="both"/>
        <w:rPr>
          <w:rFonts w:ascii="Times New Roman" w:hAnsi="Times New Roman" w:cs="Times New Roman"/>
          <w:lang w:val="en-GB"/>
        </w:rPr>
      </w:pPr>
    </w:p>
    <w:p w:rsidR="001B1419" w:rsidRPr="003D0440" w:rsidRDefault="001B1419">
      <w:pPr>
        <w:rPr>
          <w:lang w:val="en-GB"/>
        </w:rPr>
      </w:pPr>
    </w:p>
    <w:sectPr w:rsidR="001B1419" w:rsidRPr="003D0440" w:rsidSect="003D0440">
      <w:footerReference w:type="default" r:id="rId4"/>
      <w:pgSz w:w="16840" w:h="1190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634473"/>
      <w:docPartObj>
        <w:docPartGallery w:val="Page Numbers (Bottom of Page)"/>
        <w:docPartUnique/>
      </w:docPartObj>
    </w:sdtPr>
    <w:sdtEndPr/>
    <w:sdtContent>
      <w:p w:rsidR="0083446F" w:rsidRDefault="00F771ED">
        <w:pPr>
          <w:pStyle w:val="Footer"/>
          <w:jc w:val="right"/>
        </w:pPr>
        <w:r>
          <w:fldChar w:fldCharType="begin"/>
        </w:r>
        <w:r>
          <w:instrText>PAGE   \* MERGEFORMAT</w:instrText>
        </w:r>
        <w:r>
          <w:fldChar w:fldCharType="separate"/>
        </w:r>
        <w:r w:rsidRPr="00F771ED">
          <w:rPr>
            <w:noProof/>
            <w:lang w:val="nl-NL"/>
          </w:rPr>
          <w:t>5</w:t>
        </w:r>
        <w:r>
          <w:fldChar w:fldCharType="end"/>
        </w:r>
      </w:p>
    </w:sdtContent>
  </w:sdt>
  <w:p w:rsidR="0083446F" w:rsidRDefault="00F771E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440"/>
    <w:rsid w:val="000131AF"/>
    <w:rsid w:val="00013A42"/>
    <w:rsid w:val="000143E6"/>
    <w:rsid w:val="00053671"/>
    <w:rsid w:val="000667FA"/>
    <w:rsid w:val="0007044A"/>
    <w:rsid w:val="0007220D"/>
    <w:rsid w:val="0007471E"/>
    <w:rsid w:val="000906B1"/>
    <w:rsid w:val="00092AD1"/>
    <w:rsid w:val="000B0028"/>
    <w:rsid w:val="000F7144"/>
    <w:rsid w:val="00142048"/>
    <w:rsid w:val="00171DC1"/>
    <w:rsid w:val="0017204E"/>
    <w:rsid w:val="001930F7"/>
    <w:rsid w:val="00197C0B"/>
    <w:rsid w:val="001B1419"/>
    <w:rsid w:val="001E15AF"/>
    <w:rsid w:val="001E4AEF"/>
    <w:rsid w:val="001F7688"/>
    <w:rsid w:val="00200B0D"/>
    <w:rsid w:val="002318C1"/>
    <w:rsid w:val="00244D79"/>
    <w:rsid w:val="00252522"/>
    <w:rsid w:val="00260AA2"/>
    <w:rsid w:val="00276805"/>
    <w:rsid w:val="00292C41"/>
    <w:rsid w:val="002C4CC6"/>
    <w:rsid w:val="002D42BC"/>
    <w:rsid w:val="002E5A05"/>
    <w:rsid w:val="00301266"/>
    <w:rsid w:val="00304B77"/>
    <w:rsid w:val="003164BE"/>
    <w:rsid w:val="00337C62"/>
    <w:rsid w:val="003539FA"/>
    <w:rsid w:val="0035629A"/>
    <w:rsid w:val="0037656D"/>
    <w:rsid w:val="00387EF1"/>
    <w:rsid w:val="003A587B"/>
    <w:rsid w:val="003C5454"/>
    <w:rsid w:val="003D0440"/>
    <w:rsid w:val="003D05C7"/>
    <w:rsid w:val="00421FD8"/>
    <w:rsid w:val="00435075"/>
    <w:rsid w:val="00441B2C"/>
    <w:rsid w:val="0046034D"/>
    <w:rsid w:val="00460C8C"/>
    <w:rsid w:val="004A03EA"/>
    <w:rsid w:val="004B7A14"/>
    <w:rsid w:val="004E105F"/>
    <w:rsid w:val="004F43F6"/>
    <w:rsid w:val="004F7D41"/>
    <w:rsid w:val="005012A5"/>
    <w:rsid w:val="00502EAE"/>
    <w:rsid w:val="00511175"/>
    <w:rsid w:val="00525C05"/>
    <w:rsid w:val="00531A17"/>
    <w:rsid w:val="00537E7D"/>
    <w:rsid w:val="0055268B"/>
    <w:rsid w:val="00581D58"/>
    <w:rsid w:val="005853CA"/>
    <w:rsid w:val="005929C1"/>
    <w:rsid w:val="005B7105"/>
    <w:rsid w:val="005F5410"/>
    <w:rsid w:val="00615A6F"/>
    <w:rsid w:val="0062044D"/>
    <w:rsid w:val="0062175B"/>
    <w:rsid w:val="0063070C"/>
    <w:rsid w:val="00646516"/>
    <w:rsid w:val="00653844"/>
    <w:rsid w:val="006538BD"/>
    <w:rsid w:val="006542D4"/>
    <w:rsid w:val="00656FF8"/>
    <w:rsid w:val="00660012"/>
    <w:rsid w:val="00663AA8"/>
    <w:rsid w:val="006671F8"/>
    <w:rsid w:val="00673D50"/>
    <w:rsid w:val="00685A5D"/>
    <w:rsid w:val="00693867"/>
    <w:rsid w:val="006A0053"/>
    <w:rsid w:val="006B4510"/>
    <w:rsid w:val="006C3647"/>
    <w:rsid w:val="006D2F3C"/>
    <w:rsid w:val="006D5DD9"/>
    <w:rsid w:val="006E1CB2"/>
    <w:rsid w:val="006E47EB"/>
    <w:rsid w:val="006F36EE"/>
    <w:rsid w:val="007151C6"/>
    <w:rsid w:val="00736151"/>
    <w:rsid w:val="00772A12"/>
    <w:rsid w:val="0078086B"/>
    <w:rsid w:val="007A0D76"/>
    <w:rsid w:val="007B0824"/>
    <w:rsid w:val="007B1267"/>
    <w:rsid w:val="007B56B4"/>
    <w:rsid w:val="007C2B01"/>
    <w:rsid w:val="007C6CD3"/>
    <w:rsid w:val="007E20D8"/>
    <w:rsid w:val="007F07C5"/>
    <w:rsid w:val="0083133A"/>
    <w:rsid w:val="00833113"/>
    <w:rsid w:val="00846A1A"/>
    <w:rsid w:val="00853455"/>
    <w:rsid w:val="00871D9A"/>
    <w:rsid w:val="0088765A"/>
    <w:rsid w:val="008C22A8"/>
    <w:rsid w:val="008C7CC2"/>
    <w:rsid w:val="00903BF3"/>
    <w:rsid w:val="00914E69"/>
    <w:rsid w:val="009A1A96"/>
    <w:rsid w:val="009A34E5"/>
    <w:rsid w:val="009C560E"/>
    <w:rsid w:val="009F0FC3"/>
    <w:rsid w:val="009F7D73"/>
    <w:rsid w:val="00A166CB"/>
    <w:rsid w:val="00A357CF"/>
    <w:rsid w:val="00A5528D"/>
    <w:rsid w:val="00A906D0"/>
    <w:rsid w:val="00AA02A9"/>
    <w:rsid w:val="00AA5424"/>
    <w:rsid w:val="00AA782E"/>
    <w:rsid w:val="00B247FF"/>
    <w:rsid w:val="00B300C0"/>
    <w:rsid w:val="00B362F2"/>
    <w:rsid w:val="00B40D5E"/>
    <w:rsid w:val="00B467AD"/>
    <w:rsid w:val="00B7583C"/>
    <w:rsid w:val="00B85006"/>
    <w:rsid w:val="00BB7521"/>
    <w:rsid w:val="00C00C68"/>
    <w:rsid w:val="00C00F60"/>
    <w:rsid w:val="00C13B59"/>
    <w:rsid w:val="00C37326"/>
    <w:rsid w:val="00C403D9"/>
    <w:rsid w:val="00C41E53"/>
    <w:rsid w:val="00C6405C"/>
    <w:rsid w:val="00C70422"/>
    <w:rsid w:val="00C77C5B"/>
    <w:rsid w:val="00C94D44"/>
    <w:rsid w:val="00CA1D28"/>
    <w:rsid w:val="00CA310A"/>
    <w:rsid w:val="00CA3144"/>
    <w:rsid w:val="00CA6128"/>
    <w:rsid w:val="00CB677B"/>
    <w:rsid w:val="00CC40DC"/>
    <w:rsid w:val="00CC750A"/>
    <w:rsid w:val="00CC7AD1"/>
    <w:rsid w:val="00CF0933"/>
    <w:rsid w:val="00D00C11"/>
    <w:rsid w:val="00D00DAB"/>
    <w:rsid w:val="00D079BD"/>
    <w:rsid w:val="00D127C5"/>
    <w:rsid w:val="00D13E3E"/>
    <w:rsid w:val="00D16485"/>
    <w:rsid w:val="00D21FAE"/>
    <w:rsid w:val="00D25CC4"/>
    <w:rsid w:val="00D31D0C"/>
    <w:rsid w:val="00D370C5"/>
    <w:rsid w:val="00D42B76"/>
    <w:rsid w:val="00D73DA3"/>
    <w:rsid w:val="00D94F9C"/>
    <w:rsid w:val="00DD1FC1"/>
    <w:rsid w:val="00DE1DCA"/>
    <w:rsid w:val="00DF67A2"/>
    <w:rsid w:val="00E3011C"/>
    <w:rsid w:val="00E3639E"/>
    <w:rsid w:val="00E37C3E"/>
    <w:rsid w:val="00E63C2E"/>
    <w:rsid w:val="00E659FD"/>
    <w:rsid w:val="00E66D6F"/>
    <w:rsid w:val="00E74625"/>
    <w:rsid w:val="00E80780"/>
    <w:rsid w:val="00E8096F"/>
    <w:rsid w:val="00EA3535"/>
    <w:rsid w:val="00EA68C5"/>
    <w:rsid w:val="00ED0E18"/>
    <w:rsid w:val="00EE11F2"/>
    <w:rsid w:val="00EE1CB8"/>
    <w:rsid w:val="00EF0B7E"/>
    <w:rsid w:val="00EF74F4"/>
    <w:rsid w:val="00F10395"/>
    <w:rsid w:val="00F3009B"/>
    <w:rsid w:val="00F6032A"/>
    <w:rsid w:val="00F67E29"/>
    <w:rsid w:val="00F771ED"/>
    <w:rsid w:val="00FA400A"/>
    <w:rsid w:val="00FC3A8E"/>
    <w:rsid w:val="00FC6673"/>
    <w:rsid w:val="00FE7ADA"/>
    <w:rsid w:val="00FF1AD3"/>
    <w:rsid w:val="00FF6B9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1CED4"/>
  <w15:chartTrackingRefBased/>
  <w15:docId w15:val="{EE42175F-BFFD-4429-9004-87A2322D6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44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D0440"/>
    <w:pPr>
      <w:tabs>
        <w:tab w:val="center" w:pos="4536"/>
        <w:tab w:val="right" w:pos="9072"/>
      </w:tabs>
      <w:adjustRightInd w:val="0"/>
      <w:ind w:firstLine="567"/>
      <w:jc w:val="both"/>
    </w:pPr>
    <w:rPr>
      <w:rFonts w:ascii="Times New Roman" w:eastAsiaTheme="minorEastAsia" w:hAnsi="Times New Roman"/>
      <w:sz w:val="22"/>
      <w:szCs w:val="22"/>
      <w:lang w:val="en-GB" w:eastAsia="ko-KR"/>
    </w:rPr>
  </w:style>
  <w:style w:type="character" w:customStyle="1" w:styleId="FooterChar">
    <w:name w:val="Footer Char"/>
    <w:basedOn w:val="DefaultParagraphFont"/>
    <w:link w:val="Footer"/>
    <w:uiPriority w:val="99"/>
    <w:rsid w:val="003D0440"/>
    <w:rPr>
      <w:rFonts w:ascii="Times New Roman" w:eastAsiaTheme="minorEastAsia" w:hAnsi="Times New Roman"/>
      <w:lang w:val="en-GB"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2491</Words>
  <Characters>13702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Groningen</Company>
  <LinksUpToDate>false</LinksUpToDate>
  <CharactersWithSpaces>16161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Renting</dc:creator>
  <cp:keywords/>
  <dc:description/>
  <cp:lastModifiedBy>N. Renting</cp:lastModifiedBy>
  <cp:revision>2</cp:revision>
  <dcterms:created xsi:type="dcterms:W3CDTF">2022-07-06T07:58:00Z</dcterms:created>
  <dcterms:modified xsi:type="dcterms:W3CDTF">2022-07-06T08:59:00Z</dcterms:modified>
</cp:coreProperties>
</file>