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7393D" w14:textId="77777777" w:rsidR="00CB7CCC" w:rsidRPr="00190A25" w:rsidRDefault="00CB7CCC" w:rsidP="0020374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0A25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5CD675F2" w14:textId="77777777" w:rsidR="0020374A" w:rsidRDefault="00CB7CCC" w:rsidP="0020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374A">
        <w:rPr>
          <w:rFonts w:ascii="Times New Roman" w:hAnsi="Times New Roman" w:cs="Times New Roman"/>
          <w:sz w:val="24"/>
          <w:szCs w:val="24"/>
        </w:rPr>
        <w:t xml:space="preserve">Supplementary Figure S1: Protein expression levels of GDF10 in patients with lung squamous cell carcinoma. (A) The IHC score of GDF10 in different pathological N stage (ns. no significance). (B) The IHC score of GDF10 in different pathological M stage (ns. no significance). (C) The IHC score of GDF10 in different pathological differentiation grade (ns. no significance). </w:t>
      </w:r>
    </w:p>
    <w:p w14:paraId="4BCFAFBD" w14:textId="77777777" w:rsidR="0020374A" w:rsidRDefault="00CB7CCC" w:rsidP="0020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374A">
        <w:rPr>
          <w:rFonts w:ascii="Times New Roman" w:hAnsi="Times New Roman" w:cs="Times New Roman"/>
          <w:sz w:val="24"/>
          <w:szCs w:val="24"/>
        </w:rPr>
        <w:t xml:space="preserve">Supplementary Table S1: The differentially expressed BMPs and BMPRs by pairwise comparisons in the four steps. Table S1-1: The differentially expressed BMPs and BMPRs in LUSC (B vs. A). Table S1-2: The differentially expressed BMPs and BMPRs in LUSC (C1 vs. A). Table S1-3: The differentially expressed BMPs and BMPRs in LUSC (C1 vs. B). Table S1-4: The differentially expressed BMPs and BMPRs in LUSC (C2 vs. A). Table S1-5: The differentially expressed BMPs and BMPRs in LUSC (C2 vs. B). Table S1-6: The differentially expressed BMPs and BMPRs in LUSC (C2 vs. C1). </w:t>
      </w:r>
    </w:p>
    <w:p w14:paraId="02D1ACCD" w14:textId="77777777" w:rsidR="0020374A" w:rsidRDefault="00CB7CCC" w:rsidP="0020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374A">
        <w:rPr>
          <w:rFonts w:ascii="Times New Roman" w:hAnsi="Times New Roman" w:cs="Times New Roman"/>
          <w:sz w:val="24"/>
          <w:szCs w:val="24"/>
        </w:rPr>
        <w:t xml:space="preserve">Supplementary Table S2: GO function enrichment results of down-regulated DEGs in magenta. </w:t>
      </w:r>
    </w:p>
    <w:p w14:paraId="44CB0C0D" w14:textId="77777777" w:rsidR="0020374A" w:rsidRDefault="00CB7CCC" w:rsidP="0020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374A">
        <w:rPr>
          <w:rFonts w:ascii="Times New Roman" w:hAnsi="Times New Roman" w:cs="Times New Roman"/>
          <w:sz w:val="24"/>
          <w:szCs w:val="24"/>
        </w:rPr>
        <w:t>Supplementary Table S3: GO function enrichment results of up-regulated DEGs in turquoise.</w:t>
      </w:r>
    </w:p>
    <w:p w14:paraId="696B95C6" w14:textId="40DEF789" w:rsidR="00CB7CCC" w:rsidRPr="0020374A" w:rsidRDefault="00CB7CCC" w:rsidP="0020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374A">
        <w:rPr>
          <w:rFonts w:ascii="Times New Roman" w:hAnsi="Times New Roman" w:cs="Times New Roman"/>
          <w:sz w:val="24"/>
          <w:szCs w:val="24"/>
        </w:rPr>
        <w:t xml:space="preserve"> Supplementary Table S4: The hub genes as potential prognostic factors in magenta and turquoise module genes.</w:t>
      </w:r>
    </w:p>
    <w:sectPr w:rsidR="00CB7CCC" w:rsidRPr="002037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D19BC" w14:textId="77777777" w:rsidR="00013980" w:rsidRDefault="00013980" w:rsidP="00190A25">
      <w:r>
        <w:separator/>
      </w:r>
    </w:p>
  </w:endnote>
  <w:endnote w:type="continuationSeparator" w:id="0">
    <w:p w14:paraId="19E628F6" w14:textId="77777777" w:rsidR="00013980" w:rsidRDefault="00013980" w:rsidP="00190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FEDD3" w14:textId="77777777" w:rsidR="00013980" w:rsidRDefault="00013980" w:rsidP="00190A25">
      <w:r>
        <w:separator/>
      </w:r>
    </w:p>
  </w:footnote>
  <w:footnote w:type="continuationSeparator" w:id="0">
    <w:p w14:paraId="148D2666" w14:textId="77777777" w:rsidR="00013980" w:rsidRDefault="00013980" w:rsidP="00190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CC"/>
    <w:rsid w:val="00013980"/>
    <w:rsid w:val="00190A25"/>
    <w:rsid w:val="0020374A"/>
    <w:rsid w:val="00CB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3E57CA"/>
  <w15:chartTrackingRefBased/>
  <w15:docId w15:val="{136AA868-EAFE-4C35-8956-A536BA63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A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0A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0A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0A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 培圆</dc:creator>
  <cp:keywords/>
  <dc:description/>
  <cp:lastModifiedBy>梅 培圆</cp:lastModifiedBy>
  <cp:revision>3</cp:revision>
  <dcterms:created xsi:type="dcterms:W3CDTF">2022-10-10T11:19:00Z</dcterms:created>
  <dcterms:modified xsi:type="dcterms:W3CDTF">2022-10-10T15:45:00Z</dcterms:modified>
</cp:coreProperties>
</file>