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BC02F52" w14:textId="77777777" w:rsidR="00176BD1" w:rsidRDefault="00176BD1" w:rsidP="006F79A7">
      <w:pPr>
        <w:pStyle w:val="Heading1"/>
        <w:jc w:val="center"/>
        <w:rPr>
          <w:b/>
          <w:color w:val="auto"/>
          <w:sz w:val="44"/>
          <w:szCs w:val="44"/>
        </w:rPr>
      </w:pPr>
      <w:bookmarkStart w:id="0" w:name="_Toc115709526"/>
      <w:bookmarkStart w:id="1" w:name="_Toc109319191"/>
      <w:bookmarkStart w:id="2" w:name="_Toc109319335"/>
      <w:bookmarkStart w:id="3" w:name="_Toc109374744"/>
      <w:bookmarkStart w:id="4" w:name="_Toc109389270"/>
      <w:bookmarkStart w:id="5" w:name="_Toc90886257"/>
      <w:bookmarkStart w:id="6" w:name="_Toc90886620"/>
      <w:bookmarkStart w:id="7" w:name="_Toc90889709"/>
      <w:bookmarkStart w:id="8" w:name="_Toc90889735"/>
      <w:bookmarkStart w:id="9" w:name="_Toc90889793"/>
      <w:bookmarkStart w:id="10" w:name="_Toc90889838"/>
      <w:bookmarkStart w:id="11" w:name="_Toc90890573"/>
      <w:bookmarkStart w:id="12" w:name="_Toc90900999"/>
      <w:bookmarkStart w:id="13" w:name="_Toc92879776"/>
      <w:bookmarkStart w:id="14" w:name="_Toc94085829"/>
      <w:bookmarkStart w:id="15" w:name="_Toc95073350"/>
      <w:bookmarkStart w:id="16" w:name="_Toc96596763"/>
      <w:bookmarkStart w:id="17" w:name="_Toc108780560"/>
      <w:bookmarkStart w:id="18" w:name="_Toc109062262"/>
      <w:r>
        <w:rPr>
          <w:b/>
          <w:color w:val="auto"/>
          <w:sz w:val="44"/>
          <w:szCs w:val="44"/>
        </w:rPr>
        <w:t>Additional file 1</w:t>
      </w:r>
      <w:bookmarkEnd w:id="0"/>
      <w:r>
        <w:rPr>
          <w:b/>
          <w:color w:val="auto"/>
          <w:sz w:val="44"/>
          <w:szCs w:val="44"/>
        </w:rPr>
        <w:t xml:space="preserve"> </w:t>
      </w:r>
    </w:p>
    <w:p w14:paraId="7190CB48" w14:textId="51B62617" w:rsidR="00782AB3" w:rsidRPr="006F79A7" w:rsidRDefault="0047428B" w:rsidP="006F79A7">
      <w:pPr>
        <w:pStyle w:val="Heading1"/>
        <w:jc w:val="center"/>
        <w:rPr>
          <w:b/>
          <w:sz w:val="44"/>
          <w:szCs w:val="44"/>
        </w:rPr>
      </w:pPr>
      <w:bookmarkStart w:id="19" w:name="_Toc115709527"/>
      <w:bookmarkEnd w:id="1"/>
      <w:bookmarkEnd w:id="2"/>
      <w:bookmarkEnd w:id="3"/>
      <w:bookmarkEnd w:id="4"/>
      <w:r>
        <w:rPr>
          <w:b/>
          <w:color w:val="auto"/>
          <w:sz w:val="44"/>
          <w:szCs w:val="44"/>
        </w:rPr>
        <w:t>Supplementary methods and data</w:t>
      </w:r>
      <w:bookmarkEnd w:id="19"/>
    </w:p>
    <w:p w14:paraId="43228641" w14:textId="05F267FD" w:rsidR="00782AB3" w:rsidRDefault="00782AB3" w:rsidP="006F79A7">
      <w:pPr>
        <w:rPr>
          <w:lang w:val="en-US"/>
        </w:rPr>
      </w:pPr>
    </w:p>
    <w:p w14:paraId="3F8C144D" w14:textId="6B8B7AA0" w:rsidR="00782AB3" w:rsidRDefault="00782AB3" w:rsidP="006F79A7">
      <w:pPr>
        <w:rPr>
          <w:lang w:val="en-US"/>
        </w:rPr>
      </w:pPr>
    </w:p>
    <w:p w14:paraId="5A55CE48" w14:textId="655832C6" w:rsidR="00782AB3" w:rsidRPr="006F79A7" w:rsidRDefault="00782AB3" w:rsidP="006F79A7">
      <w:pPr>
        <w:pStyle w:val="Heading1"/>
        <w:spacing w:line="480" w:lineRule="auto"/>
        <w:ind w:right="-1"/>
        <w:jc w:val="center"/>
        <w:rPr>
          <w:b/>
          <w:color w:val="auto"/>
          <w:sz w:val="24"/>
          <w:szCs w:val="24"/>
        </w:rPr>
      </w:pPr>
      <w:bookmarkStart w:id="20" w:name="_Toc109319192"/>
      <w:bookmarkStart w:id="21" w:name="_Toc109319336"/>
      <w:bookmarkStart w:id="22" w:name="_Toc109374745"/>
      <w:bookmarkStart w:id="23" w:name="_Toc109389271"/>
      <w:bookmarkStart w:id="24" w:name="_Toc115709528"/>
      <w:r w:rsidRPr="006F79A7">
        <w:rPr>
          <w:b/>
          <w:color w:val="auto"/>
          <w:sz w:val="24"/>
          <w:szCs w:val="24"/>
        </w:rPr>
        <w:t>Association between age and the host response in critically ill patients with sepsis</w:t>
      </w:r>
      <w:bookmarkEnd w:id="20"/>
      <w:bookmarkEnd w:id="21"/>
      <w:bookmarkEnd w:id="22"/>
      <w:bookmarkEnd w:id="23"/>
      <w:bookmarkEnd w:id="24"/>
      <w:r w:rsidRPr="006F79A7">
        <w:rPr>
          <w:b/>
          <w:color w:val="auto"/>
          <w:sz w:val="24"/>
          <w:szCs w:val="24"/>
        </w:rPr>
        <w:br/>
      </w:r>
    </w:p>
    <w:p w14:paraId="1A8F4731" w14:textId="3EDDC38C" w:rsidR="00782AB3" w:rsidRDefault="00782AB3" w:rsidP="006F79A7">
      <w:pPr>
        <w:spacing w:line="360" w:lineRule="auto"/>
        <w:jc w:val="center"/>
        <w:rPr>
          <w:sz w:val="24"/>
          <w:szCs w:val="24"/>
          <w:u w:val="single"/>
          <w:lang w:val="en-GB"/>
        </w:rPr>
      </w:pPr>
    </w:p>
    <w:p w14:paraId="55D9C462" w14:textId="2F60D983" w:rsidR="00782AB3" w:rsidRPr="00D079A0" w:rsidRDefault="00782AB3" w:rsidP="006F79A7">
      <w:pPr>
        <w:spacing w:line="360" w:lineRule="auto"/>
        <w:jc w:val="center"/>
        <w:rPr>
          <w:rFonts w:cstheme="minorHAnsi"/>
          <w:sz w:val="24"/>
          <w:szCs w:val="24"/>
          <w:lang w:val="en-US"/>
        </w:rPr>
      </w:pPr>
      <w:r w:rsidRPr="000E44A6">
        <w:rPr>
          <w:sz w:val="24"/>
          <w:szCs w:val="24"/>
          <w:u w:val="single"/>
          <w:lang w:val="en-GB"/>
        </w:rPr>
        <w:t>Authors</w:t>
      </w:r>
      <w:r w:rsidRPr="000E44A6">
        <w:rPr>
          <w:sz w:val="24"/>
          <w:szCs w:val="24"/>
          <w:lang w:val="en-GB"/>
        </w:rPr>
        <w:br/>
      </w:r>
      <w:r w:rsidRPr="000E44A6">
        <w:rPr>
          <w:rFonts w:cstheme="minorHAnsi"/>
          <w:sz w:val="24"/>
          <w:szCs w:val="24"/>
          <w:lang w:val="en-US"/>
        </w:rPr>
        <w:t>Erik H.A. Michels, Joe M. Butler, Tom D.Y. Reijnders, Olaf L. Cremer, Brendon P. Scicluna, Fabrice Uhel, Hessel Peters-Sengers, Marcus J. Schultz</w:t>
      </w:r>
      <w:r w:rsidRPr="00D079A0">
        <w:rPr>
          <w:rFonts w:cstheme="minorHAnsi"/>
          <w:sz w:val="24"/>
          <w:szCs w:val="24"/>
          <w:lang w:val="en-US"/>
        </w:rPr>
        <w:t>, Julian C. Knight, Lonneke A. van Vught, Tom van der Poll, on behalf of the MARS consortium</w:t>
      </w:r>
    </w:p>
    <w:p w14:paraId="4ABE169E" w14:textId="77777777" w:rsidR="00782AB3" w:rsidRDefault="00782AB3" w:rsidP="006F79A7">
      <w:pPr>
        <w:spacing w:after="200" w:line="276" w:lineRule="auto"/>
        <w:jc w:val="center"/>
        <w:rPr>
          <w:rFonts w:asciiTheme="majorHAnsi" w:eastAsiaTheme="majorEastAsia" w:hAnsiTheme="majorHAnsi" w:cstheme="majorBidi"/>
          <w:b/>
          <w:sz w:val="24"/>
          <w:szCs w:val="24"/>
          <w:lang w:val="en-US"/>
        </w:rPr>
      </w:pPr>
      <w:r w:rsidRPr="006F79A7">
        <w:rPr>
          <w:b/>
          <w:sz w:val="24"/>
          <w:szCs w:val="24"/>
          <w:lang w:val="en-GB"/>
        </w:rPr>
        <w:br w:type="page"/>
      </w:r>
    </w:p>
    <w:p w14:paraId="52632773" w14:textId="4521B5DF" w:rsidR="004D725A" w:rsidRPr="00ED32F4" w:rsidRDefault="007F39E7" w:rsidP="00ED32F4">
      <w:pPr>
        <w:pStyle w:val="Heading1"/>
        <w:pBdr>
          <w:bottom w:val="single" w:sz="4" w:space="1" w:color="auto"/>
        </w:pBdr>
        <w:jc w:val="center"/>
        <w:rPr>
          <w:b/>
          <w:color w:val="auto"/>
          <w:sz w:val="24"/>
          <w:szCs w:val="24"/>
        </w:rPr>
      </w:pPr>
      <w:bookmarkStart w:id="25" w:name="_Toc109319193"/>
      <w:bookmarkStart w:id="26" w:name="_Toc109319337"/>
      <w:bookmarkStart w:id="27" w:name="_Toc109374746"/>
      <w:bookmarkStart w:id="28" w:name="_Toc109389272"/>
      <w:bookmarkStart w:id="29" w:name="_Toc115709529"/>
      <w:bookmarkEnd w:id="5"/>
      <w:bookmarkEnd w:id="6"/>
      <w:bookmarkEnd w:id="7"/>
      <w:bookmarkEnd w:id="8"/>
      <w:bookmarkEnd w:id="9"/>
      <w:bookmarkEnd w:id="10"/>
      <w:bookmarkEnd w:id="11"/>
      <w:bookmarkEnd w:id="12"/>
      <w:bookmarkEnd w:id="13"/>
      <w:bookmarkEnd w:id="14"/>
      <w:bookmarkEnd w:id="15"/>
      <w:bookmarkEnd w:id="16"/>
      <w:bookmarkEnd w:id="17"/>
      <w:bookmarkEnd w:id="18"/>
      <w:r>
        <w:rPr>
          <w:b/>
          <w:color w:val="auto"/>
          <w:sz w:val="24"/>
          <w:szCs w:val="24"/>
        </w:rPr>
        <w:lastRenderedPageBreak/>
        <w:t>Table of contents</w:t>
      </w:r>
      <w:bookmarkEnd w:id="25"/>
      <w:bookmarkEnd w:id="26"/>
      <w:bookmarkEnd w:id="27"/>
      <w:bookmarkEnd w:id="28"/>
      <w:bookmarkEnd w:id="29"/>
    </w:p>
    <w:sdt>
      <w:sdtPr>
        <w:id w:val="-692466295"/>
        <w:docPartObj>
          <w:docPartGallery w:val="Table of Contents"/>
          <w:docPartUnique/>
        </w:docPartObj>
      </w:sdtPr>
      <w:sdtEndPr>
        <w:rPr>
          <w:b/>
          <w:bCs/>
          <w:noProof/>
          <w:sz w:val="24"/>
          <w:szCs w:val="24"/>
        </w:rPr>
      </w:sdtEndPr>
      <w:sdtContent>
        <w:p w14:paraId="725133AC" w14:textId="70C41396" w:rsidR="007E7607" w:rsidRDefault="00913634">
          <w:pPr>
            <w:pStyle w:val="TOC1"/>
            <w:tabs>
              <w:tab w:val="right" w:leader="dot" w:pos="9016"/>
            </w:tabs>
            <w:rPr>
              <w:rFonts w:eastAsiaTheme="minorEastAsia"/>
              <w:noProof/>
              <w:lang w:val="en-GB" w:eastAsia="en-GB"/>
            </w:rPr>
          </w:pPr>
          <w:r>
            <w:br/>
          </w:r>
          <w:r w:rsidR="004D725A" w:rsidRPr="00AC598A">
            <w:rPr>
              <w:rFonts w:eastAsiaTheme="majorEastAsia" w:cstheme="minorHAnsi"/>
              <w:color w:val="365F91" w:themeColor="accent1" w:themeShade="BF"/>
              <w:sz w:val="24"/>
              <w:szCs w:val="24"/>
              <w:lang w:val="en-US"/>
            </w:rPr>
            <w:fldChar w:fldCharType="begin"/>
          </w:r>
          <w:r w:rsidR="004D725A" w:rsidRPr="00AC598A">
            <w:rPr>
              <w:rFonts w:cstheme="minorHAnsi"/>
              <w:sz w:val="24"/>
              <w:szCs w:val="24"/>
            </w:rPr>
            <w:instrText xml:space="preserve"> TOC \o "1-3" \h \z \u </w:instrText>
          </w:r>
          <w:r w:rsidR="004D725A" w:rsidRPr="00AC598A">
            <w:rPr>
              <w:rFonts w:eastAsiaTheme="majorEastAsia" w:cstheme="minorHAnsi"/>
              <w:color w:val="365F91" w:themeColor="accent1" w:themeShade="BF"/>
              <w:sz w:val="24"/>
              <w:szCs w:val="24"/>
              <w:lang w:val="en-US"/>
            </w:rPr>
            <w:fldChar w:fldCharType="separate"/>
          </w:r>
          <w:hyperlink w:anchor="_Toc115709529" w:history="1">
            <w:r w:rsidR="007E7607" w:rsidRPr="004467E8">
              <w:rPr>
                <w:rStyle w:val="Hyperlink"/>
                <w:b/>
                <w:noProof/>
              </w:rPr>
              <w:t>Table of contents</w:t>
            </w:r>
            <w:r w:rsidR="007E7607">
              <w:rPr>
                <w:noProof/>
                <w:webHidden/>
              </w:rPr>
              <w:tab/>
            </w:r>
            <w:r w:rsidR="007E7607">
              <w:rPr>
                <w:noProof/>
                <w:webHidden/>
              </w:rPr>
              <w:fldChar w:fldCharType="begin"/>
            </w:r>
            <w:r w:rsidR="007E7607">
              <w:rPr>
                <w:noProof/>
                <w:webHidden/>
              </w:rPr>
              <w:instrText xml:space="preserve"> PAGEREF _Toc115709529 \h </w:instrText>
            </w:r>
            <w:r w:rsidR="007E7607">
              <w:rPr>
                <w:noProof/>
                <w:webHidden/>
              </w:rPr>
            </w:r>
            <w:r w:rsidR="007E7607">
              <w:rPr>
                <w:noProof/>
                <w:webHidden/>
              </w:rPr>
              <w:fldChar w:fldCharType="separate"/>
            </w:r>
            <w:r w:rsidR="007E7607">
              <w:rPr>
                <w:noProof/>
                <w:webHidden/>
              </w:rPr>
              <w:t>2</w:t>
            </w:r>
            <w:r w:rsidR="007E7607">
              <w:rPr>
                <w:noProof/>
                <w:webHidden/>
              </w:rPr>
              <w:fldChar w:fldCharType="end"/>
            </w:r>
          </w:hyperlink>
        </w:p>
        <w:p w14:paraId="30384718" w14:textId="550636E5" w:rsidR="007E7607" w:rsidRDefault="00D067B4">
          <w:pPr>
            <w:pStyle w:val="TOC1"/>
            <w:tabs>
              <w:tab w:val="right" w:leader="dot" w:pos="9016"/>
            </w:tabs>
            <w:rPr>
              <w:rFonts w:eastAsiaTheme="minorEastAsia"/>
              <w:noProof/>
              <w:lang w:val="en-GB" w:eastAsia="en-GB"/>
            </w:rPr>
          </w:pPr>
          <w:hyperlink w:anchor="_Toc115709530" w:history="1">
            <w:r w:rsidR="000305D5">
              <w:rPr>
                <w:rStyle w:val="Hyperlink"/>
                <w:b/>
                <w:noProof/>
              </w:rPr>
              <w:t>List of tables in this Additional file 1</w:t>
            </w:r>
            <w:r w:rsidR="007E7607">
              <w:rPr>
                <w:noProof/>
                <w:webHidden/>
              </w:rPr>
              <w:tab/>
            </w:r>
            <w:r w:rsidR="007E7607">
              <w:rPr>
                <w:noProof/>
                <w:webHidden/>
              </w:rPr>
              <w:fldChar w:fldCharType="begin"/>
            </w:r>
            <w:r w:rsidR="007E7607">
              <w:rPr>
                <w:noProof/>
                <w:webHidden/>
              </w:rPr>
              <w:instrText xml:space="preserve"> PAGEREF _Toc115709530 \h </w:instrText>
            </w:r>
            <w:r w:rsidR="007E7607">
              <w:rPr>
                <w:noProof/>
                <w:webHidden/>
              </w:rPr>
            </w:r>
            <w:r w:rsidR="007E7607">
              <w:rPr>
                <w:noProof/>
                <w:webHidden/>
              </w:rPr>
              <w:fldChar w:fldCharType="separate"/>
            </w:r>
            <w:r w:rsidR="007E7607">
              <w:rPr>
                <w:noProof/>
                <w:webHidden/>
              </w:rPr>
              <w:t>3</w:t>
            </w:r>
            <w:r w:rsidR="007E7607">
              <w:rPr>
                <w:noProof/>
                <w:webHidden/>
              </w:rPr>
              <w:fldChar w:fldCharType="end"/>
            </w:r>
          </w:hyperlink>
        </w:p>
        <w:p w14:paraId="7A0C3610" w14:textId="5E70E458" w:rsidR="007E7607" w:rsidRDefault="00D067B4">
          <w:pPr>
            <w:pStyle w:val="TOC1"/>
            <w:tabs>
              <w:tab w:val="right" w:leader="dot" w:pos="9016"/>
            </w:tabs>
            <w:rPr>
              <w:rFonts w:eastAsiaTheme="minorEastAsia"/>
              <w:noProof/>
              <w:lang w:val="en-GB" w:eastAsia="en-GB"/>
            </w:rPr>
          </w:pPr>
          <w:hyperlink w:anchor="_Toc115709531" w:history="1">
            <w:r w:rsidR="000305D5">
              <w:rPr>
                <w:rStyle w:val="Hyperlink"/>
                <w:rFonts w:cstheme="minorHAnsi"/>
                <w:b/>
                <w:noProof/>
              </w:rPr>
              <w:t>List of tables in Additional file 2</w:t>
            </w:r>
            <w:r w:rsidR="007E7607" w:rsidRPr="004467E8">
              <w:rPr>
                <w:rStyle w:val="Hyperlink"/>
                <w:rFonts w:cstheme="minorHAnsi"/>
                <w:b/>
                <w:noProof/>
              </w:rPr>
              <w:t xml:space="preserve"> (excel file)</w:t>
            </w:r>
            <w:r w:rsidR="007E7607">
              <w:rPr>
                <w:noProof/>
                <w:webHidden/>
              </w:rPr>
              <w:tab/>
            </w:r>
            <w:r w:rsidR="007E7607">
              <w:rPr>
                <w:noProof/>
                <w:webHidden/>
              </w:rPr>
              <w:fldChar w:fldCharType="begin"/>
            </w:r>
            <w:r w:rsidR="007E7607">
              <w:rPr>
                <w:noProof/>
                <w:webHidden/>
              </w:rPr>
              <w:instrText xml:space="preserve"> PAGEREF _Toc115709531 \h </w:instrText>
            </w:r>
            <w:r w:rsidR="007E7607">
              <w:rPr>
                <w:noProof/>
                <w:webHidden/>
              </w:rPr>
            </w:r>
            <w:r w:rsidR="007E7607">
              <w:rPr>
                <w:noProof/>
                <w:webHidden/>
              </w:rPr>
              <w:fldChar w:fldCharType="separate"/>
            </w:r>
            <w:r w:rsidR="007E7607">
              <w:rPr>
                <w:noProof/>
                <w:webHidden/>
              </w:rPr>
              <w:t>3</w:t>
            </w:r>
            <w:r w:rsidR="007E7607">
              <w:rPr>
                <w:noProof/>
                <w:webHidden/>
              </w:rPr>
              <w:fldChar w:fldCharType="end"/>
            </w:r>
          </w:hyperlink>
        </w:p>
        <w:p w14:paraId="4182F58E" w14:textId="4FF2EFF4" w:rsidR="007E7607" w:rsidRDefault="00D067B4">
          <w:pPr>
            <w:pStyle w:val="TOC2"/>
            <w:rPr>
              <w:rFonts w:eastAsiaTheme="minorEastAsia" w:cstheme="minorBidi"/>
              <w:lang w:eastAsia="en-GB"/>
            </w:rPr>
          </w:pPr>
          <w:hyperlink w:anchor="_Toc115709532" w:history="1">
            <w:r w:rsidR="007E7607" w:rsidRPr="004467E8">
              <w:rPr>
                <w:rStyle w:val="Hyperlink"/>
              </w:rPr>
              <w:t>1.</w:t>
            </w:r>
            <w:r w:rsidR="007E7607">
              <w:rPr>
                <w:rFonts w:eastAsiaTheme="minorEastAsia" w:cstheme="minorBidi"/>
                <w:lang w:eastAsia="en-GB"/>
              </w:rPr>
              <w:t xml:space="preserve">      </w:t>
            </w:r>
            <w:r w:rsidR="007E7607" w:rsidRPr="004467E8">
              <w:rPr>
                <w:rStyle w:val="Hyperlink"/>
              </w:rPr>
              <w:t>Additional methods</w:t>
            </w:r>
            <w:r w:rsidR="007E7607">
              <w:rPr>
                <w:webHidden/>
              </w:rPr>
              <w:tab/>
            </w:r>
            <w:r w:rsidR="007E7607">
              <w:rPr>
                <w:webHidden/>
              </w:rPr>
              <w:fldChar w:fldCharType="begin"/>
            </w:r>
            <w:r w:rsidR="007E7607">
              <w:rPr>
                <w:webHidden/>
              </w:rPr>
              <w:instrText xml:space="preserve"> PAGEREF _Toc115709532 \h </w:instrText>
            </w:r>
            <w:r w:rsidR="007E7607">
              <w:rPr>
                <w:webHidden/>
              </w:rPr>
            </w:r>
            <w:r w:rsidR="007E7607">
              <w:rPr>
                <w:webHidden/>
              </w:rPr>
              <w:fldChar w:fldCharType="separate"/>
            </w:r>
            <w:r w:rsidR="007E7607">
              <w:rPr>
                <w:webHidden/>
              </w:rPr>
              <w:t>4</w:t>
            </w:r>
            <w:r w:rsidR="007E7607">
              <w:rPr>
                <w:webHidden/>
              </w:rPr>
              <w:fldChar w:fldCharType="end"/>
            </w:r>
          </w:hyperlink>
        </w:p>
        <w:p w14:paraId="5813183C" w14:textId="03F6AEF6" w:rsidR="007E7607" w:rsidRDefault="00D067B4">
          <w:pPr>
            <w:pStyle w:val="TOC3"/>
            <w:tabs>
              <w:tab w:val="left" w:pos="1100"/>
              <w:tab w:val="right" w:leader="dot" w:pos="9016"/>
            </w:tabs>
            <w:rPr>
              <w:rFonts w:eastAsiaTheme="minorEastAsia"/>
              <w:noProof/>
              <w:lang w:val="en-GB" w:eastAsia="en-GB"/>
            </w:rPr>
          </w:pPr>
          <w:hyperlink w:anchor="_Toc115709533" w:history="1">
            <w:r w:rsidR="007E7607" w:rsidRPr="004467E8">
              <w:rPr>
                <w:rStyle w:val="Hyperlink"/>
                <w:noProof/>
                <w:lang w:val="en-US"/>
              </w:rPr>
              <w:t>1.1</w:t>
            </w:r>
            <w:r w:rsidR="007E7607">
              <w:rPr>
                <w:rFonts w:eastAsiaTheme="minorEastAsia"/>
                <w:noProof/>
                <w:lang w:val="en-GB" w:eastAsia="en-GB"/>
              </w:rPr>
              <w:t xml:space="preserve"> </w:t>
            </w:r>
            <w:r w:rsidR="007E7607" w:rsidRPr="004467E8">
              <w:rPr>
                <w:rStyle w:val="Hyperlink"/>
                <w:noProof/>
                <w:lang w:val="en-US"/>
              </w:rPr>
              <w:t>Definitions of comorbidities and outcomes</w:t>
            </w:r>
            <w:r w:rsidR="007E7607">
              <w:rPr>
                <w:noProof/>
                <w:webHidden/>
              </w:rPr>
              <w:tab/>
            </w:r>
            <w:r w:rsidR="007E7607">
              <w:rPr>
                <w:noProof/>
                <w:webHidden/>
              </w:rPr>
              <w:fldChar w:fldCharType="begin"/>
            </w:r>
            <w:r w:rsidR="007E7607">
              <w:rPr>
                <w:noProof/>
                <w:webHidden/>
              </w:rPr>
              <w:instrText xml:space="preserve"> PAGEREF _Toc115709533 \h </w:instrText>
            </w:r>
            <w:r w:rsidR="007E7607">
              <w:rPr>
                <w:noProof/>
                <w:webHidden/>
              </w:rPr>
            </w:r>
            <w:r w:rsidR="007E7607">
              <w:rPr>
                <w:noProof/>
                <w:webHidden/>
              </w:rPr>
              <w:fldChar w:fldCharType="separate"/>
            </w:r>
            <w:r w:rsidR="007E7607">
              <w:rPr>
                <w:noProof/>
                <w:webHidden/>
              </w:rPr>
              <w:t>4</w:t>
            </w:r>
            <w:r w:rsidR="007E7607">
              <w:rPr>
                <w:noProof/>
                <w:webHidden/>
              </w:rPr>
              <w:fldChar w:fldCharType="end"/>
            </w:r>
          </w:hyperlink>
        </w:p>
        <w:p w14:paraId="6F9592DB" w14:textId="5B74BCC2" w:rsidR="007E7607" w:rsidRDefault="00D067B4">
          <w:pPr>
            <w:pStyle w:val="TOC3"/>
            <w:tabs>
              <w:tab w:val="right" w:leader="dot" w:pos="9016"/>
            </w:tabs>
            <w:rPr>
              <w:rFonts w:eastAsiaTheme="minorEastAsia"/>
              <w:noProof/>
              <w:lang w:val="en-GB" w:eastAsia="en-GB"/>
            </w:rPr>
          </w:pPr>
          <w:hyperlink w:anchor="_Toc115709534" w:history="1">
            <w:r w:rsidR="007E7607" w:rsidRPr="004467E8">
              <w:rPr>
                <w:rStyle w:val="Hyperlink"/>
                <w:noProof/>
                <w:lang w:val="en-US"/>
              </w:rPr>
              <w:t>1.2 Assays</w:t>
            </w:r>
            <w:r w:rsidR="007E7607">
              <w:rPr>
                <w:noProof/>
                <w:webHidden/>
              </w:rPr>
              <w:tab/>
            </w:r>
            <w:r w:rsidR="007E7607">
              <w:rPr>
                <w:noProof/>
                <w:webHidden/>
              </w:rPr>
              <w:fldChar w:fldCharType="begin"/>
            </w:r>
            <w:r w:rsidR="007E7607">
              <w:rPr>
                <w:noProof/>
                <w:webHidden/>
              </w:rPr>
              <w:instrText xml:space="preserve"> PAGEREF _Toc115709534 \h </w:instrText>
            </w:r>
            <w:r w:rsidR="007E7607">
              <w:rPr>
                <w:noProof/>
                <w:webHidden/>
              </w:rPr>
            </w:r>
            <w:r w:rsidR="007E7607">
              <w:rPr>
                <w:noProof/>
                <w:webHidden/>
              </w:rPr>
              <w:fldChar w:fldCharType="separate"/>
            </w:r>
            <w:r w:rsidR="007E7607">
              <w:rPr>
                <w:noProof/>
                <w:webHidden/>
              </w:rPr>
              <w:t>4</w:t>
            </w:r>
            <w:r w:rsidR="007E7607">
              <w:rPr>
                <w:noProof/>
                <w:webHidden/>
              </w:rPr>
              <w:fldChar w:fldCharType="end"/>
            </w:r>
          </w:hyperlink>
        </w:p>
        <w:p w14:paraId="582FCC53" w14:textId="7073E89A" w:rsidR="007E7607" w:rsidRDefault="00D067B4">
          <w:pPr>
            <w:pStyle w:val="TOC3"/>
            <w:tabs>
              <w:tab w:val="right" w:leader="dot" w:pos="9016"/>
            </w:tabs>
            <w:rPr>
              <w:rFonts w:eastAsiaTheme="minorEastAsia"/>
              <w:noProof/>
              <w:lang w:val="en-GB" w:eastAsia="en-GB"/>
            </w:rPr>
          </w:pPr>
          <w:hyperlink w:anchor="_Toc115709535" w:history="1">
            <w:r w:rsidR="007E7607" w:rsidRPr="004467E8">
              <w:rPr>
                <w:rStyle w:val="Hyperlink"/>
                <w:noProof/>
                <w:lang w:val="en-GB"/>
              </w:rPr>
              <w:t>1.3 Whole Blood Gene Expression Microarrays</w:t>
            </w:r>
            <w:r w:rsidR="007E7607">
              <w:rPr>
                <w:noProof/>
                <w:webHidden/>
              </w:rPr>
              <w:tab/>
            </w:r>
            <w:r w:rsidR="007E7607">
              <w:rPr>
                <w:noProof/>
                <w:webHidden/>
              </w:rPr>
              <w:fldChar w:fldCharType="begin"/>
            </w:r>
            <w:r w:rsidR="007E7607">
              <w:rPr>
                <w:noProof/>
                <w:webHidden/>
              </w:rPr>
              <w:instrText xml:space="preserve"> PAGEREF _Toc115709535 \h </w:instrText>
            </w:r>
            <w:r w:rsidR="007E7607">
              <w:rPr>
                <w:noProof/>
                <w:webHidden/>
              </w:rPr>
            </w:r>
            <w:r w:rsidR="007E7607">
              <w:rPr>
                <w:noProof/>
                <w:webHidden/>
              </w:rPr>
              <w:fldChar w:fldCharType="separate"/>
            </w:r>
            <w:r w:rsidR="007E7607">
              <w:rPr>
                <w:noProof/>
                <w:webHidden/>
              </w:rPr>
              <w:t>5</w:t>
            </w:r>
            <w:r w:rsidR="007E7607">
              <w:rPr>
                <w:noProof/>
                <w:webHidden/>
              </w:rPr>
              <w:fldChar w:fldCharType="end"/>
            </w:r>
          </w:hyperlink>
        </w:p>
        <w:p w14:paraId="3CBE743A" w14:textId="72FFDAA3" w:rsidR="007E7607" w:rsidRDefault="00D067B4">
          <w:pPr>
            <w:pStyle w:val="TOC3"/>
            <w:tabs>
              <w:tab w:val="right" w:leader="dot" w:pos="9016"/>
            </w:tabs>
            <w:rPr>
              <w:rFonts w:eastAsiaTheme="minorEastAsia"/>
              <w:noProof/>
              <w:lang w:val="en-GB" w:eastAsia="en-GB"/>
            </w:rPr>
          </w:pPr>
          <w:hyperlink w:anchor="_Toc115709536" w:history="1">
            <w:r w:rsidR="007E7607" w:rsidRPr="004467E8">
              <w:rPr>
                <w:rStyle w:val="Hyperlink"/>
                <w:noProof/>
                <w:lang w:val="en-GB"/>
              </w:rPr>
              <w:t>1.4 Detailed information on statistical and bioinformatics analysis</w:t>
            </w:r>
            <w:r w:rsidR="007E7607">
              <w:rPr>
                <w:noProof/>
                <w:webHidden/>
              </w:rPr>
              <w:tab/>
            </w:r>
            <w:r w:rsidR="007E7607">
              <w:rPr>
                <w:noProof/>
                <w:webHidden/>
              </w:rPr>
              <w:fldChar w:fldCharType="begin"/>
            </w:r>
            <w:r w:rsidR="007E7607">
              <w:rPr>
                <w:noProof/>
                <w:webHidden/>
              </w:rPr>
              <w:instrText xml:space="preserve"> PAGEREF _Toc115709536 \h </w:instrText>
            </w:r>
            <w:r w:rsidR="007E7607">
              <w:rPr>
                <w:noProof/>
                <w:webHidden/>
              </w:rPr>
            </w:r>
            <w:r w:rsidR="007E7607">
              <w:rPr>
                <w:noProof/>
                <w:webHidden/>
              </w:rPr>
              <w:fldChar w:fldCharType="separate"/>
            </w:r>
            <w:r w:rsidR="007E7607">
              <w:rPr>
                <w:noProof/>
                <w:webHidden/>
              </w:rPr>
              <w:t>5</w:t>
            </w:r>
            <w:r w:rsidR="007E7607">
              <w:rPr>
                <w:noProof/>
                <w:webHidden/>
              </w:rPr>
              <w:fldChar w:fldCharType="end"/>
            </w:r>
          </w:hyperlink>
        </w:p>
        <w:p w14:paraId="717DBA5F" w14:textId="40575831" w:rsidR="007E7607" w:rsidRDefault="00D067B4">
          <w:pPr>
            <w:pStyle w:val="TOC3"/>
            <w:tabs>
              <w:tab w:val="right" w:leader="dot" w:pos="9016"/>
            </w:tabs>
            <w:rPr>
              <w:rFonts w:eastAsiaTheme="minorEastAsia"/>
              <w:noProof/>
              <w:lang w:val="en-GB" w:eastAsia="en-GB"/>
            </w:rPr>
          </w:pPr>
          <w:hyperlink w:anchor="_Toc115709537" w:history="1">
            <w:r w:rsidR="007E7607" w:rsidRPr="004467E8">
              <w:rPr>
                <w:rStyle w:val="Hyperlink"/>
                <w:noProof/>
                <w:lang w:val="en-US"/>
              </w:rPr>
              <w:t>1.5 Exact Reactome pathway annotations</w:t>
            </w:r>
            <w:r w:rsidR="007E7607">
              <w:rPr>
                <w:noProof/>
                <w:webHidden/>
              </w:rPr>
              <w:tab/>
            </w:r>
            <w:r w:rsidR="007E7607">
              <w:rPr>
                <w:noProof/>
                <w:webHidden/>
              </w:rPr>
              <w:fldChar w:fldCharType="begin"/>
            </w:r>
            <w:r w:rsidR="007E7607">
              <w:rPr>
                <w:noProof/>
                <w:webHidden/>
              </w:rPr>
              <w:instrText xml:space="preserve"> PAGEREF _Toc115709537 \h </w:instrText>
            </w:r>
            <w:r w:rsidR="007E7607">
              <w:rPr>
                <w:noProof/>
                <w:webHidden/>
              </w:rPr>
            </w:r>
            <w:r w:rsidR="007E7607">
              <w:rPr>
                <w:noProof/>
                <w:webHidden/>
              </w:rPr>
              <w:fldChar w:fldCharType="separate"/>
            </w:r>
            <w:r w:rsidR="007E7607">
              <w:rPr>
                <w:noProof/>
                <w:webHidden/>
              </w:rPr>
              <w:t>8</w:t>
            </w:r>
            <w:r w:rsidR="007E7607">
              <w:rPr>
                <w:noProof/>
                <w:webHidden/>
              </w:rPr>
              <w:fldChar w:fldCharType="end"/>
            </w:r>
          </w:hyperlink>
        </w:p>
        <w:p w14:paraId="7F63BE87" w14:textId="1D9959FF" w:rsidR="007E7607" w:rsidRDefault="00D067B4">
          <w:pPr>
            <w:pStyle w:val="TOC3"/>
            <w:tabs>
              <w:tab w:val="right" w:leader="dot" w:pos="9016"/>
            </w:tabs>
            <w:rPr>
              <w:rFonts w:eastAsiaTheme="minorEastAsia"/>
              <w:noProof/>
              <w:lang w:val="en-GB" w:eastAsia="en-GB"/>
            </w:rPr>
          </w:pPr>
          <w:hyperlink w:anchor="_Toc115709538" w:history="1">
            <w:r w:rsidR="007E7607" w:rsidRPr="004467E8">
              <w:rPr>
                <w:rStyle w:val="Hyperlink"/>
                <w:noProof/>
                <w:lang w:val="en-US"/>
              </w:rPr>
              <w:t>1.6 Availability of gene expression cohorts</w:t>
            </w:r>
            <w:r w:rsidR="007E7607">
              <w:rPr>
                <w:noProof/>
                <w:webHidden/>
              </w:rPr>
              <w:tab/>
            </w:r>
            <w:r w:rsidR="007E7607">
              <w:rPr>
                <w:noProof/>
                <w:webHidden/>
              </w:rPr>
              <w:fldChar w:fldCharType="begin"/>
            </w:r>
            <w:r w:rsidR="007E7607">
              <w:rPr>
                <w:noProof/>
                <w:webHidden/>
              </w:rPr>
              <w:instrText xml:space="preserve"> PAGEREF _Toc115709538 \h </w:instrText>
            </w:r>
            <w:r w:rsidR="007E7607">
              <w:rPr>
                <w:noProof/>
                <w:webHidden/>
              </w:rPr>
            </w:r>
            <w:r w:rsidR="007E7607">
              <w:rPr>
                <w:noProof/>
                <w:webHidden/>
              </w:rPr>
              <w:fldChar w:fldCharType="separate"/>
            </w:r>
            <w:r w:rsidR="007E7607">
              <w:rPr>
                <w:noProof/>
                <w:webHidden/>
              </w:rPr>
              <w:t>8</w:t>
            </w:r>
            <w:r w:rsidR="007E7607">
              <w:rPr>
                <w:noProof/>
                <w:webHidden/>
              </w:rPr>
              <w:fldChar w:fldCharType="end"/>
            </w:r>
          </w:hyperlink>
        </w:p>
        <w:p w14:paraId="3091302A" w14:textId="642B57BE" w:rsidR="007E7607" w:rsidRDefault="00D067B4">
          <w:pPr>
            <w:pStyle w:val="TOC2"/>
            <w:rPr>
              <w:rFonts w:eastAsiaTheme="minorEastAsia" w:cstheme="minorBidi"/>
              <w:lang w:eastAsia="en-GB"/>
            </w:rPr>
          </w:pPr>
          <w:hyperlink w:anchor="_Toc115709539" w:history="1">
            <w:r w:rsidR="007E7607" w:rsidRPr="004467E8">
              <w:rPr>
                <w:rStyle w:val="Hyperlink"/>
                <w:lang w:val="en-US"/>
              </w:rPr>
              <w:t>2.</w:t>
            </w:r>
            <w:r w:rsidR="007E7607">
              <w:rPr>
                <w:rFonts w:eastAsiaTheme="minorEastAsia" w:cstheme="minorBidi"/>
                <w:lang w:eastAsia="en-GB"/>
              </w:rPr>
              <w:tab/>
            </w:r>
            <w:r w:rsidR="007E7607" w:rsidRPr="004467E8">
              <w:rPr>
                <w:rStyle w:val="Hyperlink"/>
                <w:lang w:val="en-US"/>
              </w:rPr>
              <w:t>Summary of infections categorized as “Other infection site” or “Unknown infection site”</w:t>
            </w:r>
            <w:r w:rsidR="007E7607">
              <w:rPr>
                <w:webHidden/>
              </w:rPr>
              <w:tab/>
            </w:r>
            <w:r w:rsidR="007E7607">
              <w:rPr>
                <w:webHidden/>
              </w:rPr>
              <w:fldChar w:fldCharType="begin"/>
            </w:r>
            <w:r w:rsidR="007E7607">
              <w:rPr>
                <w:webHidden/>
              </w:rPr>
              <w:instrText xml:space="preserve"> PAGEREF _Toc115709539 \h </w:instrText>
            </w:r>
            <w:r w:rsidR="007E7607">
              <w:rPr>
                <w:webHidden/>
              </w:rPr>
            </w:r>
            <w:r w:rsidR="007E7607">
              <w:rPr>
                <w:webHidden/>
              </w:rPr>
              <w:fldChar w:fldCharType="separate"/>
            </w:r>
            <w:r w:rsidR="007E7607">
              <w:rPr>
                <w:webHidden/>
              </w:rPr>
              <w:t>9</w:t>
            </w:r>
            <w:r w:rsidR="007E7607">
              <w:rPr>
                <w:webHidden/>
              </w:rPr>
              <w:fldChar w:fldCharType="end"/>
            </w:r>
          </w:hyperlink>
        </w:p>
        <w:p w14:paraId="4CF17D1F" w14:textId="56C3FE17" w:rsidR="007E7607" w:rsidRDefault="00D067B4">
          <w:pPr>
            <w:pStyle w:val="TOC2"/>
            <w:rPr>
              <w:rFonts w:eastAsiaTheme="minorEastAsia" w:cstheme="minorBidi"/>
              <w:lang w:eastAsia="en-GB"/>
            </w:rPr>
          </w:pPr>
          <w:hyperlink w:anchor="_Toc115709540" w:history="1">
            <w:r w:rsidR="007E7607" w:rsidRPr="004467E8">
              <w:rPr>
                <w:rStyle w:val="Hyperlink"/>
                <w:lang w:val="en-US"/>
              </w:rPr>
              <w:t>3.</w:t>
            </w:r>
            <w:r w:rsidR="007E7607">
              <w:rPr>
                <w:rFonts w:eastAsiaTheme="minorEastAsia" w:cstheme="minorBidi"/>
                <w:lang w:eastAsia="en-GB"/>
              </w:rPr>
              <w:tab/>
            </w:r>
            <w:r w:rsidR="007E7607" w:rsidRPr="004467E8">
              <w:rPr>
                <w:rStyle w:val="Hyperlink"/>
                <w:lang w:val="en-US"/>
              </w:rPr>
              <w:t>Demographics and clinical outcomes of host response biomarker cohort</w:t>
            </w:r>
            <w:r w:rsidR="007E7607">
              <w:rPr>
                <w:webHidden/>
              </w:rPr>
              <w:tab/>
            </w:r>
            <w:r w:rsidR="007E7607">
              <w:rPr>
                <w:webHidden/>
              </w:rPr>
              <w:fldChar w:fldCharType="begin"/>
            </w:r>
            <w:r w:rsidR="007E7607">
              <w:rPr>
                <w:webHidden/>
              </w:rPr>
              <w:instrText xml:space="preserve"> PAGEREF _Toc115709540 \h </w:instrText>
            </w:r>
            <w:r w:rsidR="007E7607">
              <w:rPr>
                <w:webHidden/>
              </w:rPr>
            </w:r>
            <w:r w:rsidR="007E7607">
              <w:rPr>
                <w:webHidden/>
              </w:rPr>
              <w:fldChar w:fldCharType="separate"/>
            </w:r>
            <w:r w:rsidR="007E7607">
              <w:rPr>
                <w:webHidden/>
              </w:rPr>
              <w:t>10</w:t>
            </w:r>
            <w:r w:rsidR="007E7607">
              <w:rPr>
                <w:webHidden/>
              </w:rPr>
              <w:fldChar w:fldCharType="end"/>
            </w:r>
          </w:hyperlink>
        </w:p>
        <w:p w14:paraId="6759DB23" w14:textId="24DE9428" w:rsidR="007E7607" w:rsidRDefault="00D067B4">
          <w:pPr>
            <w:pStyle w:val="TOC2"/>
            <w:rPr>
              <w:rFonts w:eastAsiaTheme="minorEastAsia" w:cstheme="minorBidi"/>
              <w:lang w:eastAsia="en-GB"/>
            </w:rPr>
          </w:pPr>
          <w:hyperlink w:anchor="_Toc115709541" w:history="1">
            <w:r w:rsidR="007E7607" w:rsidRPr="004467E8">
              <w:rPr>
                <w:rStyle w:val="Hyperlink"/>
              </w:rPr>
              <w:t>4.</w:t>
            </w:r>
            <w:r w:rsidR="007E7607">
              <w:rPr>
                <w:rFonts w:eastAsiaTheme="minorEastAsia" w:cstheme="minorBidi"/>
                <w:lang w:eastAsia="en-GB"/>
              </w:rPr>
              <w:tab/>
            </w:r>
            <w:r w:rsidR="007E7607" w:rsidRPr="004467E8">
              <w:rPr>
                <w:rStyle w:val="Hyperlink"/>
              </w:rPr>
              <w:t>Association of ageing with biomarker concentrations after correcting for baseline disease severity</w:t>
            </w:r>
            <w:r w:rsidR="007E7607">
              <w:rPr>
                <w:webHidden/>
              </w:rPr>
              <w:tab/>
            </w:r>
            <w:r w:rsidR="007E7607">
              <w:rPr>
                <w:webHidden/>
              </w:rPr>
              <w:fldChar w:fldCharType="begin"/>
            </w:r>
            <w:r w:rsidR="007E7607">
              <w:rPr>
                <w:webHidden/>
              </w:rPr>
              <w:instrText xml:space="preserve"> PAGEREF _Toc115709541 \h </w:instrText>
            </w:r>
            <w:r w:rsidR="007E7607">
              <w:rPr>
                <w:webHidden/>
              </w:rPr>
            </w:r>
            <w:r w:rsidR="007E7607">
              <w:rPr>
                <w:webHidden/>
              </w:rPr>
              <w:fldChar w:fldCharType="separate"/>
            </w:r>
            <w:r w:rsidR="007E7607">
              <w:rPr>
                <w:webHidden/>
              </w:rPr>
              <w:t>12</w:t>
            </w:r>
            <w:r w:rsidR="007E7607">
              <w:rPr>
                <w:webHidden/>
              </w:rPr>
              <w:fldChar w:fldCharType="end"/>
            </w:r>
          </w:hyperlink>
        </w:p>
        <w:p w14:paraId="7D38B57D" w14:textId="4FB8344A" w:rsidR="007E7607" w:rsidRDefault="00D067B4">
          <w:pPr>
            <w:pStyle w:val="TOC2"/>
            <w:rPr>
              <w:rFonts w:eastAsiaTheme="minorEastAsia" w:cstheme="minorBidi"/>
              <w:lang w:eastAsia="en-GB"/>
            </w:rPr>
          </w:pPr>
          <w:hyperlink w:anchor="_Toc115709542" w:history="1">
            <w:r w:rsidR="007E7607" w:rsidRPr="004467E8">
              <w:rPr>
                <w:rStyle w:val="Hyperlink"/>
              </w:rPr>
              <w:t>5.</w:t>
            </w:r>
            <w:r w:rsidR="007E7607">
              <w:rPr>
                <w:rFonts w:eastAsiaTheme="minorEastAsia" w:cstheme="minorBidi"/>
                <w:lang w:eastAsia="en-GB"/>
              </w:rPr>
              <w:tab/>
            </w:r>
            <w:r w:rsidR="007E7607" w:rsidRPr="004467E8">
              <w:rPr>
                <w:rStyle w:val="Hyperlink"/>
              </w:rPr>
              <w:t>Sensitivity analysis</w:t>
            </w:r>
            <w:r w:rsidR="007E7607">
              <w:rPr>
                <w:webHidden/>
              </w:rPr>
              <w:tab/>
            </w:r>
            <w:r w:rsidR="007E7607">
              <w:rPr>
                <w:webHidden/>
              </w:rPr>
              <w:fldChar w:fldCharType="begin"/>
            </w:r>
            <w:r w:rsidR="007E7607">
              <w:rPr>
                <w:webHidden/>
              </w:rPr>
              <w:instrText xml:space="preserve"> PAGEREF _Toc115709542 \h </w:instrText>
            </w:r>
            <w:r w:rsidR="007E7607">
              <w:rPr>
                <w:webHidden/>
              </w:rPr>
            </w:r>
            <w:r w:rsidR="007E7607">
              <w:rPr>
                <w:webHidden/>
              </w:rPr>
              <w:fldChar w:fldCharType="separate"/>
            </w:r>
            <w:r w:rsidR="007E7607">
              <w:rPr>
                <w:webHidden/>
              </w:rPr>
              <w:t>13</w:t>
            </w:r>
            <w:r w:rsidR="007E7607">
              <w:rPr>
                <w:webHidden/>
              </w:rPr>
              <w:fldChar w:fldCharType="end"/>
            </w:r>
          </w:hyperlink>
        </w:p>
        <w:p w14:paraId="03976C35" w14:textId="24E34C12" w:rsidR="007E7607" w:rsidRDefault="00D067B4">
          <w:pPr>
            <w:pStyle w:val="TOC2"/>
            <w:rPr>
              <w:rFonts w:eastAsiaTheme="minorEastAsia" w:cstheme="minorBidi"/>
              <w:lang w:eastAsia="en-GB"/>
            </w:rPr>
          </w:pPr>
          <w:hyperlink w:anchor="_Toc115709543" w:history="1">
            <w:r w:rsidR="007E7607" w:rsidRPr="004467E8">
              <w:rPr>
                <w:rStyle w:val="Hyperlink"/>
                <w:lang w:val="en-US"/>
              </w:rPr>
              <w:t>6.</w:t>
            </w:r>
            <w:r w:rsidR="007E7607">
              <w:rPr>
                <w:rFonts w:eastAsiaTheme="minorEastAsia" w:cstheme="minorBidi"/>
                <w:lang w:eastAsia="en-GB"/>
              </w:rPr>
              <w:tab/>
            </w:r>
            <w:r w:rsidR="007E7607" w:rsidRPr="004467E8">
              <w:rPr>
                <w:rStyle w:val="Hyperlink"/>
                <w:lang w:val="en-US"/>
              </w:rPr>
              <w:t>Demographics and clinical outcomes of whole blood transcriptome cohort</w:t>
            </w:r>
            <w:r w:rsidR="007E7607">
              <w:rPr>
                <w:webHidden/>
              </w:rPr>
              <w:tab/>
            </w:r>
            <w:r w:rsidR="007E7607">
              <w:rPr>
                <w:webHidden/>
              </w:rPr>
              <w:fldChar w:fldCharType="begin"/>
            </w:r>
            <w:r w:rsidR="007E7607">
              <w:rPr>
                <w:webHidden/>
              </w:rPr>
              <w:instrText xml:space="preserve"> PAGEREF _Toc115709543 \h </w:instrText>
            </w:r>
            <w:r w:rsidR="007E7607">
              <w:rPr>
                <w:webHidden/>
              </w:rPr>
            </w:r>
            <w:r w:rsidR="007E7607">
              <w:rPr>
                <w:webHidden/>
              </w:rPr>
              <w:fldChar w:fldCharType="separate"/>
            </w:r>
            <w:r w:rsidR="007E7607">
              <w:rPr>
                <w:webHidden/>
              </w:rPr>
              <w:t>14</w:t>
            </w:r>
            <w:r w:rsidR="007E7607">
              <w:rPr>
                <w:webHidden/>
              </w:rPr>
              <w:fldChar w:fldCharType="end"/>
            </w:r>
          </w:hyperlink>
        </w:p>
        <w:p w14:paraId="631EE107" w14:textId="47445062" w:rsidR="007E7607" w:rsidRDefault="00D067B4">
          <w:pPr>
            <w:pStyle w:val="TOC2"/>
            <w:rPr>
              <w:rFonts w:eastAsiaTheme="minorEastAsia" w:cstheme="minorBidi"/>
              <w:lang w:eastAsia="en-GB"/>
            </w:rPr>
          </w:pPr>
          <w:hyperlink w:anchor="_Toc115709544" w:history="1">
            <w:r w:rsidR="007E7607" w:rsidRPr="004467E8">
              <w:rPr>
                <w:rStyle w:val="Hyperlink"/>
                <w:lang w:val="en-US"/>
              </w:rPr>
              <w:t>7.</w:t>
            </w:r>
            <w:r w:rsidR="007E7607">
              <w:rPr>
                <w:rFonts w:eastAsiaTheme="minorEastAsia" w:cstheme="minorBidi"/>
                <w:lang w:eastAsia="en-GB"/>
              </w:rPr>
              <w:tab/>
            </w:r>
            <w:r w:rsidR="007E7607" w:rsidRPr="004467E8">
              <w:rPr>
                <w:rStyle w:val="Hyperlink"/>
                <w:lang w:val="en-US"/>
              </w:rPr>
              <w:t>References</w:t>
            </w:r>
            <w:r w:rsidR="007E7607">
              <w:rPr>
                <w:webHidden/>
              </w:rPr>
              <w:tab/>
            </w:r>
            <w:r w:rsidR="007E7607">
              <w:rPr>
                <w:webHidden/>
              </w:rPr>
              <w:fldChar w:fldCharType="begin"/>
            </w:r>
            <w:r w:rsidR="007E7607">
              <w:rPr>
                <w:webHidden/>
              </w:rPr>
              <w:instrText xml:space="preserve"> PAGEREF _Toc115709544 \h </w:instrText>
            </w:r>
            <w:r w:rsidR="007E7607">
              <w:rPr>
                <w:webHidden/>
              </w:rPr>
            </w:r>
            <w:r w:rsidR="007E7607">
              <w:rPr>
                <w:webHidden/>
              </w:rPr>
              <w:fldChar w:fldCharType="separate"/>
            </w:r>
            <w:r w:rsidR="007E7607">
              <w:rPr>
                <w:webHidden/>
              </w:rPr>
              <w:t>16</w:t>
            </w:r>
            <w:r w:rsidR="007E7607">
              <w:rPr>
                <w:webHidden/>
              </w:rPr>
              <w:fldChar w:fldCharType="end"/>
            </w:r>
          </w:hyperlink>
        </w:p>
        <w:p w14:paraId="6416DCD0" w14:textId="22790B6B" w:rsidR="004D725A" w:rsidRPr="006853DF" w:rsidRDefault="004D725A" w:rsidP="00E97A75">
          <w:pPr>
            <w:spacing w:line="240" w:lineRule="auto"/>
            <w:ind w:right="-568"/>
            <w:rPr>
              <w:sz w:val="24"/>
              <w:szCs w:val="24"/>
            </w:rPr>
          </w:pPr>
          <w:r w:rsidRPr="00AC598A">
            <w:rPr>
              <w:rFonts w:cstheme="minorHAnsi"/>
              <w:b/>
              <w:bCs/>
              <w:noProof/>
              <w:sz w:val="24"/>
              <w:szCs w:val="24"/>
            </w:rPr>
            <w:fldChar w:fldCharType="end"/>
          </w:r>
        </w:p>
      </w:sdtContent>
    </w:sdt>
    <w:p w14:paraId="69FBA4C7" w14:textId="77777777" w:rsidR="004D725A" w:rsidRPr="004D725A" w:rsidRDefault="004D725A" w:rsidP="00E97A75">
      <w:pPr>
        <w:spacing w:line="480" w:lineRule="auto"/>
        <w:ind w:right="-568"/>
        <w:rPr>
          <w:lang w:val="en-US"/>
        </w:rPr>
      </w:pPr>
    </w:p>
    <w:p w14:paraId="12371CB5" w14:textId="51F0A041" w:rsidR="004D725A" w:rsidRPr="00ED32F4" w:rsidRDefault="004D725A" w:rsidP="00ED32F4">
      <w:pPr>
        <w:spacing w:line="240" w:lineRule="auto"/>
        <w:ind w:right="-568"/>
        <w:rPr>
          <w:rFonts w:cstheme="minorHAnsi"/>
          <w:lang w:val="en-GB"/>
        </w:rPr>
      </w:pPr>
      <w:r>
        <w:rPr>
          <w:lang w:val="en-US"/>
        </w:rPr>
        <w:br w:type="page"/>
      </w:r>
    </w:p>
    <w:p w14:paraId="22A7866C" w14:textId="79B9C974" w:rsidR="007F39E7" w:rsidRPr="006F79A7" w:rsidRDefault="007F39E7" w:rsidP="006853DF">
      <w:pPr>
        <w:pStyle w:val="Heading1"/>
        <w:pBdr>
          <w:bottom w:val="single" w:sz="4" w:space="1" w:color="auto"/>
        </w:pBdr>
        <w:spacing w:line="240" w:lineRule="auto"/>
        <w:jc w:val="center"/>
        <w:rPr>
          <w:b/>
          <w:color w:val="auto"/>
          <w:sz w:val="24"/>
          <w:szCs w:val="24"/>
        </w:rPr>
      </w:pPr>
      <w:bookmarkStart w:id="30" w:name="_Toc109319194"/>
      <w:bookmarkStart w:id="31" w:name="_Toc115709530"/>
      <w:r>
        <w:rPr>
          <w:b/>
          <w:color w:val="auto"/>
          <w:sz w:val="24"/>
          <w:szCs w:val="24"/>
        </w:rPr>
        <w:lastRenderedPageBreak/>
        <w:t>List of tables</w:t>
      </w:r>
      <w:r w:rsidR="00F71688">
        <w:rPr>
          <w:b/>
          <w:color w:val="auto"/>
          <w:sz w:val="24"/>
          <w:szCs w:val="24"/>
        </w:rPr>
        <w:t xml:space="preserve"> in this </w:t>
      </w:r>
      <w:r w:rsidR="00EA44FC">
        <w:rPr>
          <w:b/>
          <w:color w:val="auto"/>
          <w:sz w:val="24"/>
          <w:szCs w:val="24"/>
        </w:rPr>
        <w:t>Additional</w:t>
      </w:r>
      <w:r w:rsidR="00F71688">
        <w:rPr>
          <w:b/>
          <w:color w:val="auto"/>
          <w:sz w:val="24"/>
          <w:szCs w:val="24"/>
        </w:rPr>
        <w:t xml:space="preserve"> File</w:t>
      </w:r>
      <w:r w:rsidR="00BF2CE0">
        <w:rPr>
          <w:b/>
          <w:color w:val="auto"/>
          <w:sz w:val="24"/>
          <w:szCs w:val="24"/>
        </w:rPr>
        <w:t xml:space="preserve"> 1</w:t>
      </w:r>
      <w:bookmarkEnd w:id="30"/>
      <w:bookmarkEnd w:id="31"/>
    </w:p>
    <w:sdt>
      <w:sdtPr>
        <w:rPr>
          <w:rFonts w:asciiTheme="minorHAnsi" w:eastAsiaTheme="minorHAnsi" w:hAnsiTheme="minorHAnsi" w:cstheme="minorHAnsi"/>
          <w:color w:val="auto"/>
          <w:sz w:val="24"/>
          <w:szCs w:val="24"/>
          <w:lang w:val="nl-NL"/>
        </w:rPr>
        <w:id w:val="-732461102"/>
        <w:docPartObj>
          <w:docPartGallery w:val="Table of Contents"/>
          <w:docPartUnique/>
        </w:docPartObj>
      </w:sdtPr>
      <w:sdtEndPr/>
      <w:sdtContent>
        <w:p w14:paraId="5D7C9063" w14:textId="708D368B" w:rsidR="00CE2B7D" w:rsidRPr="00DC2EDA" w:rsidRDefault="00CE2B7D" w:rsidP="006853DF">
          <w:pPr>
            <w:pStyle w:val="TOCHeading"/>
            <w:spacing w:line="276" w:lineRule="auto"/>
            <w:ind w:right="-568"/>
            <w:rPr>
              <w:rFonts w:asciiTheme="minorHAnsi" w:eastAsiaTheme="minorHAnsi" w:hAnsiTheme="minorHAnsi" w:cstheme="minorHAnsi"/>
              <w:color w:val="auto"/>
              <w:sz w:val="24"/>
              <w:szCs w:val="24"/>
              <w:lang w:val="en-GB"/>
            </w:rPr>
          </w:pPr>
          <w:r w:rsidRPr="00DC2EDA">
            <w:rPr>
              <w:rFonts w:asciiTheme="minorHAnsi" w:eastAsiaTheme="minorHAnsi" w:hAnsiTheme="minorHAnsi" w:cstheme="minorHAnsi"/>
              <w:color w:val="auto"/>
              <w:sz w:val="24"/>
              <w:szCs w:val="24"/>
              <w:lang w:val="en-GB"/>
            </w:rPr>
            <w:t xml:space="preserve">Supplementary </w:t>
          </w:r>
          <w:r w:rsidR="0047428B">
            <w:rPr>
              <w:rFonts w:asciiTheme="minorHAnsi" w:eastAsiaTheme="minorHAnsi" w:hAnsiTheme="minorHAnsi" w:cstheme="minorHAnsi"/>
              <w:color w:val="auto"/>
              <w:sz w:val="24"/>
              <w:szCs w:val="24"/>
              <w:lang w:val="en-GB"/>
            </w:rPr>
            <w:t>Table S</w:t>
          </w:r>
          <w:r w:rsidR="00F2771D" w:rsidRPr="00DC2EDA">
            <w:rPr>
              <w:rFonts w:asciiTheme="minorHAnsi" w:eastAsiaTheme="minorHAnsi" w:hAnsiTheme="minorHAnsi" w:cstheme="minorHAnsi"/>
              <w:color w:val="auto"/>
              <w:sz w:val="24"/>
              <w:szCs w:val="24"/>
              <w:lang w:val="en-GB"/>
            </w:rPr>
            <w:t>1</w:t>
          </w:r>
          <w:r w:rsidRPr="00DC2EDA">
            <w:rPr>
              <w:rFonts w:asciiTheme="minorHAnsi" w:eastAsiaTheme="minorHAnsi" w:hAnsiTheme="minorHAnsi" w:cstheme="minorHAnsi"/>
              <w:color w:val="auto"/>
              <w:sz w:val="24"/>
              <w:szCs w:val="24"/>
              <w:lang w:val="en-GB"/>
            </w:rPr>
            <w:t>: Summary of infections categori</w:t>
          </w:r>
          <w:r w:rsidR="008D58EA" w:rsidRPr="00DC2EDA">
            <w:rPr>
              <w:rFonts w:asciiTheme="minorHAnsi" w:eastAsiaTheme="minorHAnsi" w:hAnsiTheme="minorHAnsi" w:cstheme="minorHAnsi"/>
              <w:color w:val="auto"/>
              <w:sz w:val="24"/>
              <w:szCs w:val="24"/>
              <w:lang w:val="en-GB"/>
            </w:rPr>
            <w:t>z</w:t>
          </w:r>
          <w:r w:rsidRPr="00DC2EDA">
            <w:rPr>
              <w:rFonts w:asciiTheme="minorHAnsi" w:eastAsiaTheme="minorHAnsi" w:hAnsiTheme="minorHAnsi" w:cstheme="minorHAnsi"/>
              <w:color w:val="auto"/>
              <w:sz w:val="24"/>
              <w:szCs w:val="24"/>
              <w:lang w:val="en-GB"/>
            </w:rPr>
            <w:t>ed as “Other infect</w:t>
          </w:r>
          <w:r w:rsidR="00361F88" w:rsidRPr="00DC2EDA">
            <w:rPr>
              <w:rFonts w:asciiTheme="minorHAnsi" w:eastAsiaTheme="minorHAnsi" w:hAnsiTheme="minorHAnsi" w:cstheme="minorHAnsi"/>
              <w:color w:val="auto"/>
              <w:sz w:val="24"/>
              <w:szCs w:val="24"/>
              <w:lang w:val="en-GB"/>
            </w:rPr>
            <w:t xml:space="preserve">ion site” or “Unknown infection </w:t>
          </w:r>
          <w:r w:rsidRPr="00DC2EDA">
            <w:rPr>
              <w:rFonts w:asciiTheme="minorHAnsi" w:eastAsiaTheme="minorHAnsi" w:hAnsiTheme="minorHAnsi" w:cstheme="minorHAnsi"/>
              <w:color w:val="auto"/>
              <w:sz w:val="24"/>
              <w:szCs w:val="24"/>
              <w:lang w:val="en-GB"/>
            </w:rPr>
            <w:t>site”.........................................................</w:t>
          </w:r>
          <w:r w:rsidR="00897FF5" w:rsidRPr="00DC2EDA">
            <w:rPr>
              <w:rFonts w:asciiTheme="minorHAnsi" w:eastAsiaTheme="minorHAnsi" w:hAnsiTheme="minorHAnsi" w:cstheme="minorHAnsi"/>
              <w:color w:val="auto"/>
              <w:sz w:val="24"/>
              <w:szCs w:val="24"/>
              <w:lang w:val="en-GB"/>
            </w:rPr>
            <w:t>............................................</w:t>
          </w:r>
          <w:r w:rsidR="00361F88" w:rsidRPr="00DC2EDA">
            <w:rPr>
              <w:rFonts w:asciiTheme="minorHAnsi" w:eastAsiaTheme="minorHAnsi" w:hAnsiTheme="minorHAnsi" w:cstheme="minorHAnsi"/>
              <w:color w:val="auto"/>
              <w:sz w:val="24"/>
              <w:szCs w:val="24"/>
              <w:lang w:val="en-GB"/>
            </w:rPr>
            <w:t>.....</w:t>
          </w:r>
          <w:r w:rsidR="000411E5" w:rsidRPr="00DC2EDA">
            <w:rPr>
              <w:rFonts w:asciiTheme="minorHAnsi" w:eastAsiaTheme="minorHAnsi" w:hAnsiTheme="minorHAnsi" w:cstheme="minorHAnsi"/>
              <w:color w:val="auto"/>
              <w:sz w:val="24"/>
              <w:szCs w:val="24"/>
              <w:lang w:val="en-GB"/>
            </w:rPr>
            <w:t>9</w:t>
          </w:r>
          <w:r w:rsidR="006853DF" w:rsidRPr="00DC2EDA">
            <w:rPr>
              <w:rFonts w:asciiTheme="minorHAnsi" w:eastAsiaTheme="minorHAnsi" w:hAnsiTheme="minorHAnsi" w:cstheme="minorHAnsi"/>
              <w:color w:val="auto"/>
              <w:sz w:val="24"/>
              <w:szCs w:val="24"/>
              <w:lang w:val="en-GB"/>
            </w:rPr>
            <w:br/>
          </w:r>
          <w:r w:rsidRPr="00DC2EDA">
            <w:rPr>
              <w:rFonts w:asciiTheme="minorHAnsi" w:hAnsiTheme="minorHAnsi" w:cstheme="minorHAnsi"/>
              <w:color w:val="auto"/>
              <w:sz w:val="24"/>
              <w:szCs w:val="24"/>
              <w:lang w:val="en-GB"/>
            </w:rPr>
            <w:t>Supplementary</w:t>
          </w:r>
          <w:r w:rsidR="00C679D8" w:rsidRPr="00DC2EDA">
            <w:rPr>
              <w:rFonts w:asciiTheme="minorHAnsi" w:hAnsiTheme="minorHAnsi" w:cstheme="minorHAnsi"/>
              <w:color w:val="auto"/>
              <w:sz w:val="24"/>
              <w:szCs w:val="24"/>
            </w:rPr>
            <w:t xml:space="preserve"> </w:t>
          </w:r>
          <w:r w:rsidR="0047428B">
            <w:rPr>
              <w:rFonts w:asciiTheme="minorHAnsi" w:hAnsiTheme="minorHAnsi" w:cstheme="minorHAnsi"/>
              <w:color w:val="auto"/>
              <w:sz w:val="24"/>
              <w:szCs w:val="24"/>
            </w:rPr>
            <w:t>Table S</w:t>
          </w:r>
          <w:r w:rsidR="00F2771D" w:rsidRPr="00DC2EDA">
            <w:rPr>
              <w:rFonts w:asciiTheme="minorHAnsi" w:hAnsiTheme="minorHAnsi" w:cstheme="minorHAnsi"/>
              <w:color w:val="auto"/>
              <w:sz w:val="24"/>
              <w:szCs w:val="24"/>
            </w:rPr>
            <w:t>2</w:t>
          </w:r>
          <w:r w:rsidRPr="00DC2EDA">
            <w:rPr>
              <w:rFonts w:asciiTheme="minorHAnsi" w:hAnsiTheme="minorHAnsi" w:cstheme="minorHAnsi"/>
              <w:color w:val="auto"/>
              <w:sz w:val="24"/>
              <w:szCs w:val="24"/>
            </w:rPr>
            <w:t xml:space="preserve">: </w:t>
          </w:r>
          <w:r w:rsidRPr="00DC2EDA">
            <w:rPr>
              <w:rFonts w:asciiTheme="minorHAnsi" w:hAnsiTheme="minorHAnsi" w:cstheme="minorHAnsi"/>
              <w:color w:val="auto"/>
              <w:sz w:val="24"/>
              <w:szCs w:val="24"/>
              <w:lang w:val="en-GB"/>
            </w:rPr>
            <w:t>Baseline characteristics of critically ill sepsis patients stratified</w:t>
          </w:r>
          <w:r w:rsidRPr="00DC2EDA">
            <w:rPr>
              <w:rFonts w:asciiTheme="minorHAnsi" w:hAnsiTheme="minorHAnsi" w:cstheme="minorHAnsi"/>
              <w:color w:val="auto"/>
              <w:sz w:val="24"/>
              <w:szCs w:val="24"/>
              <w:lang w:val="en-GB"/>
            </w:rPr>
            <w:br/>
            <w:t>by age decades (host response biomarker cohort)</w:t>
          </w:r>
          <w:r w:rsidRPr="00DC2EDA">
            <w:rPr>
              <w:rFonts w:asciiTheme="minorHAnsi" w:hAnsiTheme="minorHAnsi" w:cstheme="minorHAnsi"/>
              <w:color w:val="auto"/>
              <w:sz w:val="24"/>
              <w:szCs w:val="24"/>
            </w:rPr>
            <w:ptab w:relativeTo="margin" w:alignment="right" w:leader="dot"/>
          </w:r>
          <w:r w:rsidR="000411E5" w:rsidRPr="00DC2EDA">
            <w:rPr>
              <w:rFonts w:asciiTheme="minorHAnsi" w:hAnsiTheme="minorHAnsi" w:cstheme="minorHAnsi"/>
              <w:bCs/>
              <w:color w:val="auto"/>
              <w:sz w:val="24"/>
              <w:szCs w:val="24"/>
              <w:lang w:val="en-GB"/>
            </w:rPr>
            <w:t>10</w:t>
          </w:r>
        </w:p>
        <w:p w14:paraId="25FD6E49" w14:textId="153800EE" w:rsidR="00F71688" w:rsidRPr="002862C0" w:rsidRDefault="00CE2B7D" w:rsidP="006853DF">
          <w:pPr>
            <w:spacing w:line="276" w:lineRule="auto"/>
            <w:ind w:right="-568"/>
            <w:rPr>
              <w:rFonts w:cstheme="minorHAnsi"/>
              <w:bCs/>
              <w:sz w:val="24"/>
              <w:szCs w:val="24"/>
              <w:lang w:val="en-GB"/>
            </w:rPr>
          </w:pPr>
          <w:r w:rsidRPr="00DC2EDA">
            <w:rPr>
              <w:rFonts w:cstheme="minorHAnsi"/>
              <w:sz w:val="24"/>
              <w:szCs w:val="24"/>
              <w:lang w:val="en-GB"/>
            </w:rPr>
            <w:t>Supplementary</w:t>
          </w:r>
          <w:r w:rsidR="00C679D8" w:rsidRPr="00DC2EDA">
            <w:rPr>
              <w:rFonts w:cstheme="minorHAnsi"/>
              <w:sz w:val="24"/>
              <w:szCs w:val="24"/>
              <w:lang w:val="en-US"/>
            </w:rPr>
            <w:t xml:space="preserve"> </w:t>
          </w:r>
          <w:r w:rsidR="0047428B">
            <w:rPr>
              <w:rFonts w:cstheme="minorHAnsi"/>
              <w:sz w:val="24"/>
              <w:szCs w:val="24"/>
              <w:lang w:val="en-US"/>
            </w:rPr>
            <w:t>Table S</w:t>
          </w:r>
          <w:r w:rsidR="00F2771D" w:rsidRPr="00DC2EDA">
            <w:rPr>
              <w:rFonts w:cstheme="minorHAnsi"/>
              <w:sz w:val="24"/>
              <w:szCs w:val="24"/>
              <w:lang w:val="en-US"/>
            </w:rPr>
            <w:t>3</w:t>
          </w:r>
          <w:r w:rsidRPr="00DC2EDA">
            <w:rPr>
              <w:rFonts w:cstheme="minorHAnsi"/>
              <w:sz w:val="24"/>
              <w:szCs w:val="24"/>
              <w:lang w:val="en-US"/>
            </w:rPr>
            <w:t xml:space="preserve">: </w:t>
          </w:r>
          <w:r w:rsidRPr="00DC2EDA">
            <w:rPr>
              <w:rFonts w:cstheme="minorHAnsi"/>
              <w:sz w:val="24"/>
              <w:szCs w:val="24"/>
              <w:lang w:val="en-GB"/>
            </w:rPr>
            <w:t xml:space="preserve">Clinical outcomes of critically ill sepsis patients stratified by </w:t>
          </w:r>
          <w:r w:rsidRPr="00DC2EDA">
            <w:rPr>
              <w:rFonts w:cstheme="minorHAnsi"/>
              <w:sz w:val="24"/>
              <w:szCs w:val="24"/>
              <w:lang w:val="en-GB"/>
            </w:rPr>
            <w:br/>
            <w:t xml:space="preserve">age decades (host response biomarker cohort) </w:t>
          </w:r>
          <w:r w:rsidRPr="00DC2EDA">
            <w:rPr>
              <w:rFonts w:cstheme="minorHAnsi"/>
              <w:sz w:val="24"/>
              <w:szCs w:val="24"/>
            </w:rPr>
            <w:ptab w:relativeTo="margin" w:alignment="right" w:leader="dot"/>
          </w:r>
          <w:r w:rsidR="006853DF" w:rsidRPr="00DC2EDA">
            <w:rPr>
              <w:rFonts w:cstheme="minorHAnsi"/>
              <w:bCs/>
              <w:sz w:val="24"/>
              <w:szCs w:val="24"/>
              <w:lang w:val="en-GB"/>
            </w:rPr>
            <w:t>11</w:t>
          </w:r>
          <w:r w:rsidR="00F10577">
            <w:rPr>
              <w:rFonts w:cstheme="minorHAnsi"/>
              <w:bCs/>
              <w:sz w:val="24"/>
              <w:szCs w:val="24"/>
              <w:lang w:val="en-GB"/>
            </w:rPr>
            <w:br/>
          </w:r>
          <w:r w:rsidR="00F10577" w:rsidRPr="002862C0">
            <w:rPr>
              <w:rFonts w:cstheme="minorHAnsi"/>
              <w:sz w:val="24"/>
              <w:szCs w:val="24"/>
              <w:lang w:val="en-GB"/>
            </w:rPr>
            <w:t xml:space="preserve">Supplementary </w:t>
          </w:r>
          <w:r w:rsidR="0047428B">
            <w:rPr>
              <w:rFonts w:cstheme="minorHAnsi"/>
              <w:sz w:val="24"/>
              <w:szCs w:val="24"/>
              <w:lang w:val="en-GB"/>
            </w:rPr>
            <w:t>Table S</w:t>
          </w:r>
          <w:r w:rsidR="00581D6B">
            <w:rPr>
              <w:rFonts w:cstheme="minorHAnsi"/>
              <w:sz w:val="24"/>
              <w:szCs w:val="24"/>
              <w:lang w:val="en-GB"/>
            </w:rPr>
            <w:t>4</w:t>
          </w:r>
          <w:r w:rsidR="00F10577" w:rsidRPr="002862C0">
            <w:rPr>
              <w:rFonts w:cstheme="minorHAnsi"/>
              <w:sz w:val="24"/>
              <w:szCs w:val="24"/>
              <w:lang w:val="en-GB"/>
            </w:rPr>
            <w:t xml:space="preserve">: </w:t>
          </w:r>
          <w:r w:rsidR="006D35EC" w:rsidRPr="006D35EC">
            <w:rPr>
              <w:rFonts w:cstheme="minorHAnsi"/>
              <w:sz w:val="24"/>
              <w:szCs w:val="24"/>
              <w:lang w:val="en-GB"/>
            </w:rPr>
            <w:t xml:space="preserve">Association of ageing with biomarker concentrations after </w:t>
          </w:r>
          <w:r w:rsidR="006D35EC">
            <w:rPr>
              <w:rFonts w:cstheme="minorHAnsi"/>
              <w:sz w:val="24"/>
              <w:szCs w:val="24"/>
              <w:lang w:val="en-GB"/>
            </w:rPr>
            <w:br/>
          </w:r>
          <w:r w:rsidR="006D35EC" w:rsidRPr="006D35EC">
            <w:rPr>
              <w:rFonts w:cstheme="minorHAnsi"/>
              <w:sz w:val="24"/>
              <w:szCs w:val="24"/>
              <w:lang w:val="en-GB"/>
            </w:rPr>
            <w:t>correcting for baseline disease severity</w:t>
          </w:r>
          <w:r w:rsidR="00F10577" w:rsidRPr="002862C0">
            <w:rPr>
              <w:rFonts w:cstheme="minorHAnsi"/>
              <w:sz w:val="24"/>
              <w:szCs w:val="24"/>
              <w:lang w:val="en-GB"/>
            </w:rPr>
            <w:t xml:space="preserve"> </w:t>
          </w:r>
          <w:r w:rsidR="00F10577">
            <w:rPr>
              <w:rFonts w:cstheme="minorHAnsi"/>
              <w:sz w:val="24"/>
              <w:szCs w:val="24"/>
              <w:lang w:val="en-GB"/>
            </w:rPr>
            <w:t>....................................................</w:t>
          </w:r>
          <w:r w:rsidR="006D35EC">
            <w:rPr>
              <w:rFonts w:cstheme="minorHAnsi"/>
              <w:sz w:val="24"/>
              <w:szCs w:val="24"/>
              <w:lang w:val="en-GB"/>
            </w:rPr>
            <w:t>..............................12</w:t>
          </w:r>
          <w:r w:rsidR="006853DF" w:rsidRPr="00DC2EDA">
            <w:rPr>
              <w:rFonts w:cstheme="minorHAnsi"/>
              <w:sz w:val="24"/>
              <w:szCs w:val="24"/>
              <w:lang w:val="en-US"/>
            </w:rPr>
            <w:br/>
          </w:r>
          <w:r w:rsidRPr="00DC2EDA">
            <w:rPr>
              <w:rFonts w:cstheme="minorHAnsi"/>
              <w:sz w:val="24"/>
              <w:szCs w:val="24"/>
              <w:lang w:val="en-GB"/>
            </w:rPr>
            <w:t>Supplementary</w:t>
          </w:r>
          <w:r w:rsidRPr="00DC2EDA">
            <w:rPr>
              <w:rFonts w:cstheme="minorHAnsi"/>
              <w:sz w:val="24"/>
              <w:szCs w:val="24"/>
              <w:lang w:val="en-US"/>
            </w:rPr>
            <w:t xml:space="preserve"> </w:t>
          </w:r>
          <w:r w:rsidR="0047428B">
            <w:rPr>
              <w:rFonts w:cstheme="minorHAnsi"/>
              <w:sz w:val="24"/>
              <w:szCs w:val="24"/>
              <w:lang w:val="en-US"/>
            </w:rPr>
            <w:t>Table S</w:t>
          </w:r>
          <w:r w:rsidR="00581D6B">
            <w:rPr>
              <w:rFonts w:cstheme="minorHAnsi"/>
              <w:sz w:val="24"/>
              <w:szCs w:val="24"/>
              <w:lang w:val="en-US"/>
            </w:rPr>
            <w:t>5</w:t>
          </w:r>
          <w:r w:rsidRPr="00DC2EDA">
            <w:rPr>
              <w:rFonts w:cstheme="minorHAnsi"/>
              <w:sz w:val="24"/>
              <w:szCs w:val="24"/>
              <w:lang w:val="en-US"/>
            </w:rPr>
            <w:t xml:space="preserve">: Sensitivity analysis of biomarkers of </w:t>
          </w:r>
          <w:r w:rsidRPr="00DC2EDA">
            <w:rPr>
              <w:rFonts w:cstheme="minorHAnsi"/>
              <w:sz w:val="24"/>
              <w:szCs w:val="24"/>
              <w:lang w:val="en-GB"/>
            </w:rPr>
            <w:t xml:space="preserve">critically ill sepsis </w:t>
          </w:r>
          <w:r w:rsidRPr="00DC2EDA">
            <w:rPr>
              <w:rFonts w:cstheme="minorHAnsi"/>
              <w:sz w:val="24"/>
              <w:szCs w:val="24"/>
              <w:lang w:val="en-GB"/>
            </w:rPr>
            <w:br/>
            <w:t xml:space="preserve">patients </w:t>
          </w:r>
          <w:r w:rsidRPr="00DC2EDA">
            <w:rPr>
              <w:rFonts w:cstheme="minorHAnsi"/>
              <w:sz w:val="24"/>
              <w:szCs w:val="24"/>
              <w:lang w:val="en-US"/>
            </w:rPr>
            <w:t>using a linear regression model and age on a continuous scale</w:t>
          </w:r>
          <w:r w:rsidRPr="00DC2EDA">
            <w:rPr>
              <w:rFonts w:cstheme="minorHAnsi"/>
              <w:sz w:val="24"/>
              <w:szCs w:val="24"/>
            </w:rPr>
            <w:ptab w:relativeTo="margin" w:alignment="right" w:leader="dot"/>
          </w:r>
          <w:r w:rsidR="00897FF5" w:rsidRPr="00DC2EDA">
            <w:rPr>
              <w:rFonts w:cstheme="minorHAnsi"/>
              <w:bCs/>
              <w:sz w:val="24"/>
              <w:szCs w:val="24"/>
              <w:lang w:val="en-GB"/>
            </w:rPr>
            <w:t>1</w:t>
          </w:r>
          <w:r w:rsidR="006D35EC">
            <w:rPr>
              <w:rFonts w:cstheme="minorHAnsi"/>
              <w:bCs/>
              <w:sz w:val="24"/>
              <w:szCs w:val="24"/>
              <w:lang w:val="en-GB"/>
            </w:rPr>
            <w:t>3</w:t>
          </w:r>
          <w:r w:rsidR="00F10577">
            <w:rPr>
              <w:rFonts w:cstheme="minorHAnsi"/>
              <w:bCs/>
              <w:sz w:val="24"/>
              <w:szCs w:val="24"/>
              <w:lang w:val="en-GB"/>
            </w:rPr>
            <w:br/>
          </w:r>
          <w:r w:rsidR="00897FF5" w:rsidRPr="00DC2EDA">
            <w:rPr>
              <w:rFonts w:cstheme="minorHAnsi"/>
              <w:sz w:val="24"/>
              <w:szCs w:val="24"/>
              <w:lang w:val="en-GB"/>
            </w:rPr>
            <w:t>Supplementary</w:t>
          </w:r>
          <w:r w:rsidR="00897FF5" w:rsidRPr="00DC2EDA">
            <w:rPr>
              <w:rFonts w:cstheme="minorHAnsi"/>
              <w:sz w:val="24"/>
              <w:szCs w:val="24"/>
              <w:lang w:val="en-US"/>
            </w:rPr>
            <w:t xml:space="preserve"> </w:t>
          </w:r>
          <w:r w:rsidR="0047428B">
            <w:rPr>
              <w:rFonts w:cstheme="minorHAnsi"/>
              <w:sz w:val="24"/>
              <w:szCs w:val="24"/>
              <w:lang w:val="en-US"/>
            </w:rPr>
            <w:t>Table S</w:t>
          </w:r>
          <w:r w:rsidR="002862C0">
            <w:rPr>
              <w:rFonts w:cstheme="minorHAnsi"/>
              <w:sz w:val="24"/>
              <w:szCs w:val="24"/>
              <w:lang w:val="en-US"/>
            </w:rPr>
            <w:t>6</w:t>
          </w:r>
          <w:r w:rsidR="00897FF5" w:rsidRPr="00DC2EDA">
            <w:rPr>
              <w:rFonts w:cstheme="minorHAnsi"/>
              <w:sz w:val="24"/>
              <w:szCs w:val="24"/>
              <w:lang w:val="en-US"/>
            </w:rPr>
            <w:t xml:space="preserve">: </w:t>
          </w:r>
          <w:r w:rsidR="00897FF5" w:rsidRPr="00DC2EDA">
            <w:rPr>
              <w:rFonts w:cstheme="minorHAnsi"/>
              <w:sz w:val="24"/>
              <w:szCs w:val="24"/>
              <w:lang w:val="en-GB"/>
            </w:rPr>
            <w:t xml:space="preserve">Baseline characteristics of critically ill sepsis patients (whole </w:t>
          </w:r>
          <w:r w:rsidR="00897FF5" w:rsidRPr="00DC2EDA">
            <w:rPr>
              <w:rFonts w:cstheme="minorHAnsi"/>
              <w:sz w:val="24"/>
              <w:szCs w:val="24"/>
              <w:lang w:val="en-GB"/>
            </w:rPr>
            <w:br/>
            <w:t>blood transcriptome cohort)</w:t>
          </w:r>
          <w:r w:rsidR="00897FF5" w:rsidRPr="00DC2EDA">
            <w:rPr>
              <w:rFonts w:cstheme="minorHAnsi"/>
              <w:sz w:val="24"/>
              <w:szCs w:val="24"/>
            </w:rPr>
            <w:ptab w:relativeTo="margin" w:alignment="right" w:leader="dot"/>
          </w:r>
          <w:r w:rsidR="00897FF5" w:rsidRPr="00DC2EDA">
            <w:rPr>
              <w:rFonts w:cstheme="minorHAnsi"/>
              <w:bCs/>
              <w:sz w:val="24"/>
              <w:szCs w:val="24"/>
              <w:lang w:val="en-GB"/>
            </w:rPr>
            <w:t>1</w:t>
          </w:r>
          <w:r w:rsidR="002862C0">
            <w:rPr>
              <w:rFonts w:cstheme="minorHAnsi"/>
              <w:bCs/>
              <w:sz w:val="24"/>
              <w:szCs w:val="24"/>
              <w:lang w:val="en-GB"/>
            </w:rPr>
            <w:t>4</w:t>
          </w:r>
          <w:r w:rsidR="006853DF" w:rsidRPr="00DC2EDA">
            <w:rPr>
              <w:rFonts w:cstheme="minorHAnsi"/>
              <w:sz w:val="24"/>
              <w:szCs w:val="24"/>
              <w:lang w:val="en-US"/>
            </w:rPr>
            <w:br/>
          </w:r>
          <w:r w:rsidR="00897FF5" w:rsidRPr="00DC2EDA">
            <w:rPr>
              <w:rFonts w:cstheme="minorHAnsi"/>
              <w:sz w:val="24"/>
              <w:szCs w:val="24"/>
              <w:lang w:val="en-GB"/>
            </w:rPr>
            <w:t>Supplementary</w:t>
          </w:r>
          <w:r w:rsidR="00897FF5" w:rsidRPr="00DC2EDA">
            <w:rPr>
              <w:rFonts w:cstheme="minorHAnsi"/>
              <w:sz w:val="24"/>
              <w:szCs w:val="24"/>
              <w:lang w:val="en-US"/>
            </w:rPr>
            <w:t xml:space="preserve"> </w:t>
          </w:r>
          <w:r w:rsidR="0047428B">
            <w:rPr>
              <w:rFonts w:cstheme="minorHAnsi"/>
              <w:sz w:val="24"/>
              <w:szCs w:val="24"/>
              <w:lang w:val="en-US"/>
            </w:rPr>
            <w:t>Table S</w:t>
          </w:r>
          <w:r w:rsidR="002862C0">
            <w:rPr>
              <w:rFonts w:cstheme="minorHAnsi"/>
              <w:sz w:val="24"/>
              <w:szCs w:val="24"/>
              <w:lang w:val="en-US"/>
            </w:rPr>
            <w:t>7</w:t>
          </w:r>
          <w:r w:rsidR="00897FF5" w:rsidRPr="00DC2EDA">
            <w:rPr>
              <w:rFonts w:cstheme="minorHAnsi"/>
              <w:sz w:val="24"/>
              <w:szCs w:val="24"/>
              <w:lang w:val="en-US"/>
            </w:rPr>
            <w:t xml:space="preserve">: Clinical outcomes </w:t>
          </w:r>
          <w:r w:rsidR="00897FF5" w:rsidRPr="00DC2EDA">
            <w:rPr>
              <w:rFonts w:cstheme="minorHAnsi"/>
              <w:sz w:val="24"/>
              <w:szCs w:val="24"/>
              <w:lang w:val="en-GB"/>
            </w:rPr>
            <w:t xml:space="preserve">of critically ill sepsis patients (whole </w:t>
          </w:r>
          <w:r w:rsidR="00897FF5" w:rsidRPr="00DC2EDA">
            <w:rPr>
              <w:rFonts w:cstheme="minorHAnsi"/>
              <w:sz w:val="24"/>
              <w:szCs w:val="24"/>
              <w:lang w:val="en-GB"/>
            </w:rPr>
            <w:br/>
            <w:t>blood transcriptome cohort)</w:t>
          </w:r>
          <w:r w:rsidR="00897FF5" w:rsidRPr="006853DF">
            <w:rPr>
              <w:rFonts w:cstheme="minorHAnsi"/>
              <w:sz w:val="24"/>
              <w:szCs w:val="24"/>
            </w:rPr>
            <w:ptab w:relativeTo="margin" w:alignment="right" w:leader="dot"/>
          </w:r>
          <w:r w:rsidR="00897FF5" w:rsidRPr="006853DF">
            <w:rPr>
              <w:rFonts w:cstheme="minorHAnsi"/>
              <w:bCs/>
              <w:sz w:val="24"/>
              <w:szCs w:val="24"/>
              <w:lang w:val="en-GB"/>
            </w:rPr>
            <w:t>1</w:t>
          </w:r>
          <w:r w:rsidR="002862C0">
            <w:rPr>
              <w:rFonts w:cstheme="minorHAnsi"/>
              <w:bCs/>
              <w:sz w:val="24"/>
              <w:szCs w:val="24"/>
              <w:lang w:val="en-GB"/>
            </w:rPr>
            <w:t>5</w:t>
          </w:r>
        </w:p>
      </w:sdtContent>
    </w:sdt>
    <w:p w14:paraId="4D47E19F" w14:textId="18692629" w:rsidR="00F71688" w:rsidRPr="006853DF" w:rsidRDefault="00532679" w:rsidP="006853DF">
      <w:pPr>
        <w:pStyle w:val="Heading1"/>
        <w:pBdr>
          <w:bottom w:val="single" w:sz="4" w:space="1" w:color="auto"/>
        </w:pBdr>
        <w:jc w:val="center"/>
        <w:rPr>
          <w:rFonts w:cstheme="minorHAnsi"/>
          <w:b/>
          <w:color w:val="auto"/>
          <w:sz w:val="24"/>
          <w:szCs w:val="24"/>
        </w:rPr>
      </w:pPr>
      <w:r>
        <w:rPr>
          <w:rFonts w:cstheme="minorHAnsi"/>
          <w:b/>
          <w:color w:val="auto"/>
          <w:sz w:val="24"/>
          <w:szCs w:val="24"/>
        </w:rPr>
        <w:br/>
      </w:r>
      <w:r w:rsidR="006853DF" w:rsidRPr="006853DF">
        <w:rPr>
          <w:rFonts w:cstheme="minorHAnsi"/>
          <w:b/>
          <w:color w:val="auto"/>
          <w:sz w:val="24"/>
          <w:szCs w:val="24"/>
        </w:rPr>
        <w:br/>
      </w:r>
      <w:bookmarkStart w:id="32" w:name="_Toc115709531"/>
      <w:r w:rsidR="00F71688" w:rsidRPr="006853DF">
        <w:rPr>
          <w:rFonts w:cstheme="minorHAnsi"/>
          <w:b/>
          <w:color w:val="auto"/>
          <w:sz w:val="24"/>
          <w:szCs w:val="24"/>
        </w:rPr>
        <w:t xml:space="preserve">List of tables in </w:t>
      </w:r>
      <w:r w:rsidR="00EA44FC">
        <w:rPr>
          <w:rFonts w:cstheme="minorHAnsi"/>
          <w:b/>
          <w:color w:val="auto"/>
          <w:sz w:val="24"/>
          <w:szCs w:val="24"/>
        </w:rPr>
        <w:t>Additional file</w:t>
      </w:r>
      <w:r w:rsidR="00D067B4">
        <w:rPr>
          <w:rFonts w:cstheme="minorHAnsi"/>
          <w:b/>
          <w:color w:val="auto"/>
          <w:sz w:val="24"/>
          <w:szCs w:val="24"/>
        </w:rPr>
        <w:t xml:space="preserve"> 3</w:t>
      </w:r>
      <w:bookmarkStart w:id="33" w:name="_GoBack"/>
      <w:bookmarkEnd w:id="33"/>
      <w:r w:rsidR="00F71688" w:rsidRPr="006853DF">
        <w:rPr>
          <w:rFonts w:cstheme="minorHAnsi"/>
          <w:b/>
          <w:color w:val="auto"/>
          <w:sz w:val="24"/>
          <w:szCs w:val="24"/>
        </w:rPr>
        <w:t xml:space="preserve"> (excel file)</w:t>
      </w:r>
      <w:bookmarkEnd w:id="32"/>
    </w:p>
    <w:p w14:paraId="352F8DF1" w14:textId="0FD5AFA4" w:rsidR="006853DF" w:rsidRPr="00DC2EDA" w:rsidRDefault="00EA44FC" w:rsidP="006853DF">
      <w:pPr>
        <w:pStyle w:val="TOCHeading"/>
        <w:spacing w:line="276" w:lineRule="auto"/>
        <w:ind w:right="-568"/>
        <w:rPr>
          <w:rFonts w:asciiTheme="minorHAnsi" w:eastAsiaTheme="minorHAnsi" w:hAnsiTheme="minorHAnsi" w:cstheme="minorHAnsi"/>
          <w:color w:val="auto"/>
          <w:sz w:val="24"/>
          <w:szCs w:val="24"/>
          <w:lang w:val="en-GB"/>
        </w:rPr>
      </w:pPr>
      <w:r>
        <w:rPr>
          <w:rFonts w:asciiTheme="minorHAnsi" w:eastAsiaTheme="minorHAnsi" w:hAnsiTheme="minorHAnsi" w:cstheme="minorHAnsi"/>
          <w:color w:val="auto"/>
          <w:sz w:val="24"/>
          <w:szCs w:val="24"/>
          <w:lang w:val="en-GB"/>
        </w:rPr>
        <w:t>Additional file</w:t>
      </w:r>
      <w:r w:rsidR="00F71688" w:rsidRPr="00DC2EDA">
        <w:rPr>
          <w:rFonts w:asciiTheme="minorHAnsi" w:eastAsiaTheme="minorHAnsi" w:hAnsiTheme="minorHAnsi" w:cstheme="minorHAnsi"/>
          <w:color w:val="auto"/>
          <w:sz w:val="24"/>
          <w:szCs w:val="24"/>
          <w:lang w:val="en-GB"/>
        </w:rPr>
        <w:t xml:space="preserve"> 2 sheet 1: Gene annotation per module</w:t>
      </w:r>
      <w:r w:rsidR="006853DF" w:rsidRPr="00DC2EDA">
        <w:rPr>
          <w:rFonts w:asciiTheme="minorHAnsi" w:eastAsiaTheme="minorHAnsi" w:hAnsiTheme="minorHAnsi" w:cstheme="minorHAnsi"/>
          <w:color w:val="auto"/>
          <w:sz w:val="24"/>
          <w:szCs w:val="24"/>
          <w:lang w:val="en-GB"/>
        </w:rPr>
        <w:br/>
      </w:r>
      <w:r>
        <w:rPr>
          <w:rFonts w:asciiTheme="minorHAnsi" w:eastAsiaTheme="minorHAnsi" w:hAnsiTheme="minorHAnsi" w:cstheme="minorHAnsi"/>
          <w:color w:val="auto"/>
          <w:sz w:val="24"/>
          <w:szCs w:val="24"/>
          <w:lang w:val="en-GB"/>
        </w:rPr>
        <w:t>Additional file</w:t>
      </w:r>
      <w:r w:rsidR="00F71688" w:rsidRPr="00DC2EDA">
        <w:rPr>
          <w:rFonts w:asciiTheme="minorHAnsi" w:eastAsiaTheme="minorHAnsi" w:hAnsiTheme="minorHAnsi" w:cstheme="minorHAnsi"/>
          <w:color w:val="auto"/>
          <w:sz w:val="24"/>
          <w:szCs w:val="24"/>
          <w:lang w:val="en-GB"/>
        </w:rPr>
        <w:t xml:space="preserve"> 2 sheet 2: Purple module pathway analysis</w:t>
      </w:r>
      <w:r w:rsidR="006853DF" w:rsidRPr="00DC2EDA">
        <w:rPr>
          <w:rFonts w:asciiTheme="minorHAnsi" w:eastAsiaTheme="minorHAnsi" w:hAnsiTheme="minorHAnsi" w:cstheme="minorHAnsi"/>
          <w:color w:val="auto"/>
          <w:sz w:val="24"/>
          <w:szCs w:val="24"/>
          <w:lang w:val="en-GB"/>
        </w:rPr>
        <w:br/>
      </w:r>
      <w:r>
        <w:rPr>
          <w:rFonts w:asciiTheme="minorHAnsi" w:eastAsiaTheme="minorHAnsi" w:hAnsiTheme="minorHAnsi" w:cstheme="minorHAnsi"/>
          <w:color w:val="auto"/>
          <w:sz w:val="24"/>
          <w:szCs w:val="24"/>
          <w:lang w:val="en-GB"/>
        </w:rPr>
        <w:t>Additional file</w:t>
      </w:r>
      <w:r w:rsidR="00F71688" w:rsidRPr="00DC2EDA">
        <w:rPr>
          <w:rFonts w:asciiTheme="minorHAnsi" w:eastAsiaTheme="minorHAnsi" w:hAnsiTheme="minorHAnsi" w:cstheme="minorHAnsi"/>
          <w:color w:val="auto"/>
          <w:sz w:val="24"/>
          <w:szCs w:val="24"/>
          <w:lang w:val="en-GB"/>
        </w:rPr>
        <w:t xml:space="preserve"> 2 sheet 3: Blue module pathway analysis</w:t>
      </w:r>
      <w:r w:rsidR="006853DF" w:rsidRPr="00DC2EDA">
        <w:rPr>
          <w:rFonts w:asciiTheme="minorHAnsi" w:eastAsiaTheme="minorHAnsi" w:hAnsiTheme="minorHAnsi" w:cstheme="minorHAnsi"/>
          <w:color w:val="auto"/>
          <w:sz w:val="24"/>
          <w:szCs w:val="24"/>
          <w:lang w:val="en-GB"/>
        </w:rPr>
        <w:br/>
      </w:r>
      <w:r>
        <w:rPr>
          <w:rFonts w:asciiTheme="minorHAnsi" w:eastAsiaTheme="minorHAnsi" w:hAnsiTheme="minorHAnsi" w:cstheme="minorHAnsi"/>
          <w:color w:val="auto"/>
          <w:sz w:val="24"/>
          <w:szCs w:val="24"/>
          <w:lang w:val="en-GB"/>
        </w:rPr>
        <w:t>Additional file</w:t>
      </w:r>
      <w:r w:rsidR="00552D00" w:rsidRPr="00DC2EDA">
        <w:rPr>
          <w:rFonts w:asciiTheme="minorHAnsi" w:eastAsiaTheme="minorHAnsi" w:hAnsiTheme="minorHAnsi" w:cstheme="minorHAnsi"/>
          <w:color w:val="auto"/>
          <w:sz w:val="24"/>
          <w:szCs w:val="24"/>
          <w:lang w:val="en-GB"/>
        </w:rPr>
        <w:t xml:space="preserve"> 2 sheet 4</w:t>
      </w:r>
      <w:r w:rsidR="00F71688" w:rsidRPr="00DC2EDA">
        <w:rPr>
          <w:rFonts w:asciiTheme="minorHAnsi" w:eastAsiaTheme="minorHAnsi" w:hAnsiTheme="minorHAnsi" w:cstheme="minorHAnsi"/>
          <w:color w:val="auto"/>
          <w:sz w:val="24"/>
          <w:szCs w:val="24"/>
          <w:lang w:val="en-GB"/>
        </w:rPr>
        <w:t>: Yellow module pathway analysis</w:t>
      </w:r>
      <w:r w:rsidR="006853DF" w:rsidRPr="00DC2EDA">
        <w:rPr>
          <w:rFonts w:asciiTheme="minorHAnsi" w:eastAsiaTheme="minorHAnsi" w:hAnsiTheme="minorHAnsi" w:cstheme="minorHAnsi"/>
          <w:color w:val="auto"/>
          <w:sz w:val="24"/>
          <w:szCs w:val="24"/>
          <w:lang w:val="en-GB"/>
        </w:rPr>
        <w:br/>
      </w:r>
      <w:r>
        <w:rPr>
          <w:rFonts w:asciiTheme="minorHAnsi" w:eastAsiaTheme="minorHAnsi" w:hAnsiTheme="minorHAnsi" w:cstheme="minorHAnsi"/>
          <w:color w:val="auto"/>
          <w:sz w:val="24"/>
          <w:szCs w:val="24"/>
          <w:lang w:val="en-GB"/>
        </w:rPr>
        <w:t>Additional file</w:t>
      </w:r>
      <w:r w:rsidR="00552D00" w:rsidRPr="00DC2EDA">
        <w:rPr>
          <w:rFonts w:asciiTheme="minorHAnsi" w:eastAsiaTheme="minorHAnsi" w:hAnsiTheme="minorHAnsi" w:cstheme="minorHAnsi"/>
          <w:color w:val="auto"/>
          <w:sz w:val="24"/>
          <w:szCs w:val="24"/>
          <w:lang w:val="en-GB"/>
        </w:rPr>
        <w:t xml:space="preserve"> 2 sheet 5</w:t>
      </w:r>
      <w:r w:rsidR="00F71688" w:rsidRPr="00DC2EDA">
        <w:rPr>
          <w:rFonts w:asciiTheme="minorHAnsi" w:eastAsiaTheme="minorHAnsi" w:hAnsiTheme="minorHAnsi" w:cstheme="minorHAnsi"/>
          <w:color w:val="auto"/>
          <w:sz w:val="24"/>
          <w:szCs w:val="24"/>
          <w:lang w:val="en-GB"/>
        </w:rPr>
        <w:t xml:space="preserve">: </w:t>
      </w:r>
      <w:r w:rsidR="00552D00" w:rsidRPr="00DC2EDA">
        <w:rPr>
          <w:rFonts w:asciiTheme="minorHAnsi" w:eastAsiaTheme="minorHAnsi" w:hAnsiTheme="minorHAnsi" w:cstheme="minorHAnsi"/>
          <w:color w:val="auto"/>
          <w:sz w:val="24"/>
          <w:szCs w:val="24"/>
          <w:lang w:val="en-GB"/>
        </w:rPr>
        <w:t>Turquoise module pathway analysis</w:t>
      </w:r>
      <w:r w:rsidR="006853DF" w:rsidRPr="00DC2EDA">
        <w:rPr>
          <w:rFonts w:asciiTheme="minorHAnsi" w:eastAsiaTheme="minorHAnsi" w:hAnsiTheme="minorHAnsi" w:cstheme="minorHAnsi"/>
          <w:color w:val="auto"/>
          <w:sz w:val="24"/>
          <w:szCs w:val="24"/>
          <w:lang w:val="en-GB"/>
        </w:rPr>
        <w:br/>
      </w:r>
      <w:r>
        <w:rPr>
          <w:rFonts w:asciiTheme="minorHAnsi" w:eastAsiaTheme="minorHAnsi" w:hAnsiTheme="minorHAnsi" w:cstheme="minorHAnsi"/>
          <w:color w:val="auto"/>
          <w:sz w:val="24"/>
          <w:szCs w:val="24"/>
          <w:lang w:val="en-GB"/>
        </w:rPr>
        <w:t>Additional file</w:t>
      </w:r>
      <w:r w:rsidR="00552D00" w:rsidRPr="00DC2EDA">
        <w:rPr>
          <w:rFonts w:asciiTheme="minorHAnsi" w:eastAsiaTheme="minorHAnsi" w:hAnsiTheme="minorHAnsi" w:cstheme="minorHAnsi"/>
          <w:color w:val="auto"/>
          <w:sz w:val="24"/>
          <w:szCs w:val="24"/>
          <w:lang w:val="en-GB"/>
        </w:rPr>
        <w:t xml:space="preserve"> 2 sheet 6</w:t>
      </w:r>
      <w:r w:rsidR="00F71688" w:rsidRPr="00DC2EDA">
        <w:rPr>
          <w:rFonts w:asciiTheme="minorHAnsi" w:eastAsiaTheme="minorHAnsi" w:hAnsiTheme="minorHAnsi" w:cstheme="minorHAnsi"/>
          <w:color w:val="auto"/>
          <w:sz w:val="24"/>
          <w:szCs w:val="24"/>
          <w:lang w:val="en-GB"/>
        </w:rPr>
        <w:t xml:space="preserve">: </w:t>
      </w:r>
      <w:r w:rsidR="00552D00" w:rsidRPr="00DC2EDA">
        <w:rPr>
          <w:rFonts w:asciiTheme="minorHAnsi" w:eastAsiaTheme="minorHAnsi" w:hAnsiTheme="minorHAnsi" w:cstheme="minorHAnsi"/>
          <w:color w:val="auto"/>
          <w:sz w:val="24"/>
          <w:szCs w:val="24"/>
          <w:lang w:val="en-GB"/>
        </w:rPr>
        <w:t>Green module pathway analysis</w:t>
      </w:r>
      <w:r w:rsidR="006853DF" w:rsidRPr="00DC2EDA">
        <w:rPr>
          <w:rFonts w:asciiTheme="minorHAnsi" w:eastAsiaTheme="minorHAnsi" w:hAnsiTheme="minorHAnsi" w:cstheme="minorHAnsi"/>
          <w:color w:val="auto"/>
          <w:sz w:val="24"/>
          <w:szCs w:val="24"/>
          <w:lang w:val="en-GB"/>
        </w:rPr>
        <w:br/>
      </w:r>
      <w:r>
        <w:rPr>
          <w:rFonts w:asciiTheme="minorHAnsi" w:eastAsiaTheme="minorHAnsi" w:hAnsiTheme="minorHAnsi" w:cstheme="minorHAnsi"/>
          <w:color w:val="auto"/>
          <w:sz w:val="24"/>
          <w:szCs w:val="24"/>
          <w:lang w:val="en-GB"/>
        </w:rPr>
        <w:t>Additional file</w:t>
      </w:r>
      <w:r w:rsidR="00552D00" w:rsidRPr="00DC2EDA">
        <w:rPr>
          <w:rFonts w:asciiTheme="minorHAnsi" w:eastAsiaTheme="minorHAnsi" w:hAnsiTheme="minorHAnsi" w:cstheme="minorHAnsi"/>
          <w:color w:val="auto"/>
          <w:sz w:val="24"/>
          <w:szCs w:val="24"/>
          <w:lang w:val="en-GB"/>
        </w:rPr>
        <w:t xml:space="preserve"> 2 sheet 7</w:t>
      </w:r>
      <w:r w:rsidR="00F71688" w:rsidRPr="00DC2EDA">
        <w:rPr>
          <w:rFonts w:asciiTheme="minorHAnsi" w:eastAsiaTheme="minorHAnsi" w:hAnsiTheme="minorHAnsi" w:cstheme="minorHAnsi"/>
          <w:color w:val="auto"/>
          <w:sz w:val="24"/>
          <w:szCs w:val="24"/>
          <w:lang w:val="en-GB"/>
        </w:rPr>
        <w:t xml:space="preserve">: </w:t>
      </w:r>
      <w:r w:rsidR="00552D00" w:rsidRPr="00DC2EDA">
        <w:rPr>
          <w:rFonts w:asciiTheme="minorHAnsi" w:eastAsiaTheme="minorHAnsi" w:hAnsiTheme="minorHAnsi" w:cstheme="minorHAnsi"/>
          <w:color w:val="auto"/>
          <w:sz w:val="24"/>
          <w:szCs w:val="24"/>
          <w:lang w:val="en-GB"/>
        </w:rPr>
        <w:t>Brown module pathway analysis</w:t>
      </w:r>
      <w:r w:rsidR="006853DF" w:rsidRPr="00DC2EDA">
        <w:rPr>
          <w:rFonts w:asciiTheme="minorHAnsi" w:eastAsiaTheme="minorHAnsi" w:hAnsiTheme="minorHAnsi" w:cstheme="minorHAnsi"/>
          <w:color w:val="auto"/>
          <w:sz w:val="24"/>
          <w:szCs w:val="24"/>
          <w:lang w:val="en-GB"/>
        </w:rPr>
        <w:br/>
      </w:r>
      <w:r>
        <w:rPr>
          <w:rFonts w:asciiTheme="minorHAnsi" w:eastAsiaTheme="minorHAnsi" w:hAnsiTheme="minorHAnsi" w:cstheme="minorHAnsi"/>
          <w:color w:val="auto"/>
          <w:sz w:val="24"/>
          <w:szCs w:val="24"/>
          <w:lang w:val="en-GB"/>
        </w:rPr>
        <w:t>Additional file</w:t>
      </w:r>
      <w:r w:rsidR="00552D00" w:rsidRPr="00DC2EDA">
        <w:rPr>
          <w:rFonts w:asciiTheme="minorHAnsi" w:eastAsiaTheme="minorHAnsi" w:hAnsiTheme="minorHAnsi" w:cstheme="minorHAnsi"/>
          <w:color w:val="auto"/>
          <w:sz w:val="24"/>
          <w:szCs w:val="24"/>
          <w:lang w:val="en-GB"/>
        </w:rPr>
        <w:t xml:space="preserve"> 2 sheet 8</w:t>
      </w:r>
      <w:r w:rsidR="00F71688" w:rsidRPr="00DC2EDA">
        <w:rPr>
          <w:rFonts w:asciiTheme="minorHAnsi" w:eastAsiaTheme="minorHAnsi" w:hAnsiTheme="minorHAnsi" w:cstheme="minorHAnsi"/>
          <w:color w:val="auto"/>
          <w:sz w:val="24"/>
          <w:szCs w:val="24"/>
          <w:lang w:val="en-GB"/>
        </w:rPr>
        <w:t xml:space="preserve">: </w:t>
      </w:r>
      <w:r w:rsidR="00552D00" w:rsidRPr="00DC2EDA">
        <w:rPr>
          <w:rFonts w:asciiTheme="minorHAnsi" w:eastAsiaTheme="minorHAnsi" w:hAnsiTheme="minorHAnsi" w:cstheme="minorHAnsi"/>
          <w:color w:val="auto"/>
          <w:sz w:val="24"/>
          <w:szCs w:val="24"/>
          <w:lang w:val="en-GB"/>
        </w:rPr>
        <w:t>Pink module pathway analysis</w:t>
      </w:r>
    </w:p>
    <w:p w14:paraId="5699577E" w14:textId="5E4D49CB" w:rsidR="0096568F" w:rsidRPr="00F71688" w:rsidRDefault="004D725A" w:rsidP="00C2546F">
      <w:pPr>
        <w:pStyle w:val="Heading2"/>
        <w:numPr>
          <w:ilvl w:val="0"/>
          <w:numId w:val="2"/>
        </w:numPr>
        <w:rPr>
          <w:lang w:val="en-GB"/>
        </w:rPr>
      </w:pPr>
      <w:r w:rsidRPr="009110EE">
        <w:rPr>
          <w:lang w:val="en-GB"/>
        </w:rPr>
        <w:br w:type="page"/>
      </w:r>
      <w:bookmarkStart w:id="34" w:name="_Toc90890578"/>
      <w:bookmarkStart w:id="35" w:name="_Toc115709532"/>
      <w:r w:rsidR="00C2546F">
        <w:rPr>
          <w:lang w:val="en-GB"/>
        </w:rPr>
        <w:lastRenderedPageBreak/>
        <w:t>Additional m</w:t>
      </w:r>
      <w:r w:rsidR="0096568F" w:rsidRPr="00F71688">
        <w:rPr>
          <w:lang w:val="en-GB"/>
        </w:rPr>
        <w:t>ethods</w:t>
      </w:r>
      <w:bookmarkEnd w:id="34"/>
      <w:bookmarkEnd w:id="35"/>
      <w:r w:rsidR="0096568F" w:rsidRPr="00F71688">
        <w:rPr>
          <w:lang w:val="en-GB"/>
        </w:rPr>
        <w:t xml:space="preserve"> </w:t>
      </w:r>
    </w:p>
    <w:p w14:paraId="2BC2023B" w14:textId="5BC4A376" w:rsidR="007D5FE8" w:rsidRPr="000E44A6" w:rsidRDefault="007D5FE8" w:rsidP="00E97A75">
      <w:pPr>
        <w:pStyle w:val="Heading3"/>
        <w:numPr>
          <w:ilvl w:val="1"/>
          <w:numId w:val="2"/>
        </w:numPr>
        <w:spacing w:line="480" w:lineRule="auto"/>
        <w:ind w:right="-568"/>
        <w:rPr>
          <w:lang w:val="en-US"/>
        </w:rPr>
      </w:pPr>
      <w:bookmarkStart w:id="36" w:name="_Toc90890579"/>
      <w:bookmarkStart w:id="37" w:name="_Toc115709533"/>
      <w:r w:rsidRPr="000E44A6">
        <w:rPr>
          <w:lang w:val="en-US"/>
        </w:rPr>
        <w:t>Definitions of comorbidities</w:t>
      </w:r>
      <w:bookmarkEnd w:id="36"/>
      <w:r w:rsidR="00704D96" w:rsidRPr="000E44A6">
        <w:rPr>
          <w:lang w:val="en-US"/>
        </w:rPr>
        <w:t xml:space="preserve"> and outcomes</w:t>
      </w:r>
      <w:bookmarkEnd w:id="37"/>
    </w:p>
    <w:p w14:paraId="59D3E98B" w14:textId="2CACA6B4" w:rsidR="00704D96" w:rsidRPr="006F79A7" w:rsidRDefault="004D725A" w:rsidP="00704D96">
      <w:pPr>
        <w:spacing w:line="480" w:lineRule="auto"/>
        <w:rPr>
          <w:rFonts w:cs="Calibri"/>
          <w:sz w:val="24"/>
          <w:szCs w:val="24"/>
          <w:lang w:val="en-US"/>
        </w:rPr>
      </w:pPr>
      <w:r w:rsidRPr="006F79A7">
        <w:rPr>
          <w:sz w:val="24"/>
          <w:szCs w:val="24"/>
          <w:lang w:val="en-US"/>
        </w:rPr>
        <w:t>Cardiovascular insufficiency was defined as a medical history of congestive heart failure, chronic cardiovascular disease, peripheral vascular disease</w:t>
      </w:r>
      <w:r w:rsidR="00AC0692" w:rsidRPr="006F79A7">
        <w:rPr>
          <w:sz w:val="24"/>
          <w:szCs w:val="24"/>
          <w:lang w:val="en-US"/>
        </w:rPr>
        <w:t>,</w:t>
      </w:r>
      <w:r w:rsidR="003C57C2">
        <w:rPr>
          <w:sz w:val="24"/>
          <w:szCs w:val="24"/>
          <w:lang w:val="en-US"/>
        </w:rPr>
        <w:t xml:space="preserve"> or cerebrovascular disease. </w:t>
      </w:r>
      <w:r w:rsidRPr="006F79A7">
        <w:rPr>
          <w:sz w:val="24"/>
          <w:szCs w:val="24"/>
          <w:lang w:val="en-US"/>
        </w:rPr>
        <w:t xml:space="preserve">Malignancy was defined as a medical history of either </w:t>
      </w:r>
      <w:r w:rsidR="00E122EB" w:rsidRPr="006F79A7">
        <w:rPr>
          <w:sz w:val="24"/>
          <w:szCs w:val="24"/>
          <w:lang w:val="en-US"/>
        </w:rPr>
        <w:t xml:space="preserve">a </w:t>
      </w:r>
      <w:r w:rsidRPr="006F79A7">
        <w:rPr>
          <w:sz w:val="24"/>
          <w:szCs w:val="24"/>
          <w:lang w:val="en-US"/>
        </w:rPr>
        <w:t>non-metastatic solid tumor, metastatic malignancy</w:t>
      </w:r>
      <w:r w:rsidR="00AC0692" w:rsidRPr="006F79A7">
        <w:rPr>
          <w:sz w:val="24"/>
          <w:szCs w:val="24"/>
          <w:lang w:val="en-US"/>
        </w:rPr>
        <w:t>,</w:t>
      </w:r>
      <w:r w:rsidRPr="006F79A7">
        <w:rPr>
          <w:sz w:val="24"/>
          <w:szCs w:val="24"/>
          <w:lang w:val="en-US"/>
        </w:rPr>
        <w:t xml:space="preserve"> or hematologic malignancy. Immunocompromised was defined as a medical history of either an immune deficiency, </w:t>
      </w:r>
      <w:r w:rsidR="00A42B1A" w:rsidRPr="006F79A7">
        <w:rPr>
          <w:sz w:val="24"/>
          <w:szCs w:val="24"/>
          <w:lang w:val="en-US"/>
        </w:rPr>
        <w:t>AIDS</w:t>
      </w:r>
      <w:r w:rsidRPr="006F79A7">
        <w:rPr>
          <w:sz w:val="24"/>
          <w:szCs w:val="24"/>
          <w:lang w:val="en-US"/>
        </w:rPr>
        <w:t>, HIV positivity, chronic use of corticosteroids</w:t>
      </w:r>
      <w:r w:rsidR="00AC0692" w:rsidRPr="006F79A7">
        <w:rPr>
          <w:sz w:val="24"/>
          <w:szCs w:val="24"/>
          <w:lang w:val="en-US"/>
        </w:rPr>
        <w:t>,</w:t>
      </w:r>
      <w:r w:rsidRPr="006F79A7">
        <w:rPr>
          <w:sz w:val="24"/>
          <w:szCs w:val="24"/>
          <w:lang w:val="en-US"/>
        </w:rPr>
        <w:t xml:space="preserve"> or recent chemotherapy. Renal insufficiency was defined as a history of chronic renal insuff</w:t>
      </w:r>
      <w:r w:rsidR="00AC0692" w:rsidRPr="006F79A7">
        <w:rPr>
          <w:sz w:val="24"/>
          <w:szCs w:val="24"/>
          <w:lang w:val="en-US"/>
        </w:rPr>
        <w:t xml:space="preserve">iciency, </w:t>
      </w:r>
      <w:r w:rsidRPr="006F79A7">
        <w:rPr>
          <w:sz w:val="24"/>
          <w:szCs w:val="24"/>
          <w:lang w:val="en-US"/>
        </w:rPr>
        <w:t>chronic intermitted hemodialysis</w:t>
      </w:r>
      <w:r w:rsidR="00AC0692" w:rsidRPr="006F79A7">
        <w:rPr>
          <w:sz w:val="24"/>
          <w:szCs w:val="24"/>
          <w:lang w:val="en-US"/>
        </w:rPr>
        <w:t>,</w:t>
      </w:r>
      <w:r w:rsidRPr="006F79A7">
        <w:rPr>
          <w:sz w:val="24"/>
          <w:szCs w:val="24"/>
          <w:lang w:val="en-US"/>
        </w:rPr>
        <w:t xml:space="preserve"> or continuous ambulatory peritoneal dialysis. The </w:t>
      </w:r>
      <w:proofErr w:type="spellStart"/>
      <w:r w:rsidRPr="006F79A7">
        <w:rPr>
          <w:sz w:val="24"/>
          <w:szCs w:val="24"/>
          <w:lang w:val="en-US"/>
        </w:rPr>
        <w:t>Charlson</w:t>
      </w:r>
      <w:proofErr w:type="spellEnd"/>
      <w:r w:rsidRPr="006F79A7">
        <w:rPr>
          <w:sz w:val="24"/>
          <w:szCs w:val="24"/>
          <w:lang w:val="en-US"/>
        </w:rPr>
        <w:t xml:space="preserve"> comorbidity index was determined </w:t>
      </w:r>
      <w:r w:rsidR="007F39E7">
        <w:rPr>
          <w:sz w:val="24"/>
          <w:szCs w:val="24"/>
          <w:lang w:val="en-US"/>
        </w:rPr>
        <w:t>without the use of age</w:t>
      </w:r>
      <w:r w:rsidR="000957F4" w:rsidRPr="006F79A7">
        <w:rPr>
          <w:sz w:val="24"/>
          <w:szCs w:val="24"/>
          <w:lang w:val="en-US"/>
        </w:rPr>
        <w:t xml:space="preserve"> </w:t>
      </w:r>
      <w:r w:rsidRPr="006F79A7">
        <w:rPr>
          <w:sz w:val="24"/>
          <w:szCs w:val="24"/>
          <w:lang w:val="en-US"/>
        </w:rPr>
        <w:fldChar w:fldCharType="begin" w:fldLock="1"/>
      </w:r>
      <w:r w:rsidR="006A4CA2">
        <w:rPr>
          <w:sz w:val="24"/>
          <w:szCs w:val="24"/>
          <w:lang w:val="en-US"/>
        </w:rPr>
        <w:instrText>ADDIN CSL_CITATION {"citationItems":[{"id":"ITEM-1","itemData":{"DOI":"10.1016/0021-9681(87)90171-8","ISSN":"0021-9681 (Print)","PMID":"3558716","abstract":"The objective of this study was to develop a prospectively applicable method for  classifying comorbid conditions which might alter the risk of mortality for use in longitudinal studies. A weighted index that takes into account the number and the seriousness of comorbid disease was developed in a cohort of 559 medical patients. The 1-yr mortality rates for the different scores were: \"0\", 12% (181); \"1-2\", 26% (225); \"3-4\", 52% (71); and \"greater than or equal to 5\", 85% (82). The index was tested for its ability to predict risk of death from comorbid disease in the second cohort of 685 patients during a 10-yr follow-up. The percent of patients who died of comorbid disease for the different scores were: \"0\", 8% (588); \"1\", 25% (54); \"2\", 48% (25); \"greater than or equal to 3\", 59% (18). With each increased level of the comorbidity index, there were stepwise increases in the cumulative mortality attributable to comorbid disease (log rank chi 2 = 165; p less than 0.0001). In this longer follow-up, age was also a predictor of mortality (p less than 0.001). The new index performed similarly to a previous system devised by Kaplan and Feinstein. The method of classifying comorbidity provides a simple, readily applicable and valid method of estimating risk of death from comorbid disease for use in longitudinal studies. Further work in larger populations is still required to refine the approach because the number of patients with any given condition in this study was relatively small.","author":[{"dropping-particle":"","family":"Charlson","given":"M E","non-dropping-particle":"","parse-names":false,"suffix":""},{"dropping-particle":"","family":"Pompei","given":"P","non-dropping-particle":"","parse-names":false,"suffix":""},{"dropping-particle":"","family":"Ales","given":"K L","non-dropping-particle":"","parse-names":false,"suffix":""},{"dropping-particle":"","family":"MacKenzie","given":"C R","non-dropping-particle":"","parse-names":false,"suffix":""}],"container-title":"Journal of chronic diseases","id":"ITEM-1","issue":"5","issued":{"date-parts":[["1987"]]},"language":"eng","page":"373-383","publisher-place":"England","title":"A new method of classifying prognostic comorbidity in longitudinal studies:  development and validation.","type":"article-journal","volume":"40"},"uris":["http://www.mendeley.com/documents/?uuid=9e9cf6ab-55ec-4aad-8867-ae07aab1b962"]}],"mendeley":{"formattedCitation":"[1]","plainTextFormattedCitation":"[1]","previouslyFormattedCitation":"[1]"},"properties":{"noteIndex":0},"schema":"https://github.com/citation-style-language/schema/raw/master/csl-citation.json"}</w:instrText>
      </w:r>
      <w:r w:rsidRPr="006F79A7">
        <w:rPr>
          <w:sz w:val="24"/>
          <w:szCs w:val="24"/>
          <w:lang w:val="en-US"/>
        </w:rPr>
        <w:fldChar w:fldCharType="separate"/>
      </w:r>
      <w:r w:rsidR="005A3634" w:rsidRPr="005A3634">
        <w:rPr>
          <w:noProof/>
          <w:sz w:val="24"/>
          <w:szCs w:val="24"/>
          <w:lang w:val="en-US"/>
        </w:rPr>
        <w:t>[1]</w:t>
      </w:r>
      <w:r w:rsidRPr="006F79A7">
        <w:rPr>
          <w:sz w:val="24"/>
          <w:szCs w:val="24"/>
          <w:lang w:val="en-US"/>
        </w:rPr>
        <w:fldChar w:fldCharType="end"/>
      </w:r>
      <w:r w:rsidR="007F39E7">
        <w:rPr>
          <w:sz w:val="24"/>
          <w:szCs w:val="24"/>
          <w:lang w:val="en-US"/>
        </w:rPr>
        <w:t>.</w:t>
      </w:r>
      <w:r w:rsidR="00704D96" w:rsidRPr="006F79A7">
        <w:rPr>
          <w:sz w:val="24"/>
          <w:szCs w:val="24"/>
          <w:lang w:val="en-US"/>
        </w:rPr>
        <w:t xml:space="preserve"> </w:t>
      </w:r>
      <w:r w:rsidR="00704D96" w:rsidRPr="006F79A7">
        <w:rPr>
          <w:sz w:val="24"/>
          <w:szCs w:val="24"/>
          <w:lang w:val="en-GB"/>
        </w:rPr>
        <w:t xml:space="preserve">Septic shock was defined as the use of &gt;0.1µg/kg/min norepinephrine during at least 50% of the ICU day due to hypotension. The causative pathogen was determined based on all available microbiology results. </w:t>
      </w:r>
      <w:r w:rsidR="00704D96" w:rsidRPr="006F79A7">
        <w:rPr>
          <w:rFonts w:cs="Calibri"/>
          <w:sz w:val="24"/>
          <w:szCs w:val="24"/>
          <w:lang w:val="en-US"/>
        </w:rPr>
        <w:t>Acute kidney injury and acute respiratory distress syndrome were defined using strict pre-set criteria</w:t>
      </w:r>
      <w:r w:rsidR="007F39E7">
        <w:rPr>
          <w:rFonts w:cs="Calibri"/>
          <w:sz w:val="24"/>
          <w:szCs w:val="24"/>
          <w:lang w:val="en-GB"/>
        </w:rPr>
        <w:t xml:space="preserve"> </w:t>
      </w:r>
      <w:r w:rsidR="00704D96" w:rsidRPr="006F79A7">
        <w:rPr>
          <w:rFonts w:cs="Calibri"/>
          <w:sz w:val="24"/>
          <w:szCs w:val="24"/>
          <w:lang w:val="en-US"/>
        </w:rPr>
        <w:fldChar w:fldCharType="begin" w:fldLock="1"/>
      </w:r>
      <w:r w:rsidR="006A4CA2">
        <w:rPr>
          <w:rFonts w:cs="Calibri"/>
          <w:sz w:val="24"/>
          <w:szCs w:val="24"/>
          <w:lang w:val="en-US"/>
        </w:rPr>
        <w:instrText>ADDIN CSL_CITATION {"citationItems":[{"id":"ITEM-1","itemData":{"DOI":"10.1186/cc2872","ISSN":"1466-609X (Electronic)","PMID":"15312219","abstract":"INTRODUCTION: There is no consensus definition of acute renal failure (ARF) in  critically ill patients. More than 30 different definitions have been used in the literature, creating much confusion and making comparisons difficult. Similarly, strong debate exists on the validity and clinical relevance of animal models of ARF; on choices of fluid management and of end-points for trials of new interventions in this field; and on how information technology can be used to assist this process. Accordingly, we sought to review the available evidence, make recommendations and delineate key questions for future studies. METHODS: We undertook a systematic review of the literature using Medline and PubMed searches. We determined a list of key questions and convened a 2-day consensus conference to develop summary statements via a series of alternating breakout and plenary sessions. In these sessions, we identified supporting evidence and generated recommendations and/or directions for future research. RESULTS: We found sufficient consensus on 47 questions to allow the development of recommendations. Importantly, we were able to develop a consensus definition for ARF. In some cases it was also possible to issue useful consensus recommendations for future investigations. We present a summary of the findings. (Full versions of the six workgroups' findings are available on the internet at http://www.ADQI.net) CONCLUSION: Despite limited data, broad areas of consensus exist for the physiological and clinical principles needed to guide the development of consensus recommendations for defining ARF, selection of animal models, methods of monitoring fluid therapy, choice of physiological and clinical end-points for trials, and the possible role of information technology.","author":[{"dropping-particle":"","family":"Bellomo","given":"Rinaldo","non-dropping-particle":"","parse-names":false,"suffix":""},{"dropping-particle":"","family":"Ronco","given":"Claudio","non-dropping-particle":"","parse-names":false,"suffix":""},{"dropping-particle":"","family":"Kellum","given":"John A","non-dropping-particle":"","parse-names":false,"suffix":""},{"dropping-particle":"","family":"Mehta","given":"Ravindra L","non-dropping-particle":"","parse-names":false,"suffix":""},{"dropping-particle":"","family":"Palevsky","given":"Paul","non-dropping-particle":"","parse-names":false,"suffix":""}],"container-title":"Critical care (London, England)","id":"ITEM-1","issue":"4","issued":{"date-parts":[["2004","8"]]},"language":"eng","page":"R204-12","title":"Acute renal failure - definition, outcome measures, animal models, fluid therapy and  information technology needs: the Second International Consensus Conference of the Acute Dialysis Quality Initiative (ADQI) Group.","type":"article-journal","volume":"8"},"uris":["http://www.mendeley.com/documents/?uuid=82d40a20-6a84-4b33-9091-0f6b9e857278"]},{"id":"ITEM-2","itemData":{"DOI":"10.1164/ajrccm.149.3.7509706","ISSN":"1073-449X","abstract":"The acute respiratory distress syndrome (ARDS), a process of nonhydrostatic pulmonary edema and hypoxemia associated with a variety of etiologies, carries a high morbidity, mortality (10 to 90%), and financial cost. The reported annual incidence in the United States is 150,000 cases, but this figure has been challenged, and it may be different in Europe. Part of the reason for these uncertainties are the heterogeneity of diseases underlying ARDS and the lack of uniform definitions for ARDS. Thus, those who wish to know the true incidence and outcome of this clinical syndrome are stymied. The American-European Consensus Committee on ARDS was formed to focus on these issues and on the pathophysiologic mechanisms of the process. It was felt that international coordination between North America and Europe in clinical studies of ARDS was becoming increasingly important in order to address the recent plethora of potential therapeutic agents for the prevention and treatment of ARDS.","author":[{"dropping-particle":"","family":"Bernard","given":"G R","non-dropping-particle":"","parse-names":false,"suffix":""},{"dropping-particle":"","family":"Artigas","given":"A","non-dropping-particle":"","parse-names":false,"suffix":""},{"dropping-particle":"","family":"Brigham","given":"K L","non-dropping-particle":"","parse-names":false,"suffix":""},{"dropping-particle":"","family":"Carlet","given":"J","non-dropping-particle":"","parse-names":false,"suffix":""},{"dropping-particle":"","family":"Falke","given":"K","non-dropping-particle":"","parse-names":false,"suffix":""},{"dropping-particle":"","family":"Hudson","given":"L","non-dropping-particle":"","parse-names":false,"suffix":""},{"dropping-particle":"","family":"Lamy","given":"M","non-dropping-particle":"","parse-names":false,"suffix":""},{"dropping-particle":"","family":"Legall","given":"J R","non-dropping-particle":"","parse-names":false,"suffix":""},{"dropping-particle":"","family":"Morris","given":"A","non-dropping-particle":"","parse-names":false,"suffix":""},{"dropping-particle":"","family":"Spragg","given":"R","non-dropping-particle":"","parse-names":false,"suffix":""}],"container-title":"American Journal of Respiratory and Critical Care Medicine","id":"ITEM-2","issue":"3","issued":{"date-parts":[["1994","3","1"]]},"note":"doi: 10.1164/ajrccm.149.3.7509706","page":"818-824","publisher":"American Thoracic Society - AJRCCM","title":"The American-European Consensus Conference on ARDS. Definitions, mechanisms, relevant outcomes, and clinical trial coordination.","type":"article-journal","volume":"149"},"uris":["http://www.mendeley.com/documents/?uuid=a542db38-0afe-4270-9cba-497897e22724"]}],"mendeley":{"formattedCitation":"[2,3]","plainTextFormattedCitation":"[2,3]","previouslyFormattedCitation":"[2,3]"},"properties":{"noteIndex":0},"schema":"https://github.com/citation-style-language/schema/raw/master/csl-citation.json"}</w:instrText>
      </w:r>
      <w:r w:rsidR="00704D96" w:rsidRPr="006F79A7">
        <w:rPr>
          <w:rFonts w:cs="Calibri"/>
          <w:sz w:val="24"/>
          <w:szCs w:val="24"/>
          <w:lang w:val="en-US"/>
        </w:rPr>
        <w:fldChar w:fldCharType="separate"/>
      </w:r>
      <w:r w:rsidR="005A3634" w:rsidRPr="005A3634">
        <w:rPr>
          <w:rFonts w:cs="Calibri"/>
          <w:noProof/>
          <w:sz w:val="24"/>
          <w:szCs w:val="24"/>
          <w:lang w:val="en-US"/>
        </w:rPr>
        <w:t>[2,3]</w:t>
      </w:r>
      <w:r w:rsidR="00704D96" w:rsidRPr="006F79A7">
        <w:rPr>
          <w:rFonts w:cs="Calibri"/>
          <w:sz w:val="24"/>
          <w:szCs w:val="24"/>
          <w:lang w:val="en-US"/>
        </w:rPr>
        <w:fldChar w:fldCharType="end"/>
      </w:r>
      <w:r w:rsidR="007F39E7">
        <w:rPr>
          <w:rFonts w:cs="Calibri"/>
          <w:sz w:val="24"/>
          <w:szCs w:val="24"/>
          <w:lang w:val="en-US"/>
        </w:rPr>
        <w:t>.</w:t>
      </w:r>
      <w:r w:rsidR="00704D96" w:rsidRPr="006F79A7">
        <w:rPr>
          <w:rFonts w:cs="Calibri"/>
          <w:sz w:val="24"/>
          <w:szCs w:val="24"/>
          <w:lang w:val="en-US"/>
        </w:rPr>
        <w:t xml:space="preserve"> Complications that started two days or more after ICU admission were defined as ICU-acquired. Length of hospital stay was calculated starting from ICU admission. </w:t>
      </w:r>
    </w:p>
    <w:p w14:paraId="5B99EB5B" w14:textId="5678F35A" w:rsidR="007D5FE8" w:rsidRPr="006F79A7" w:rsidRDefault="007D5FE8" w:rsidP="00E97A75">
      <w:pPr>
        <w:spacing w:line="480" w:lineRule="auto"/>
        <w:ind w:right="-568"/>
        <w:rPr>
          <w:sz w:val="24"/>
          <w:szCs w:val="24"/>
          <w:lang w:val="en-US"/>
        </w:rPr>
      </w:pPr>
    </w:p>
    <w:p w14:paraId="791CA480" w14:textId="3ACCB95F" w:rsidR="007D5FE8" w:rsidRPr="000E44A6" w:rsidRDefault="00C2546F" w:rsidP="00E97A75">
      <w:pPr>
        <w:pStyle w:val="Heading3"/>
        <w:spacing w:line="480" w:lineRule="auto"/>
        <w:ind w:right="-568"/>
        <w:rPr>
          <w:lang w:val="en-US"/>
        </w:rPr>
      </w:pPr>
      <w:bookmarkStart w:id="38" w:name="_Toc90890580"/>
      <w:bookmarkStart w:id="39" w:name="_Toc115709534"/>
      <w:r>
        <w:rPr>
          <w:lang w:val="en-US"/>
        </w:rPr>
        <w:t>1</w:t>
      </w:r>
      <w:r w:rsidR="004D725A" w:rsidRPr="000E44A6">
        <w:rPr>
          <w:lang w:val="en-US"/>
        </w:rPr>
        <w:t xml:space="preserve">.2 </w:t>
      </w:r>
      <w:r w:rsidR="007D5FE8" w:rsidRPr="000E44A6">
        <w:rPr>
          <w:lang w:val="en-US"/>
        </w:rPr>
        <w:t>Assays</w:t>
      </w:r>
      <w:bookmarkEnd w:id="38"/>
      <w:bookmarkEnd w:id="39"/>
      <w:r w:rsidR="007D5FE8" w:rsidRPr="000E44A6">
        <w:rPr>
          <w:lang w:val="en-US"/>
        </w:rPr>
        <w:t xml:space="preserve"> </w:t>
      </w:r>
    </w:p>
    <w:p w14:paraId="002A7AFC" w14:textId="78C3C7EF" w:rsidR="004D725A" w:rsidRPr="009110EE" w:rsidRDefault="00013BD9" w:rsidP="00E97A75">
      <w:pPr>
        <w:spacing w:after="200" w:line="480" w:lineRule="auto"/>
        <w:ind w:right="-568"/>
        <w:rPr>
          <w:sz w:val="24"/>
          <w:szCs w:val="24"/>
          <w:lang w:val="en-GB"/>
        </w:rPr>
      </w:pPr>
      <w:r w:rsidRPr="006F79A7">
        <w:rPr>
          <w:sz w:val="24"/>
          <w:szCs w:val="24"/>
          <w:lang w:val="en-GB"/>
        </w:rPr>
        <w:t>All biomarker measurements were done in EDTA anti-coagulated plasma obtained within 16 hours after ICU admission. Biomarker measurements were limited to sepsis patients with an infection likelihood of definite or probable, defined as described in detail previously</w:t>
      </w:r>
      <w:r w:rsidR="003912E2">
        <w:rPr>
          <w:sz w:val="24"/>
          <w:szCs w:val="24"/>
          <w:lang w:val="en-GB"/>
        </w:rPr>
        <w:t xml:space="preserve"> </w:t>
      </w:r>
      <w:r w:rsidR="003912E2" w:rsidRPr="006F79A7">
        <w:rPr>
          <w:sz w:val="24"/>
          <w:szCs w:val="24"/>
          <w:lang w:val="en-GB"/>
        </w:rPr>
        <w:fldChar w:fldCharType="begin" w:fldLock="1"/>
      </w:r>
      <w:r w:rsidR="006A4CA2">
        <w:rPr>
          <w:sz w:val="24"/>
          <w:szCs w:val="24"/>
          <w:lang w:val="en-GB"/>
        </w:rPr>
        <w:instrText>ADDIN CSL_CITATION {"citationItems":[{"id":"ITEM-1","itemData":{"DOI":"10.1097/CCM.0b013e3182923712","ISSN":"1530-0293 (Electronic)","PMID":"23921277","abstract":"OBJECTIVES: Correct classification of the source of infection is important in  observational and interventional studies of sepsis. Centers for Disease Control and Prevention criteria are most commonly used for this purpose, but the robustness of these definitions in critically ill patients is not known. We hypothesized that in a mixed ICU population, the performance of these criteria would be generally reduced and would vary among diagnostic subgroups. DESIGN: Prospective cohort. SETTING: Data were collected as part of a cohort of 1,214 critically ill patients admitted to two hospitals in The Netherlands between January 2011 and June 2011. PATIENTS: Eight observers assessed a random sample of 168 of 554 patients who had experienced at least one infectious episode in the ICU. Each patient was assessed by two randomly selected observers who independently scored the source of infection (by affected organ system or site), the plausibility of infection (rated as none, possible, probable, or definite), and the most likely causative pathogen. Assessments were based on a post hoc review of all available clinical, radiological, and microbiological evidence. The observed diagnostic agreement for source of infection was classified as partial (i.e., matching on organ system or site) or complete (i.e., matching on specific diagnostic terms), for plausibility as partial (2-point scale) or complete (4-point scale), and for causative pathogens as an approximate or exact pathogen match. Interobserver agreement was expressed as a concordant percentage and as a kappa statistic. INTERVENTIONS: None. MEASUREMENTS AND MAIN RESULTS: A total of 206 infectious episodes were observed. Agreement regarding the source of infection was 89% (183/206) and 69% (142/206) for a partial and complete diagnostic match, respectively. This resulted in a kappa of 0.85 (95% CI, 0.79-0.90). Agreement varied from 63% to 91% within major diagnostic categories and from 35% to 97% within specific diagnostic subgroups, with the lowest concordance observed in cases of ventilator-associated pneumonia. In the 142 episodes for which a complete match on source of infection was obtained, the interobserver agreement for plausibility of infection was 83% and 65% on a 2- and 4-point scale, respectively. For causative pathogen, agreement was 78% and 70% for an approximate and exact pathogen match, respectively. CONCLUSIONS: Interobserver agreement for classifying sources of infection using Centers for Disease …","author":[{"dropping-particle":"","family":"Klein Klouwenberg","given":"Peter M C","non-dropping-particle":"","parse-names":false,"suffix":""},{"dropping-particle":"","family":"Ong","given":"David S Y","non-dropping-particle":"","parse-names":false,"suffix":""},{"dropping-particle":"","family":"Bos","given":"Lieuwe D J","non-dropping-particle":"","parse-names":false,"suffix":""},{"dropping-particle":"","family":"Beer","given":"Friso M","non-dropping-particle":"de","parse-names":false,"suffix":""},{"dropping-particle":"","family":"Hooijdonk","given":"Roosmarijn T M","non-dropping-particle":"van","parse-names":false,"suffix":""},{"dropping-particle":"","family":"Huson","given":"Mischa A","non-dropping-particle":"","parse-names":false,"suffix":""},{"dropping-particle":"","family":"Straat","given":"Marleen","non-dropping-particle":"","parse-names":false,"suffix":""},{"dropping-particle":"","family":"Vught","given":"Lonneke A","non-dropping-particle":"van","parse-names":false,"suffix":""},{"dropping-particle":"","family":"Wieske","given":"Luuk","non-dropping-particle":"","parse-names":false,"suffix":""},{"dropping-particle":"","family":"Horn","given":"Janneke","non-dropping-particle":"","parse-names":false,"suffix":""},{"dropping-particle":"","family":"Schultz","given":"Marcus J","non-dropping-particle":"","parse-names":false,"suffix":""},{"dropping-particle":"","family":"Poll","given":"Tom","non-dropping-particle":"van der","parse-names":false,"suffix":""},{"dropping-particle":"","family":"Bonten","given":"Marc J M","non-dropping-particle":"","parse-names":false,"suffix":""},{"dropping-particle":"","family":"Cremer","given":"Olaf L","non-dropping-particle":"","parse-names":false,"suffix":""}],"container-title":"Critical care medicine","id":"ITEM-1","issue":"10","issued":{"date-parts":[["2013","10"]]},"language":"eng","page":"2373-2378","publisher-place":"United States","title":"Interobserver agreement of Centers for Disease Control and Prevention criteria for  classifying infections in critically ill patients.","type":"article-journal","volume":"41"},"uris":["http://www.mendeley.com/documents/?uuid=69b357c3-7ddf-4cb1-a7c6-31dd87309c8e"]}],"mendeley":{"formattedCitation":"[4]","plainTextFormattedCitation":"[4]","previouslyFormattedCitation":"[4]"},"properties":{"noteIndex":0},"schema":"https://github.com/citation-style-language/schema/raw/master/csl-citation.json"}</w:instrText>
      </w:r>
      <w:r w:rsidR="003912E2" w:rsidRPr="006F79A7">
        <w:rPr>
          <w:sz w:val="24"/>
          <w:szCs w:val="24"/>
          <w:lang w:val="en-GB"/>
        </w:rPr>
        <w:fldChar w:fldCharType="separate"/>
      </w:r>
      <w:r w:rsidR="005A3634" w:rsidRPr="005A3634">
        <w:rPr>
          <w:noProof/>
          <w:sz w:val="24"/>
          <w:szCs w:val="24"/>
          <w:lang w:val="en-GB"/>
        </w:rPr>
        <w:t>[4]</w:t>
      </w:r>
      <w:r w:rsidR="003912E2" w:rsidRPr="006F79A7">
        <w:rPr>
          <w:sz w:val="24"/>
          <w:szCs w:val="24"/>
          <w:lang w:val="en-GB"/>
        </w:rPr>
        <w:fldChar w:fldCharType="end"/>
      </w:r>
      <w:r w:rsidRPr="006F79A7">
        <w:rPr>
          <w:sz w:val="24"/>
          <w:szCs w:val="24"/>
          <w:lang w:val="en-GB"/>
        </w:rPr>
        <w:t>, enrolled during the firs</w:t>
      </w:r>
      <w:r w:rsidR="007F39E7">
        <w:rPr>
          <w:sz w:val="24"/>
          <w:szCs w:val="24"/>
          <w:lang w:val="en-GB"/>
        </w:rPr>
        <w:t>t 2.5 years of the MARS project.</w:t>
      </w:r>
      <w:r w:rsidRPr="006F79A7">
        <w:rPr>
          <w:sz w:val="24"/>
          <w:szCs w:val="24"/>
          <w:lang w:val="en-GB"/>
        </w:rPr>
        <w:t xml:space="preserve"> </w:t>
      </w:r>
      <w:r w:rsidR="004D725A" w:rsidRPr="006F79A7">
        <w:rPr>
          <w:sz w:val="24"/>
          <w:szCs w:val="24"/>
          <w:lang w:val="en-GB"/>
        </w:rPr>
        <w:t>I</w:t>
      </w:r>
      <w:r w:rsidR="00296C5C" w:rsidRPr="006F79A7">
        <w:rPr>
          <w:sz w:val="24"/>
          <w:szCs w:val="24"/>
          <w:lang w:val="en-GB"/>
        </w:rPr>
        <w:t>nterleukin</w:t>
      </w:r>
      <w:r w:rsidR="004D725A" w:rsidRPr="006F79A7">
        <w:rPr>
          <w:sz w:val="24"/>
          <w:szCs w:val="24"/>
          <w:lang w:val="en-GB"/>
        </w:rPr>
        <w:t>-</w:t>
      </w:r>
      <w:r w:rsidR="00296C5C" w:rsidRPr="006F79A7">
        <w:rPr>
          <w:sz w:val="24"/>
          <w:szCs w:val="24"/>
          <w:lang w:val="en-GB"/>
        </w:rPr>
        <w:t>6, interleukin-8, interleukin-</w:t>
      </w:r>
      <w:r w:rsidR="004D725A" w:rsidRPr="006F79A7">
        <w:rPr>
          <w:sz w:val="24"/>
          <w:szCs w:val="24"/>
          <w:lang w:val="en-GB"/>
        </w:rPr>
        <w:t xml:space="preserve">10, </w:t>
      </w:r>
      <w:r w:rsidR="00E122EB" w:rsidRPr="006F79A7">
        <w:rPr>
          <w:sz w:val="24"/>
          <w:szCs w:val="24"/>
          <w:lang w:val="en-GB"/>
        </w:rPr>
        <w:t>s</w:t>
      </w:r>
      <w:r w:rsidR="00296C5C" w:rsidRPr="006F79A7">
        <w:rPr>
          <w:sz w:val="24"/>
          <w:szCs w:val="24"/>
          <w:lang w:val="en-GB"/>
        </w:rPr>
        <w:t xml:space="preserve">oluble </w:t>
      </w:r>
      <w:r w:rsidR="00E122EB" w:rsidRPr="006F79A7">
        <w:rPr>
          <w:sz w:val="24"/>
          <w:szCs w:val="24"/>
          <w:lang w:val="en-GB"/>
        </w:rPr>
        <w:t>Intercellular adhesion m</w:t>
      </w:r>
      <w:r w:rsidR="00296C5C" w:rsidRPr="006F79A7">
        <w:rPr>
          <w:sz w:val="24"/>
          <w:szCs w:val="24"/>
          <w:lang w:val="en-GB"/>
        </w:rPr>
        <w:t>olecule-1</w:t>
      </w:r>
      <w:r w:rsidR="004D725A" w:rsidRPr="006F79A7">
        <w:rPr>
          <w:sz w:val="24"/>
          <w:szCs w:val="24"/>
          <w:lang w:val="en-GB"/>
        </w:rPr>
        <w:t xml:space="preserve">, soluble E-selectin, and </w:t>
      </w:r>
      <w:proofErr w:type="spellStart"/>
      <w:r w:rsidR="004D725A" w:rsidRPr="006F79A7">
        <w:rPr>
          <w:sz w:val="24"/>
          <w:szCs w:val="24"/>
          <w:lang w:val="en-GB"/>
        </w:rPr>
        <w:t>fractalkine</w:t>
      </w:r>
      <w:proofErr w:type="spellEnd"/>
      <w:r w:rsidR="004D725A" w:rsidRPr="006F79A7">
        <w:rPr>
          <w:sz w:val="24"/>
          <w:szCs w:val="24"/>
          <w:lang w:val="en-GB"/>
        </w:rPr>
        <w:t xml:space="preserve"> were measured by </w:t>
      </w:r>
      <w:proofErr w:type="spellStart"/>
      <w:r w:rsidR="004D725A" w:rsidRPr="006F79A7">
        <w:rPr>
          <w:sz w:val="24"/>
          <w:szCs w:val="24"/>
          <w:lang w:val="en-GB"/>
        </w:rPr>
        <w:t>FlexSet</w:t>
      </w:r>
      <w:proofErr w:type="spellEnd"/>
      <w:r w:rsidR="004D725A" w:rsidRPr="006F79A7">
        <w:rPr>
          <w:sz w:val="24"/>
          <w:szCs w:val="24"/>
          <w:lang w:val="en-GB"/>
        </w:rPr>
        <w:t xml:space="preserve"> </w:t>
      </w:r>
      <w:proofErr w:type="spellStart"/>
      <w:r w:rsidR="004D725A" w:rsidRPr="006F79A7">
        <w:rPr>
          <w:sz w:val="24"/>
          <w:szCs w:val="24"/>
          <w:lang w:val="en-GB"/>
        </w:rPr>
        <w:lastRenderedPageBreak/>
        <w:t>cytometric</w:t>
      </w:r>
      <w:proofErr w:type="spellEnd"/>
      <w:r w:rsidR="004D725A" w:rsidRPr="006F79A7">
        <w:rPr>
          <w:sz w:val="24"/>
          <w:szCs w:val="24"/>
          <w:lang w:val="en-GB"/>
        </w:rPr>
        <w:t xml:space="preserve"> bead array (BD Biosciences, San Jose, CA) using FACS </w:t>
      </w:r>
      <w:proofErr w:type="spellStart"/>
      <w:r w:rsidR="004D725A" w:rsidRPr="006F79A7">
        <w:rPr>
          <w:sz w:val="24"/>
          <w:szCs w:val="24"/>
          <w:lang w:val="en-GB"/>
        </w:rPr>
        <w:t>Calibur</w:t>
      </w:r>
      <w:proofErr w:type="spellEnd"/>
      <w:r w:rsidR="004D725A" w:rsidRPr="006F79A7">
        <w:rPr>
          <w:sz w:val="24"/>
          <w:szCs w:val="24"/>
          <w:lang w:val="en-GB"/>
        </w:rPr>
        <w:t xml:space="preserve"> (Becton Dickenson, Franklin Lakes, NJ). Protein C, </w:t>
      </w:r>
      <w:proofErr w:type="spellStart"/>
      <w:r w:rsidR="004D725A" w:rsidRPr="006F79A7">
        <w:rPr>
          <w:sz w:val="24"/>
          <w:szCs w:val="24"/>
          <w:lang w:val="en-GB"/>
        </w:rPr>
        <w:t>antithrombin</w:t>
      </w:r>
      <w:proofErr w:type="spellEnd"/>
      <w:r w:rsidR="00E36A42" w:rsidRPr="009110EE">
        <w:rPr>
          <w:sz w:val="24"/>
          <w:szCs w:val="24"/>
          <w:lang w:val="en-GB"/>
        </w:rPr>
        <w:t xml:space="preserve">, </w:t>
      </w:r>
      <w:r w:rsidR="00296C5C" w:rsidRPr="009110EE">
        <w:rPr>
          <w:sz w:val="24"/>
          <w:szCs w:val="24"/>
          <w:lang w:val="en-GB"/>
        </w:rPr>
        <w:t>Matrix metalloproteinase-8</w:t>
      </w:r>
      <w:r w:rsidR="00E36A42" w:rsidRPr="009110EE">
        <w:rPr>
          <w:sz w:val="24"/>
          <w:szCs w:val="24"/>
          <w:lang w:val="en-GB"/>
        </w:rPr>
        <w:t xml:space="preserve">, </w:t>
      </w:r>
      <w:r w:rsidR="00296C5C" w:rsidRPr="009110EE">
        <w:rPr>
          <w:sz w:val="24"/>
          <w:szCs w:val="24"/>
          <w:lang w:val="en-GB"/>
        </w:rPr>
        <w:t>Tissue inhibitor of metalloproteinase-1</w:t>
      </w:r>
      <w:r w:rsidR="004D725A" w:rsidRPr="009110EE">
        <w:rPr>
          <w:sz w:val="24"/>
          <w:szCs w:val="24"/>
          <w:lang w:val="en-GB"/>
        </w:rPr>
        <w:t xml:space="preserve">, </w:t>
      </w:r>
      <w:r w:rsidR="00F02753">
        <w:rPr>
          <w:sz w:val="24"/>
          <w:szCs w:val="24"/>
          <w:lang w:val="en-GB"/>
        </w:rPr>
        <w:t>Angiopoietin</w:t>
      </w:r>
      <w:r w:rsidR="00296C5C" w:rsidRPr="009110EE">
        <w:rPr>
          <w:sz w:val="24"/>
          <w:szCs w:val="24"/>
          <w:lang w:val="en-GB"/>
        </w:rPr>
        <w:t>-1</w:t>
      </w:r>
      <w:r w:rsidR="004D725A" w:rsidRPr="009110EE">
        <w:rPr>
          <w:sz w:val="24"/>
          <w:szCs w:val="24"/>
          <w:lang w:val="en-GB"/>
        </w:rPr>
        <w:t xml:space="preserve">, </w:t>
      </w:r>
      <w:r w:rsidR="00F02753">
        <w:rPr>
          <w:sz w:val="24"/>
          <w:szCs w:val="24"/>
          <w:lang w:val="en-GB"/>
        </w:rPr>
        <w:t>Angiopoietin</w:t>
      </w:r>
      <w:r w:rsidR="00296C5C" w:rsidRPr="009110EE">
        <w:rPr>
          <w:sz w:val="24"/>
          <w:szCs w:val="24"/>
          <w:lang w:val="en-GB"/>
        </w:rPr>
        <w:t>-2</w:t>
      </w:r>
      <w:r w:rsidR="004D725A" w:rsidRPr="009110EE">
        <w:rPr>
          <w:sz w:val="24"/>
          <w:szCs w:val="24"/>
          <w:lang w:val="en-GB"/>
        </w:rPr>
        <w:t xml:space="preserve"> (all R&amp;D systems, Abingdon UK), and D-dimer (</w:t>
      </w:r>
      <w:proofErr w:type="spellStart"/>
      <w:r w:rsidR="004D725A" w:rsidRPr="009110EE">
        <w:rPr>
          <w:sz w:val="24"/>
          <w:szCs w:val="24"/>
          <w:lang w:val="en-GB"/>
        </w:rPr>
        <w:t>Procartaplex</w:t>
      </w:r>
      <w:proofErr w:type="spellEnd"/>
      <w:r w:rsidR="004D725A" w:rsidRPr="009110EE">
        <w:rPr>
          <w:sz w:val="24"/>
          <w:szCs w:val="24"/>
          <w:lang w:val="en-GB"/>
        </w:rPr>
        <w:t xml:space="preserve">, </w:t>
      </w:r>
      <w:proofErr w:type="spellStart"/>
      <w:r w:rsidR="004D725A" w:rsidRPr="009110EE">
        <w:rPr>
          <w:sz w:val="24"/>
          <w:szCs w:val="24"/>
          <w:lang w:val="en-GB"/>
        </w:rPr>
        <w:t>eBioscence</w:t>
      </w:r>
      <w:proofErr w:type="spellEnd"/>
      <w:r w:rsidR="004D725A" w:rsidRPr="009110EE">
        <w:rPr>
          <w:sz w:val="24"/>
          <w:szCs w:val="24"/>
          <w:lang w:val="en-GB"/>
        </w:rPr>
        <w:t xml:space="preserve">, San Diego, CA) were measured by </w:t>
      </w:r>
      <w:proofErr w:type="spellStart"/>
      <w:r w:rsidR="004D725A" w:rsidRPr="009110EE">
        <w:rPr>
          <w:sz w:val="24"/>
          <w:szCs w:val="24"/>
          <w:lang w:val="en-GB"/>
        </w:rPr>
        <w:t>Luminex</w:t>
      </w:r>
      <w:proofErr w:type="spellEnd"/>
      <w:r w:rsidR="004D725A" w:rsidRPr="009110EE">
        <w:rPr>
          <w:sz w:val="24"/>
          <w:szCs w:val="24"/>
          <w:lang w:val="en-GB"/>
        </w:rPr>
        <w:t xml:space="preserve"> multiplex assay using </w:t>
      </w:r>
      <w:proofErr w:type="spellStart"/>
      <w:r w:rsidR="004D725A" w:rsidRPr="009110EE">
        <w:rPr>
          <w:sz w:val="24"/>
          <w:szCs w:val="24"/>
          <w:lang w:val="en-GB"/>
        </w:rPr>
        <w:t>BioPlex</w:t>
      </w:r>
      <w:proofErr w:type="spellEnd"/>
      <w:r w:rsidR="004D725A" w:rsidRPr="009110EE">
        <w:rPr>
          <w:sz w:val="24"/>
          <w:szCs w:val="24"/>
          <w:lang w:val="en-GB"/>
        </w:rPr>
        <w:t xml:space="preserve"> 200 (</w:t>
      </w:r>
      <w:proofErr w:type="spellStart"/>
      <w:r w:rsidR="004D725A" w:rsidRPr="009110EE">
        <w:rPr>
          <w:sz w:val="24"/>
          <w:szCs w:val="24"/>
          <w:lang w:val="en-GB"/>
        </w:rPr>
        <w:t>BioRad</w:t>
      </w:r>
      <w:proofErr w:type="spellEnd"/>
      <w:r w:rsidR="004D725A" w:rsidRPr="009110EE">
        <w:rPr>
          <w:sz w:val="24"/>
          <w:szCs w:val="24"/>
          <w:lang w:val="en-GB"/>
        </w:rPr>
        <w:t xml:space="preserve">, Hercules, CA). </w:t>
      </w:r>
      <w:r w:rsidR="00433376" w:rsidRPr="009110EE">
        <w:rPr>
          <w:sz w:val="24"/>
          <w:szCs w:val="24"/>
          <w:lang w:val="en-GB"/>
        </w:rPr>
        <w:t>C-reactive protein</w:t>
      </w:r>
      <w:r w:rsidR="004D725A" w:rsidRPr="009110EE">
        <w:rPr>
          <w:sz w:val="24"/>
          <w:szCs w:val="24"/>
          <w:lang w:val="en-GB"/>
        </w:rPr>
        <w:t xml:space="preserve"> was determined by </w:t>
      </w:r>
      <w:proofErr w:type="spellStart"/>
      <w:r w:rsidR="004D725A" w:rsidRPr="009110EE">
        <w:rPr>
          <w:sz w:val="24"/>
          <w:szCs w:val="24"/>
          <w:lang w:val="en-GB"/>
        </w:rPr>
        <w:t>immunoturbidimetric</w:t>
      </w:r>
      <w:proofErr w:type="spellEnd"/>
      <w:r w:rsidR="004D725A" w:rsidRPr="009110EE">
        <w:rPr>
          <w:sz w:val="24"/>
          <w:szCs w:val="24"/>
          <w:lang w:val="en-GB"/>
        </w:rPr>
        <w:t xml:space="preserve"> assay (Roche diagnostics), </w:t>
      </w:r>
      <w:r w:rsidR="00296C5C" w:rsidRPr="009110EE">
        <w:rPr>
          <w:sz w:val="24"/>
          <w:szCs w:val="24"/>
          <w:lang w:val="en-GB"/>
        </w:rPr>
        <w:t>Prothrombin time</w:t>
      </w:r>
      <w:r w:rsidR="004D725A" w:rsidRPr="009110EE">
        <w:rPr>
          <w:sz w:val="24"/>
          <w:szCs w:val="24"/>
          <w:lang w:val="en-GB"/>
        </w:rPr>
        <w:t xml:space="preserve"> by using a photometric method with Dade </w:t>
      </w:r>
      <w:proofErr w:type="spellStart"/>
      <w:r w:rsidR="004D725A" w:rsidRPr="009110EE">
        <w:rPr>
          <w:sz w:val="24"/>
          <w:szCs w:val="24"/>
          <w:lang w:val="en-GB"/>
        </w:rPr>
        <w:t>Innovin</w:t>
      </w:r>
      <w:proofErr w:type="spellEnd"/>
      <w:r w:rsidR="004D725A" w:rsidRPr="009110EE">
        <w:rPr>
          <w:sz w:val="24"/>
          <w:szCs w:val="24"/>
          <w:lang w:val="en-GB"/>
        </w:rPr>
        <w:t xml:space="preserve"> Reagent </w:t>
      </w:r>
      <w:r w:rsidR="00296C5C" w:rsidRPr="009110EE">
        <w:rPr>
          <w:sz w:val="24"/>
          <w:szCs w:val="24"/>
          <w:lang w:val="en-GB"/>
        </w:rPr>
        <w:t>(</w:t>
      </w:r>
      <w:r w:rsidR="004D725A" w:rsidRPr="009110EE">
        <w:rPr>
          <w:sz w:val="24"/>
          <w:szCs w:val="24"/>
          <w:lang w:val="en-GB"/>
        </w:rPr>
        <w:t xml:space="preserve">Siemens Healthcare Diagnostics). </w:t>
      </w:r>
      <w:r w:rsidR="00A4769F" w:rsidRPr="009110EE">
        <w:rPr>
          <w:sz w:val="24"/>
          <w:szCs w:val="24"/>
          <w:lang w:val="en-GB"/>
        </w:rPr>
        <w:t xml:space="preserve">Normal values were obtained from 27 sex-matched healthy volunteers, of whom written informed consent was obtained, except for CRP, platelet count, and prothrombin time, for which routine laboratory reference values were used. </w:t>
      </w:r>
    </w:p>
    <w:p w14:paraId="0941FB74" w14:textId="77777777" w:rsidR="004D725A" w:rsidRPr="009110EE" w:rsidRDefault="004D725A" w:rsidP="00E97A75">
      <w:pPr>
        <w:spacing w:after="200" w:line="480" w:lineRule="auto"/>
        <w:ind w:right="-568"/>
        <w:rPr>
          <w:sz w:val="24"/>
          <w:szCs w:val="24"/>
          <w:lang w:val="en-GB"/>
        </w:rPr>
      </w:pPr>
    </w:p>
    <w:p w14:paraId="78BCC31A" w14:textId="5B1BD48A" w:rsidR="004D725A" w:rsidRPr="009110EE" w:rsidRDefault="00C2546F" w:rsidP="00E97A75">
      <w:pPr>
        <w:pStyle w:val="Heading3"/>
        <w:spacing w:line="480" w:lineRule="auto"/>
        <w:ind w:right="-568"/>
        <w:rPr>
          <w:lang w:val="en-GB"/>
        </w:rPr>
      </w:pPr>
      <w:bookmarkStart w:id="40" w:name="_Toc90890581"/>
      <w:bookmarkStart w:id="41" w:name="_Toc115709535"/>
      <w:r>
        <w:rPr>
          <w:lang w:val="en-GB"/>
        </w:rPr>
        <w:t>1</w:t>
      </w:r>
      <w:r w:rsidR="004D725A" w:rsidRPr="009110EE">
        <w:rPr>
          <w:lang w:val="en-GB"/>
        </w:rPr>
        <w:t>.3 Whole Blood Gene Expression Microarrays</w:t>
      </w:r>
      <w:bookmarkEnd w:id="40"/>
      <w:bookmarkEnd w:id="41"/>
    </w:p>
    <w:p w14:paraId="143731B0" w14:textId="0BABCE1B" w:rsidR="004D725A" w:rsidRPr="009110EE" w:rsidRDefault="00013BD9" w:rsidP="00E97A75">
      <w:pPr>
        <w:spacing w:after="200" w:line="480" w:lineRule="auto"/>
        <w:ind w:right="-568"/>
        <w:rPr>
          <w:sz w:val="24"/>
          <w:szCs w:val="24"/>
          <w:lang w:val="en-GB"/>
        </w:rPr>
      </w:pPr>
      <w:r w:rsidRPr="009110EE">
        <w:rPr>
          <w:sz w:val="24"/>
          <w:szCs w:val="24"/>
          <w:lang w:val="en-GB"/>
        </w:rPr>
        <w:t xml:space="preserve">Within 24 hours after admission, whole blood was collected in </w:t>
      </w:r>
      <w:proofErr w:type="spellStart"/>
      <w:r w:rsidRPr="009110EE">
        <w:rPr>
          <w:sz w:val="24"/>
          <w:szCs w:val="24"/>
          <w:lang w:val="en-GB"/>
        </w:rPr>
        <w:t>PAXgene</w:t>
      </w:r>
      <w:proofErr w:type="spellEnd"/>
      <w:r w:rsidRPr="009110EE">
        <w:rPr>
          <w:sz w:val="24"/>
          <w:szCs w:val="24"/>
          <w:lang w:val="en-GB"/>
        </w:rPr>
        <w:t xml:space="preserve"> tubes (Becton-Dickinson, Breda, the Netherlands) and stored at -80</w:t>
      </w:r>
      <w:r w:rsidRPr="009110EE">
        <w:rPr>
          <w:sz w:val="24"/>
          <w:szCs w:val="24"/>
          <w:lang w:val="en-GB"/>
        </w:rPr>
        <w:sym w:font="Symbol" w:char="F0B0"/>
      </w:r>
      <w:r w:rsidR="002A460D">
        <w:rPr>
          <w:sz w:val="24"/>
          <w:szCs w:val="24"/>
          <w:lang w:val="en-GB"/>
        </w:rPr>
        <w:t xml:space="preserve">C. </w:t>
      </w:r>
      <w:r w:rsidRPr="009110EE">
        <w:rPr>
          <w:sz w:val="24"/>
          <w:szCs w:val="24"/>
          <w:lang w:val="en-GB"/>
        </w:rPr>
        <w:t>RNA analysis was limited to sepsis patients with an infection likelihood of definite or probable enrolled during the firs</w:t>
      </w:r>
      <w:r w:rsidR="007F39E7" w:rsidRPr="009110EE">
        <w:rPr>
          <w:sz w:val="24"/>
          <w:szCs w:val="24"/>
          <w:lang w:val="en-GB"/>
        </w:rPr>
        <w:t>t 1.5 years of the MARS project</w:t>
      </w:r>
      <w:r w:rsidRPr="009110EE">
        <w:rPr>
          <w:sz w:val="24"/>
          <w:szCs w:val="24"/>
          <w:lang w:val="en-GB"/>
        </w:rPr>
        <w:t xml:space="preserve"> </w:t>
      </w:r>
      <w:r w:rsidRPr="009110EE">
        <w:rPr>
          <w:sz w:val="24"/>
          <w:szCs w:val="24"/>
          <w:lang w:val="en-GB"/>
        </w:rPr>
        <w:fldChar w:fldCharType="begin" w:fldLock="1"/>
      </w:r>
      <w:r w:rsidR="006A4CA2">
        <w:rPr>
          <w:sz w:val="24"/>
          <w:szCs w:val="24"/>
          <w:lang w:val="en-GB"/>
        </w:rPr>
        <w:instrText>ADDIN CSL_CITATION {"citationItems":[{"id":"ITEM-1","itemData":{"DOI":"10.1097/CCM.0b013e3182923712","ISSN":"1530-0293 (Electronic)","PMID":"23921277","abstract":"OBJECTIVES: Correct classification of the source of infection is important in  observational and interventional studies of sepsis. Centers for Disease Control and Prevention criteria are most commonly used for this purpose, but the robustness of these definitions in critically ill patients is not known. We hypothesized that in a mixed ICU population, the performance of these criteria would be generally reduced and would vary among diagnostic subgroups. DESIGN: Prospective cohort. SETTING: Data were collected as part of a cohort of 1,214 critically ill patients admitted to two hospitals in The Netherlands between January 2011 and June 2011. PATIENTS: Eight observers assessed a random sample of 168 of 554 patients who had experienced at least one infectious episode in the ICU. Each patient was assessed by two randomly selected observers who independently scored the source of infection (by affected organ system or site), the plausibility of infection (rated as none, possible, probable, or definite), and the most likely causative pathogen. Assessments were based on a post hoc review of all available clinical, radiological, and microbiological evidence. The observed diagnostic agreement for source of infection was classified as partial (i.e., matching on organ system or site) or complete (i.e., matching on specific diagnostic terms), for plausibility as partial (2-point scale) or complete (4-point scale), and for causative pathogens as an approximate or exact pathogen match. Interobserver agreement was expressed as a concordant percentage and as a kappa statistic. INTERVENTIONS: None. MEASUREMENTS AND MAIN RESULTS: A total of 206 infectious episodes were observed. Agreement regarding the source of infection was 89% (183/206) and 69% (142/206) for a partial and complete diagnostic match, respectively. This resulted in a kappa of 0.85 (95% CI, 0.79-0.90). Agreement varied from 63% to 91% within major diagnostic categories and from 35% to 97% within specific diagnostic subgroups, with the lowest concordance observed in cases of ventilator-associated pneumonia. In the 142 episodes for which a complete match on source of infection was obtained, the interobserver agreement for plausibility of infection was 83% and 65% on a 2- and 4-point scale, respectively. For causative pathogen, agreement was 78% and 70% for an approximate and exact pathogen match, respectively. CONCLUSIONS: Interobserver agreement for classifying sources of infection using Centers for Disease …","author":[{"dropping-particle":"","family":"Klein Klouwenberg","given":"Peter M C","non-dropping-particle":"","parse-names":false,"suffix":""},{"dropping-particle":"","family":"Ong","given":"David S Y","non-dropping-particle":"","parse-names":false,"suffix":""},{"dropping-particle":"","family":"Bos","given":"Lieuwe D J","non-dropping-particle":"","parse-names":false,"suffix":""},{"dropping-particle":"","family":"Beer","given":"Friso M","non-dropping-particle":"de","parse-names":false,"suffix":""},{"dropping-particle":"","family":"Hooijdonk","given":"Roosmarijn T M","non-dropping-particle":"van","parse-names":false,"suffix":""},{"dropping-particle":"","family":"Huson","given":"Mischa A","non-dropping-particle":"","parse-names":false,"suffix":""},{"dropping-particle":"","family":"Straat","given":"Marleen","non-dropping-particle":"","parse-names":false,"suffix":""},{"dropping-particle":"","family":"Vught","given":"Lonneke A","non-dropping-particle":"van","parse-names":false,"suffix":""},{"dropping-particle":"","family":"Wieske","given":"Luuk","non-dropping-particle":"","parse-names":false,"suffix":""},{"dropping-particle":"","family":"Horn","given":"Janneke","non-dropping-particle":"","parse-names":false,"suffix":""},{"dropping-particle":"","family":"Schultz","given":"Marcus J","non-dropping-particle":"","parse-names":false,"suffix":""},{"dropping-particle":"","family":"Poll","given":"Tom","non-dropping-particle":"van der","parse-names":false,"suffix":""},{"dropping-particle":"","family":"Bonten","given":"Marc J M","non-dropping-particle":"","parse-names":false,"suffix":""},{"dropping-particle":"","family":"Cremer","given":"Olaf L","non-dropping-particle":"","parse-names":false,"suffix":""}],"container-title":"Critical care medicine","id":"ITEM-1","issue":"10","issued":{"date-parts":[["2013","10"]]},"language":"eng","page":"2373-2378","publisher-place":"United States","title":"Interobserver agreement of Centers for Disease Control and Prevention criteria for  classifying infections in critically ill patients.","type":"article-journal","volume":"41"},"uris":["http://www.mendeley.com/documents/?uuid=69b357c3-7ddf-4cb1-a7c6-31dd87309c8e"]}],"mendeley":{"formattedCitation":"[4]","plainTextFormattedCitation":"[4]","previouslyFormattedCitation":"[4]"},"properties":{"noteIndex":0},"schema":"https://github.com/citation-style-language/schema/raw/master/csl-citation.json"}</w:instrText>
      </w:r>
      <w:r w:rsidRPr="009110EE">
        <w:rPr>
          <w:sz w:val="24"/>
          <w:szCs w:val="24"/>
          <w:lang w:val="en-GB"/>
        </w:rPr>
        <w:fldChar w:fldCharType="separate"/>
      </w:r>
      <w:r w:rsidR="005A3634" w:rsidRPr="005A3634">
        <w:rPr>
          <w:noProof/>
          <w:sz w:val="24"/>
          <w:szCs w:val="24"/>
          <w:lang w:val="en-GB"/>
        </w:rPr>
        <w:t>[4]</w:t>
      </w:r>
      <w:r w:rsidRPr="009110EE">
        <w:rPr>
          <w:sz w:val="24"/>
          <w:szCs w:val="24"/>
          <w:lang w:val="en-GB"/>
        </w:rPr>
        <w:fldChar w:fldCharType="end"/>
      </w:r>
      <w:r w:rsidR="007F39E7" w:rsidRPr="009110EE">
        <w:rPr>
          <w:sz w:val="24"/>
          <w:szCs w:val="24"/>
          <w:lang w:val="en-GB"/>
        </w:rPr>
        <w:t>.</w:t>
      </w:r>
      <w:r w:rsidRPr="009110EE">
        <w:rPr>
          <w:sz w:val="24"/>
          <w:szCs w:val="24"/>
          <w:lang w:val="en-GB"/>
        </w:rPr>
        <w:t xml:space="preserve"> </w:t>
      </w:r>
      <w:r w:rsidR="004D725A" w:rsidRPr="009110EE">
        <w:rPr>
          <w:sz w:val="24"/>
          <w:szCs w:val="24"/>
          <w:lang w:val="en-GB"/>
        </w:rPr>
        <w:t xml:space="preserve">Total RNA was isolated using the </w:t>
      </w:r>
      <w:proofErr w:type="spellStart"/>
      <w:r w:rsidR="004D725A" w:rsidRPr="009110EE">
        <w:rPr>
          <w:sz w:val="24"/>
          <w:szCs w:val="24"/>
          <w:lang w:val="en-GB"/>
        </w:rPr>
        <w:t>PAXgene</w:t>
      </w:r>
      <w:proofErr w:type="spellEnd"/>
      <w:r w:rsidR="004D725A" w:rsidRPr="009110EE">
        <w:rPr>
          <w:sz w:val="24"/>
          <w:szCs w:val="24"/>
          <w:lang w:val="en-GB"/>
        </w:rPr>
        <w:t xml:space="preserve"> blood mRNA kit (</w:t>
      </w:r>
      <w:proofErr w:type="spellStart"/>
      <w:r w:rsidR="004D725A" w:rsidRPr="009110EE">
        <w:rPr>
          <w:sz w:val="24"/>
          <w:szCs w:val="24"/>
          <w:lang w:val="en-GB"/>
        </w:rPr>
        <w:t>Qiagen</w:t>
      </w:r>
      <w:proofErr w:type="spellEnd"/>
      <w:r w:rsidR="004D725A" w:rsidRPr="009110EE">
        <w:rPr>
          <w:sz w:val="24"/>
          <w:szCs w:val="24"/>
          <w:lang w:val="en-GB"/>
        </w:rPr>
        <w:t xml:space="preserve">, Venlo, the Netherlands). RNA, with an integrity number of at least 6, was processed and hybridized to the </w:t>
      </w:r>
      <w:proofErr w:type="spellStart"/>
      <w:r w:rsidR="004D725A" w:rsidRPr="009110EE">
        <w:rPr>
          <w:sz w:val="24"/>
          <w:szCs w:val="24"/>
          <w:lang w:val="en-GB"/>
        </w:rPr>
        <w:t>Affymetrix</w:t>
      </w:r>
      <w:proofErr w:type="spellEnd"/>
      <w:r w:rsidR="004D725A" w:rsidRPr="009110EE">
        <w:rPr>
          <w:sz w:val="24"/>
          <w:szCs w:val="24"/>
          <w:lang w:val="en-GB"/>
        </w:rPr>
        <w:t xml:space="preserve"> Human Genome U219 96-array and scanned using the </w:t>
      </w:r>
      <w:proofErr w:type="spellStart"/>
      <w:r w:rsidR="004D725A" w:rsidRPr="009110EE">
        <w:rPr>
          <w:sz w:val="24"/>
          <w:szCs w:val="24"/>
          <w:lang w:val="en-GB"/>
        </w:rPr>
        <w:t>GeneTitan</w:t>
      </w:r>
      <w:proofErr w:type="spellEnd"/>
      <w:r w:rsidR="004D725A" w:rsidRPr="009110EE">
        <w:rPr>
          <w:sz w:val="24"/>
          <w:szCs w:val="24"/>
          <w:lang w:val="en-GB"/>
        </w:rPr>
        <w:t xml:space="preserve"> instruments at the Cologne </w:t>
      </w:r>
      <w:proofErr w:type="spellStart"/>
      <w:r w:rsidR="004D725A" w:rsidRPr="009110EE">
        <w:rPr>
          <w:sz w:val="24"/>
          <w:szCs w:val="24"/>
          <w:lang w:val="en-GB"/>
        </w:rPr>
        <w:t>Center</w:t>
      </w:r>
      <w:proofErr w:type="spellEnd"/>
      <w:r w:rsidR="004D725A" w:rsidRPr="009110EE">
        <w:rPr>
          <w:sz w:val="24"/>
          <w:szCs w:val="24"/>
          <w:lang w:val="en-GB"/>
        </w:rPr>
        <w:t xml:space="preserve"> for Genomics (CCG), Cologne, Germany</w:t>
      </w:r>
      <w:r w:rsidR="00AC0692" w:rsidRPr="009110EE">
        <w:rPr>
          <w:sz w:val="24"/>
          <w:szCs w:val="24"/>
          <w:lang w:val="en-GB"/>
        </w:rPr>
        <w:t>,</w:t>
      </w:r>
      <w:r w:rsidR="007F39E7" w:rsidRPr="009110EE">
        <w:rPr>
          <w:sz w:val="24"/>
          <w:szCs w:val="24"/>
          <w:lang w:val="en-GB"/>
        </w:rPr>
        <w:t xml:space="preserve"> as described in detail</w:t>
      </w:r>
      <w:r w:rsidR="000957F4" w:rsidRPr="009110EE">
        <w:rPr>
          <w:sz w:val="24"/>
          <w:szCs w:val="24"/>
          <w:lang w:val="en-GB"/>
        </w:rPr>
        <w:t xml:space="preserve"> </w:t>
      </w:r>
      <w:r w:rsidR="004D725A" w:rsidRPr="009110EE">
        <w:rPr>
          <w:sz w:val="24"/>
          <w:szCs w:val="24"/>
          <w:lang w:val="en-GB"/>
        </w:rPr>
        <w:fldChar w:fldCharType="begin" w:fldLock="1"/>
      </w:r>
      <w:r w:rsidR="006A4CA2">
        <w:rPr>
          <w:sz w:val="24"/>
          <w:szCs w:val="24"/>
          <w:lang w:val="en-GB"/>
        </w:rPr>
        <w:instrText>ADDIN CSL_CITATION {"citationItems":[{"id":"ITEM-1","itemData":{"DOI":"10.1164/rccm.201502-0355OC","ISSN":"1073-449X","abstract":"Rationale: Community-acquired pneumonia (CAP) accounts for a major proportion of intensive care unit (ICU) admissions for respiratory failure and sepsis. Diagnostic uncertainty complicates case management, which may delay appropriate cause-specific treatment.Objectives: To characterize the blood genomic response in patients with suspected CAP and identify a candidate biomarker for the rapid diagnosis of CAP on ICU admission.Methods: The study comprised two cohorts of consecutively enrolled patients treated for suspected CAP on ICU admission. Patients were designated CAP (cases) and no-CAP patients (control subjects) by post hoc assessment. The first (discovery) cohort (101 CAP and 33 no-CAP patients) was enrolled between January 2011 and July 2012; the second (validation) cohort (70 CAP and 30 no-CAP patients) between July 2012 and June 2013. Blood was collected within 24 hours of ICU admission.Measurements and Main Results: Blood microarray analysis of CAP and no-CAP patients revealed shared and distinct gene expression patterns. A 78-gene signature was defined for CAP, from which a FAIM3:PLAC8 gene expression ratio was derived with area under curve of 0.845 (95% confidence interval, 0.764?0.917) and positive and negative predictive values of 83% and 81%, respectively. Robustness of the FAIM3:PLAC8 ratio was ascertained by quantitative polymerase chain reaction in the validation cohort. The FAIM3:PLAC8 ratio outperformed plasma procalcitonin and IL-8 and IL-6 in discriminating between CAP and no-CAP patients.Conclusions: CAP and no-CAP patients presented shared and distinct blood genomic responses. We propose the FAIM3:PLAC8 ratio as a candidate biomarker to assist in the rapid diagnosis of CAP on ICU admission.Clinical trial registered with www.clinicaltrials.gov (NCT 01905033).","author":[{"dropping-particle":"","family":"Scicluna","given":"Brendon P","non-dropping-particle":"","parse-names":false,"suffix":""},{"dropping-particle":"","family":"Klein Klouwenberg","given":"Peter M C","non-dropping-particle":"","parse-names":false,"suffix":""},{"dropping-particle":"","family":"Vught","given":"Lonneke A","non-dropping-particle":"van","parse-names":false,"suffix":""},{"dropping-particle":"","family":"Wiewel","given":"Maryse A","non-dropping-particle":"","parse-names":false,"suffix":""},{"dropping-particle":"","family":"Ong","given":"David S Y","non-dropping-particle":"","parse-names":false,"suffix":""},{"dropping-particle":"","family":"Zwinderman","given":"Aeilko H","non-dropping-particle":"","parse-names":false,"suffix":""},{"dropping-particle":"","family":"Franitza","given":"Marek","non-dropping-particle":"","parse-names":false,"suffix":""},{"dropping-particle":"","family":"Toliat","given":"Mohammad R","non-dropping-particle":"","parse-names":false,"suffix":""},{"dropping-particle":"","family":"Nürnberg","given":"Peter","non-dropping-particle":"","parse-names":false,"suffix":""},{"dropping-particle":"","family":"Hoogendijk","given":"Arie J","non-dropping-particle":"","parse-names":false,"suffix":""},{"dropping-particle":"","family":"Horn","given":"Janneke","non-dropping-particle":"","parse-names":false,"suffix":""},{"dropping-particle":"","family":"Cremer","given":"Olaf L","non-dropping-particle":"","parse-names":false,"suffix":""},{"dropping-particle":"","family":"Schultz","given":"Marcus J","non-dropping-particle":"","parse-names":false,"suffix":""},{"dropping-particle":"","family":"Bonten","given":"Marc J","non-dropping-particle":"","parse-names":false,"suffix":""},{"dropping-particle":"","family":"Poll","given":"Tom","non-dropping-particle":"van der","parse-names":false,"suffix":""}],"container-title":"American Journal of Respiratory and Critical Care Medicine","id":"ITEM-1","issue":"7","issued":{"date-parts":[["2015","6","29"]]},"note":"doi: 10.1164/rccm.201502-0355OC","page":"826-835","publisher":"American Thoracic Society - AJRCCM","title":"A Molecular Biomarker to Diagnose Community-acquired Pneumonia on Intensive Care Unit Admission","type":"article-journal","volume":"192"},"uris":["http://www.mendeley.com/documents/?uuid=52b3eb7e-bdc4-4e92-8893-2019df749741"]}],"mendeley":{"formattedCitation":"[5]","plainTextFormattedCitation":"[5]","previouslyFormattedCitation":"[5]"},"properties":{"noteIndex":0},"schema":"https://github.com/citation-style-language/schema/raw/master/csl-citation.json"}</w:instrText>
      </w:r>
      <w:r w:rsidR="004D725A" w:rsidRPr="009110EE">
        <w:rPr>
          <w:sz w:val="24"/>
          <w:szCs w:val="24"/>
          <w:lang w:val="en-GB"/>
        </w:rPr>
        <w:fldChar w:fldCharType="separate"/>
      </w:r>
      <w:r w:rsidR="005A3634" w:rsidRPr="005A3634">
        <w:rPr>
          <w:noProof/>
          <w:sz w:val="24"/>
          <w:szCs w:val="24"/>
          <w:lang w:val="en-GB"/>
        </w:rPr>
        <w:t>[5]</w:t>
      </w:r>
      <w:r w:rsidR="004D725A" w:rsidRPr="009110EE">
        <w:rPr>
          <w:sz w:val="24"/>
          <w:szCs w:val="24"/>
          <w:lang w:val="en-GB"/>
        </w:rPr>
        <w:fldChar w:fldCharType="end"/>
      </w:r>
      <w:r w:rsidR="007F39E7" w:rsidRPr="009110EE">
        <w:rPr>
          <w:sz w:val="24"/>
          <w:szCs w:val="24"/>
          <w:lang w:val="en-GB"/>
        </w:rPr>
        <w:t>.</w:t>
      </w:r>
      <w:r w:rsidR="004D725A" w:rsidRPr="009110EE">
        <w:rPr>
          <w:sz w:val="24"/>
          <w:szCs w:val="24"/>
          <w:lang w:val="en-GB"/>
        </w:rPr>
        <w:t xml:space="preserve"> </w:t>
      </w:r>
    </w:p>
    <w:p w14:paraId="72D930A1" w14:textId="77777777" w:rsidR="004D725A" w:rsidRPr="009110EE" w:rsidRDefault="004D725A" w:rsidP="00E97A75">
      <w:pPr>
        <w:spacing w:after="200" w:line="480" w:lineRule="auto"/>
        <w:ind w:right="-568"/>
        <w:rPr>
          <w:sz w:val="24"/>
          <w:szCs w:val="24"/>
          <w:lang w:val="en-GB"/>
        </w:rPr>
      </w:pPr>
    </w:p>
    <w:p w14:paraId="2479DFD1" w14:textId="701181E5" w:rsidR="004D725A" w:rsidRPr="009110EE" w:rsidRDefault="00C2546F" w:rsidP="00E97A75">
      <w:pPr>
        <w:pStyle w:val="Heading3"/>
        <w:spacing w:line="480" w:lineRule="auto"/>
        <w:ind w:right="-568"/>
        <w:rPr>
          <w:lang w:val="en-GB"/>
        </w:rPr>
      </w:pPr>
      <w:bookmarkStart w:id="42" w:name="_Toc90890582"/>
      <w:bookmarkStart w:id="43" w:name="_Toc115709536"/>
      <w:r>
        <w:rPr>
          <w:lang w:val="en-GB"/>
        </w:rPr>
        <w:t>1</w:t>
      </w:r>
      <w:r w:rsidR="004D725A" w:rsidRPr="009110EE">
        <w:rPr>
          <w:lang w:val="en-GB"/>
        </w:rPr>
        <w:t xml:space="preserve">.4 </w:t>
      </w:r>
      <w:r w:rsidR="007F39E7" w:rsidRPr="009110EE">
        <w:rPr>
          <w:lang w:val="en-GB"/>
        </w:rPr>
        <w:t>Detailed information on</w:t>
      </w:r>
      <w:r w:rsidR="004D725A" w:rsidRPr="009110EE">
        <w:rPr>
          <w:lang w:val="en-GB"/>
        </w:rPr>
        <w:t xml:space="preserve"> statistical and bioinformatics analysis</w:t>
      </w:r>
      <w:bookmarkEnd w:id="42"/>
      <w:bookmarkEnd w:id="43"/>
    </w:p>
    <w:p w14:paraId="6D3E6314" w14:textId="4A94F8AC" w:rsidR="007F39E7" w:rsidRPr="009110EE" w:rsidRDefault="00BB4DB1" w:rsidP="00BB4DB1">
      <w:pPr>
        <w:spacing w:line="480" w:lineRule="auto"/>
        <w:ind w:right="-568"/>
        <w:rPr>
          <w:sz w:val="24"/>
          <w:szCs w:val="24"/>
          <w:lang w:val="en-US"/>
        </w:rPr>
      </w:pPr>
      <w:r w:rsidRPr="009110EE">
        <w:rPr>
          <w:sz w:val="24"/>
          <w:szCs w:val="24"/>
          <w:lang w:val="en-GB"/>
        </w:rPr>
        <w:t>Data distributions were assessed by histograms and quant</w:t>
      </w:r>
      <w:r w:rsidR="003E01F3">
        <w:rPr>
          <w:sz w:val="24"/>
          <w:szCs w:val="24"/>
          <w:lang w:val="en-GB"/>
        </w:rPr>
        <w:t xml:space="preserve">ile-quantile plots (Q-Q plots). </w:t>
      </w:r>
      <w:r w:rsidR="007F39E7" w:rsidRPr="009110EE">
        <w:rPr>
          <w:sz w:val="24"/>
          <w:szCs w:val="24"/>
          <w:lang w:val="en-GB"/>
        </w:rPr>
        <w:t xml:space="preserve">Categorical variables were analysed using a Chi-square test of independence, non-normal </w:t>
      </w:r>
      <w:r w:rsidR="007F39E7" w:rsidRPr="009110EE">
        <w:rPr>
          <w:sz w:val="24"/>
          <w:szCs w:val="24"/>
          <w:lang w:val="en-GB"/>
        </w:rPr>
        <w:lastRenderedPageBreak/>
        <w:t xml:space="preserve">continuous data using a </w:t>
      </w:r>
      <w:proofErr w:type="spellStart"/>
      <w:r w:rsidR="007F39E7" w:rsidRPr="009110EE">
        <w:rPr>
          <w:sz w:val="24"/>
          <w:szCs w:val="24"/>
          <w:lang w:val="en-US"/>
        </w:rPr>
        <w:t>Kruskal</w:t>
      </w:r>
      <w:proofErr w:type="spellEnd"/>
      <w:r w:rsidR="007F39E7" w:rsidRPr="009110EE">
        <w:rPr>
          <w:sz w:val="24"/>
          <w:szCs w:val="24"/>
          <w:lang w:val="en-US"/>
        </w:rPr>
        <w:t xml:space="preserve">-Wallis test, and normally distributed continuous using an analysis of variance (ANOVA). For post hoc testing of non-normal data, a Dunn’s test of multiple comparisons using rank sums; for post hoc testing of normally distributed continuous data, a Tukey post hoc test was conducted. Differences in 30-day survival were visualized by Kaplan-Meier curves and assessed using both an unadjusted and adjusted Cox proportional-hazards model. </w:t>
      </w:r>
      <w:r w:rsidR="009110EE" w:rsidRPr="009110EE">
        <w:rPr>
          <w:sz w:val="24"/>
          <w:szCs w:val="24"/>
          <w:lang w:val="en-US"/>
        </w:rPr>
        <w:t>T</w:t>
      </w:r>
      <w:r w:rsidR="00AC0692" w:rsidRPr="009110EE">
        <w:rPr>
          <w:sz w:val="24"/>
          <w:szCs w:val="24"/>
          <w:lang w:val="en-US"/>
        </w:rPr>
        <w:t>he</w:t>
      </w:r>
      <w:r w:rsidR="004D725A" w:rsidRPr="009110EE">
        <w:rPr>
          <w:sz w:val="24"/>
          <w:szCs w:val="24"/>
          <w:lang w:val="en-US"/>
        </w:rPr>
        <w:t xml:space="preserve"> proportionality of hazards was asses</w:t>
      </w:r>
      <w:r w:rsidR="00AC0692" w:rsidRPr="009110EE">
        <w:rPr>
          <w:sz w:val="24"/>
          <w:szCs w:val="24"/>
          <w:lang w:val="en-US"/>
        </w:rPr>
        <w:t xml:space="preserve">sed using </w:t>
      </w:r>
      <w:proofErr w:type="spellStart"/>
      <w:r w:rsidR="00AC0692" w:rsidRPr="009110EE">
        <w:rPr>
          <w:sz w:val="24"/>
          <w:szCs w:val="24"/>
          <w:lang w:val="en-US"/>
        </w:rPr>
        <w:t>Schoenfeld</w:t>
      </w:r>
      <w:proofErr w:type="spellEnd"/>
      <w:r w:rsidR="00AC0692" w:rsidRPr="009110EE">
        <w:rPr>
          <w:sz w:val="24"/>
          <w:szCs w:val="24"/>
          <w:lang w:val="en-US"/>
        </w:rPr>
        <w:t xml:space="preserve"> residuals and </w:t>
      </w:r>
      <w:r w:rsidR="004D725A" w:rsidRPr="009110EE">
        <w:rPr>
          <w:sz w:val="24"/>
          <w:szCs w:val="24"/>
          <w:lang w:val="en-US"/>
        </w:rPr>
        <w:t xml:space="preserve">linearity of covariates by inspecting martingale residuals. </w:t>
      </w:r>
    </w:p>
    <w:p w14:paraId="77611958" w14:textId="77777777" w:rsidR="007F39E7" w:rsidRPr="009110EE" w:rsidRDefault="007F39E7" w:rsidP="00BB4DB1">
      <w:pPr>
        <w:spacing w:line="480" w:lineRule="auto"/>
        <w:ind w:right="-568"/>
        <w:rPr>
          <w:sz w:val="24"/>
          <w:szCs w:val="24"/>
          <w:lang w:val="en-US"/>
        </w:rPr>
      </w:pPr>
    </w:p>
    <w:p w14:paraId="5D4E0516" w14:textId="1CA20BF1" w:rsidR="00257547" w:rsidRDefault="007F39E7" w:rsidP="00BB4DB1">
      <w:pPr>
        <w:spacing w:line="480" w:lineRule="auto"/>
        <w:ind w:right="-568"/>
        <w:rPr>
          <w:sz w:val="24"/>
          <w:szCs w:val="24"/>
          <w:lang w:val="en-US"/>
        </w:rPr>
      </w:pPr>
      <w:r w:rsidRPr="009110EE">
        <w:rPr>
          <w:sz w:val="24"/>
          <w:szCs w:val="24"/>
          <w:lang w:val="en-US"/>
        </w:rPr>
        <w:t>Biomarker and routine laboratory data were normalized using a box-cox transformation</w:t>
      </w:r>
      <w:r w:rsidR="006504C3">
        <w:rPr>
          <w:sz w:val="24"/>
          <w:szCs w:val="24"/>
          <w:lang w:val="en-US"/>
        </w:rPr>
        <w:t xml:space="preserve">. </w:t>
      </w:r>
      <w:r w:rsidR="003301E6">
        <w:rPr>
          <w:sz w:val="24"/>
          <w:szCs w:val="24"/>
          <w:lang w:val="en-US"/>
        </w:rPr>
        <w:t xml:space="preserve">Prior research has shown that ageing is associated with an increase in sepsis severity </w:t>
      </w:r>
      <w:r w:rsidR="003301E6">
        <w:rPr>
          <w:sz w:val="24"/>
          <w:szCs w:val="24"/>
          <w:lang w:val="en-US"/>
        </w:rPr>
        <w:fldChar w:fldCharType="begin" w:fldLock="1"/>
      </w:r>
      <w:r w:rsidR="006A4CA2">
        <w:rPr>
          <w:sz w:val="24"/>
          <w:szCs w:val="24"/>
          <w:lang w:val="en-US"/>
        </w:rPr>
        <w:instrText>ADDIN CSL_CITATION {"citationItems":[{"id":"ITEM-1","itemData":{"DOI":"10.1097/01.ccm.0000194535.82812.ba","ISSN":"0090-3493 (Print)","PMID":"16374151","abstract":"OBJECTIVE: Sepsis is an increasingly common and lethal medical condition that occurs  in people of all ages. The influence of age on sepsis risk and outcome is incompletely understood. We sought to determine the independent effect of age on the incidence, severity, and outcome of adult sepsis. DESIGN: Longitudinal observational study using national hospital discharge data. SETTING: Approximately 500 geographically separated nonfederal acute care hospitals in the United States. PATIENTS: Patients were 10,422,301 adult sepsis patients hospitalized over 24 yrs, from 1979 to 2002. INTERVENTIONS: None. MEASUREMENTS AND MAIN RESULTS: Incident sepsis cases were age adjusted and characterized by demographics, sources and types of infection, comorbid medical conditions, and hospital discharge status. Elderly patients (&gt; or = 65 yrs of age) accounted for 12% of the U.S. population and 64.9% of sepsis cases, yielding a relative risk of 13.1 compared with younger patients (95% confidence interval, 12.6-13.6). Elderly patients were more likely to have Gram-negative infections, particularly in association with pneumonia (relative risk, 1.66; 95% confidence interval, 1.63-1.69) and to have comorbid medical conditions (relative risk, 1.99; 95% confidence interval, 1.92-2.06). Case-fatality rates increased linearly by age; age was an independent predictor of mortality in an adjusted multivariable regression (odds ratio, 2.26; 95% confidence interval, 2.17-2.36). Elderly sepsis patients died earlier during hospitalization, and elderly survivors were more likely to be discharged to a nonacute health care facility. CONCLUSIONS: The incidence of sepsis is disproportionately increased in elderly adults, and age is an independent predictor of mortality. Compared with younger sepsis patients, elderly nonsurvivors of sepsis die earlier during hospitalization and elderly survivors more frequently require skilled nursing or rehabilitative care after hospitalization. These findings have implications for patient care and health care resource prioritization and provide insights for expanded scientific investigations and potential patient interventions.","author":[{"dropping-particle":"","family":"Martin","given":"Greg S","non-dropping-particle":"","parse-names":false,"suffix":""},{"dropping-particle":"","family":"Mannino","given":"David M","non-dropping-particle":"","parse-names":false,"suffix":""},{"dropping-particle":"","family":"Moss","given":"Marc","non-dropping-particle":"","parse-names":false,"suffix":""}],"container-title":"Critical care medicine","id":"ITEM-1","issue":"1","issued":{"date-parts":[["2006","1"]]},"language":"eng","page":"15-21","publisher-place":"United States","title":"The effect of age on the development and outcome of adult sepsis.","type":"article-journal","volume":"34"},"uris":["http://www.mendeley.com/documents/?uuid=56eeb4a1-9752-45e2-9dcb-5de4703f3480"]}],"mendeley":{"formattedCitation":"[6]","plainTextFormattedCitation":"[6]","previouslyFormattedCitation":"[3]"},"properties":{"noteIndex":0},"schema":"https://github.com/citation-style-language/schema/raw/master/csl-citation.json"}</w:instrText>
      </w:r>
      <w:r w:rsidR="003301E6">
        <w:rPr>
          <w:sz w:val="24"/>
          <w:szCs w:val="24"/>
          <w:lang w:val="en-US"/>
        </w:rPr>
        <w:fldChar w:fldCharType="separate"/>
      </w:r>
      <w:r w:rsidR="006A4CA2" w:rsidRPr="006A4CA2">
        <w:rPr>
          <w:noProof/>
          <w:sz w:val="24"/>
          <w:szCs w:val="24"/>
          <w:lang w:val="en-US"/>
        </w:rPr>
        <w:t>[6]</w:t>
      </w:r>
      <w:r w:rsidR="003301E6">
        <w:rPr>
          <w:sz w:val="24"/>
          <w:szCs w:val="24"/>
          <w:lang w:val="en-US"/>
        </w:rPr>
        <w:fldChar w:fldCharType="end"/>
      </w:r>
      <w:r w:rsidR="003301E6">
        <w:rPr>
          <w:sz w:val="24"/>
          <w:szCs w:val="24"/>
          <w:lang w:val="en-US"/>
        </w:rPr>
        <w:t xml:space="preserve">. Additionally, the release of host response biomarkers in sepsis is often proportional to the severity of disease </w:t>
      </w:r>
      <w:r w:rsidR="003301E6">
        <w:rPr>
          <w:sz w:val="24"/>
          <w:szCs w:val="24"/>
          <w:lang w:val="en-US"/>
        </w:rPr>
        <w:fldChar w:fldCharType="begin" w:fldLock="1"/>
      </w:r>
      <w:r w:rsidR="006A4CA2">
        <w:rPr>
          <w:sz w:val="24"/>
          <w:szCs w:val="24"/>
          <w:lang w:val="en-US"/>
        </w:rPr>
        <w:instrText>ADDIN CSL_CITATION {"citationItems":[{"id":"ITEM-1","itemData":{"DOI":"10.1186/s13054-020-02993-5","ISSN":"1466-609X (Electronic)","PMID":"32503670","abstract":"INTRODUCTION: Sepsis biomarkers can have important diagnostic, therapeutic, and  prognostic functions. In a previous review, we identified 3370 references reporting on 178 different biomarkers related to sepsis. In the present review, we evaluate the progress in the research of sepsis biomarkers. METHODS: Using the same methodology as in our previous review, we searched the PubMed database from 2009 until September 2019 using the terms \"Biomarker\" AND \"Sepsis.\" There were no restrictions by age or language, and all studies, clinical and experimental, were included. RESULTS: We retrieved a total of 5367 new references since our previous review. We identified 258 biomarkers, 80 of which were new compared to our previous list. The majority of biomarkers have been evaluated in fewer than 5 studies, with 81 (31%) being assessed in just a single study. Apart from studies of C-reactive protein (CRP) or procalcitonin (PCT), only 26 biomarkers have been assessed in clinical studies with more than 300 participants. Forty biomarkers have been compared to PCT and/or CRP for their diagnostic value; 9 were shown to have a better diagnostic value for sepsis than either or both of these biomarkers. Forty-four biomarkers have been evaluated for a role in answering a specific clinical question rather than for their general diagnostic or prognostic properties in sepsis. CONCLUSIONS: The number of biomarkers being identified is still increasing although at a slower rate than in the past. Most of the biomarkers have not been well-studied; in particular, the clinical role of these biomarkers needs to be better evaluated.","author":[{"dropping-particle":"","family":"Pierrakos","given":"Charalampos","non-dropping-particle":"","parse-names":false,"suffix":""},{"dropping-particle":"","family":"Velissaris","given":"Dimitrios","non-dropping-particle":"","parse-names":false,"suffix":""},{"dropping-particle":"","family":"Bisdorff","given":"Max","non-dropping-particle":"","parse-names":false,"suffix":""},{"dropping-particle":"","family":"Marshall","given":"John C","non-dropping-particle":"","parse-names":false,"suffix":""},{"dropping-particle":"","family":"Vincent","given":"Jean-Louis","non-dropping-particle":"","parse-names":false,"suffix":""}],"container-title":"Critical care (London, England)","id":"ITEM-1","issue":"1","issued":{"date-parts":[["2020","6"]]},"language":"eng","page":"287","title":"Biomarkers of sepsis: time for a reappraisal.","type":"article-journal","volume":"24"},"uris":["http://www.mendeley.com/documents/?uuid=9b223c9d-84b6-4724-af72-4cb29f804943"]}],"mendeley":{"formattedCitation":"[7]","plainTextFormattedCitation":"[7]","previouslyFormattedCitation":"[26]"},"properties":{"noteIndex":0},"schema":"https://github.com/citation-style-language/schema/raw/master/csl-citation.json"}</w:instrText>
      </w:r>
      <w:r w:rsidR="003301E6">
        <w:rPr>
          <w:sz w:val="24"/>
          <w:szCs w:val="24"/>
          <w:lang w:val="en-US"/>
        </w:rPr>
        <w:fldChar w:fldCharType="separate"/>
      </w:r>
      <w:r w:rsidR="006A4CA2" w:rsidRPr="006A4CA2">
        <w:rPr>
          <w:noProof/>
          <w:sz w:val="24"/>
          <w:szCs w:val="24"/>
          <w:lang w:val="en-US"/>
        </w:rPr>
        <w:t>[7]</w:t>
      </w:r>
      <w:r w:rsidR="003301E6">
        <w:rPr>
          <w:sz w:val="24"/>
          <w:szCs w:val="24"/>
          <w:lang w:val="en-US"/>
        </w:rPr>
        <w:fldChar w:fldCharType="end"/>
      </w:r>
      <w:r w:rsidR="003301E6">
        <w:rPr>
          <w:sz w:val="24"/>
          <w:szCs w:val="24"/>
          <w:lang w:val="en-US"/>
        </w:rPr>
        <w:t xml:space="preserve">. Therefore, we performed a secondary analysis in which we sought to evaluate if ageing associated host response aberrations changes when correcting the ageing-driven higher disease severity. </w:t>
      </w:r>
      <w:r w:rsidR="003301E6" w:rsidRPr="009110EE">
        <w:rPr>
          <w:sz w:val="24"/>
          <w:szCs w:val="24"/>
          <w:lang w:val="en-US"/>
        </w:rPr>
        <w:t xml:space="preserve">The severity adjusted ANCOVA included the </w:t>
      </w:r>
      <w:r w:rsidR="003301E6" w:rsidRPr="009110EE">
        <w:rPr>
          <w:rFonts w:cstheme="minorHAnsi"/>
          <w:sz w:val="24"/>
          <w:szCs w:val="24"/>
          <w:lang w:val="en-GB"/>
        </w:rPr>
        <w:t>Sequential Organ Failure Score</w:t>
      </w:r>
      <w:r w:rsidR="003301E6" w:rsidRPr="009110EE">
        <w:rPr>
          <w:sz w:val="24"/>
          <w:szCs w:val="24"/>
          <w:lang w:val="en-US"/>
        </w:rPr>
        <w:t xml:space="preserve"> (SOFA) score, </w:t>
      </w:r>
      <w:r w:rsidR="003301E6" w:rsidRPr="009110EE">
        <w:rPr>
          <w:rFonts w:cstheme="minorHAnsi"/>
          <w:sz w:val="24"/>
          <w:szCs w:val="24"/>
          <w:lang w:val="en-GB"/>
        </w:rPr>
        <w:t>Acute Physiology and Chronic Health Evaluation</w:t>
      </w:r>
      <w:r w:rsidR="003301E6" w:rsidRPr="009110EE">
        <w:rPr>
          <w:sz w:val="24"/>
          <w:szCs w:val="24"/>
          <w:lang w:val="en-US"/>
        </w:rPr>
        <w:t xml:space="preserve"> IV </w:t>
      </w:r>
      <w:r w:rsidR="003301E6" w:rsidRPr="009110EE">
        <w:rPr>
          <w:rFonts w:cstheme="minorHAnsi"/>
          <w:sz w:val="24"/>
          <w:szCs w:val="24"/>
          <w:lang w:val="en-GB"/>
        </w:rPr>
        <w:t xml:space="preserve">Acute Physiology </w:t>
      </w:r>
      <w:r w:rsidR="003301E6" w:rsidRPr="009110EE">
        <w:rPr>
          <w:sz w:val="24"/>
          <w:szCs w:val="24"/>
          <w:lang w:val="en-US"/>
        </w:rPr>
        <w:t xml:space="preserve">(APACHE IV APS) score, and </w:t>
      </w:r>
      <w:r w:rsidR="003301E6">
        <w:rPr>
          <w:sz w:val="24"/>
          <w:szCs w:val="24"/>
          <w:lang w:val="en-US"/>
        </w:rPr>
        <w:t xml:space="preserve">prevalence of </w:t>
      </w:r>
      <w:r w:rsidR="003301E6" w:rsidRPr="009110EE">
        <w:rPr>
          <w:sz w:val="24"/>
          <w:szCs w:val="24"/>
          <w:lang w:val="en-US"/>
        </w:rPr>
        <w:t xml:space="preserve">shock and acute kidney injury on </w:t>
      </w:r>
      <w:r w:rsidR="003301E6">
        <w:rPr>
          <w:sz w:val="24"/>
          <w:szCs w:val="24"/>
          <w:lang w:val="en-US"/>
        </w:rPr>
        <w:t xml:space="preserve">ICU </w:t>
      </w:r>
      <w:r w:rsidR="003301E6" w:rsidRPr="009110EE">
        <w:rPr>
          <w:sz w:val="24"/>
          <w:szCs w:val="24"/>
          <w:lang w:val="en-US"/>
        </w:rPr>
        <w:t>admission.</w:t>
      </w:r>
      <w:r w:rsidR="003301E6">
        <w:rPr>
          <w:sz w:val="24"/>
          <w:szCs w:val="24"/>
          <w:lang w:val="en-US"/>
        </w:rPr>
        <w:t xml:space="preserve"> </w:t>
      </w:r>
      <w:r w:rsidR="004D725A" w:rsidRPr="009110EE">
        <w:rPr>
          <w:sz w:val="24"/>
          <w:szCs w:val="24"/>
          <w:lang w:val="en-US"/>
        </w:rPr>
        <w:t>For the</w:t>
      </w:r>
      <w:r w:rsidR="000D3ABE" w:rsidRPr="009110EE">
        <w:rPr>
          <w:sz w:val="24"/>
          <w:szCs w:val="24"/>
          <w:lang w:val="en-US"/>
        </w:rPr>
        <w:t xml:space="preserve"> </w:t>
      </w:r>
      <w:r w:rsidR="006B5D8F" w:rsidRPr="009110EE">
        <w:rPr>
          <w:sz w:val="24"/>
          <w:szCs w:val="24"/>
          <w:lang w:val="en-US"/>
        </w:rPr>
        <w:t>ANCOVA</w:t>
      </w:r>
      <w:r w:rsidR="004D725A" w:rsidRPr="009110EE">
        <w:rPr>
          <w:sz w:val="24"/>
          <w:szCs w:val="24"/>
          <w:lang w:val="en-US"/>
        </w:rPr>
        <w:t>, homogeneity of the regression slopes was evaluat</w:t>
      </w:r>
      <w:r w:rsidR="00AC0692" w:rsidRPr="009110EE">
        <w:rPr>
          <w:sz w:val="24"/>
          <w:szCs w:val="24"/>
          <w:lang w:val="en-US"/>
        </w:rPr>
        <w:t>ed</w:t>
      </w:r>
      <w:r w:rsidR="004D725A" w:rsidRPr="009110EE">
        <w:rPr>
          <w:sz w:val="24"/>
          <w:szCs w:val="24"/>
          <w:lang w:val="en-US"/>
        </w:rPr>
        <w:t xml:space="preserve"> by analyzing interaction terms of age and each covariate followed by visual inspection of scatter plots with regression lines. </w:t>
      </w:r>
      <w:r w:rsidR="00AC0692" w:rsidRPr="009110EE">
        <w:rPr>
          <w:sz w:val="24"/>
          <w:szCs w:val="24"/>
          <w:lang w:val="en-US"/>
        </w:rPr>
        <w:t>The n</w:t>
      </w:r>
      <w:r w:rsidR="004D725A" w:rsidRPr="009110EE">
        <w:rPr>
          <w:sz w:val="24"/>
          <w:szCs w:val="24"/>
          <w:lang w:val="en-US"/>
        </w:rPr>
        <w:t xml:space="preserve">ormality of the residuals was </w:t>
      </w:r>
      <w:r w:rsidR="0062305C" w:rsidRPr="009110EE">
        <w:rPr>
          <w:sz w:val="24"/>
          <w:szCs w:val="24"/>
          <w:lang w:val="en-US"/>
        </w:rPr>
        <w:t>assessed</w:t>
      </w:r>
      <w:r w:rsidR="004D725A" w:rsidRPr="009110EE">
        <w:rPr>
          <w:sz w:val="24"/>
          <w:szCs w:val="24"/>
          <w:lang w:val="en-US"/>
        </w:rPr>
        <w:t xml:space="preserve"> by visual inspection of histograms</w:t>
      </w:r>
      <w:r w:rsidR="00AC0692" w:rsidRPr="009110EE">
        <w:rPr>
          <w:sz w:val="24"/>
          <w:szCs w:val="24"/>
          <w:lang w:val="en-US"/>
        </w:rPr>
        <w:t xml:space="preserve"> and quantile-quantile plots</w:t>
      </w:r>
      <w:r w:rsidR="004D725A" w:rsidRPr="009110EE">
        <w:rPr>
          <w:sz w:val="24"/>
          <w:szCs w:val="24"/>
          <w:lang w:val="en-US"/>
        </w:rPr>
        <w:t>. At last, homogeneity of the resid</w:t>
      </w:r>
      <w:r w:rsidR="00244C96" w:rsidRPr="009110EE">
        <w:rPr>
          <w:sz w:val="24"/>
          <w:szCs w:val="24"/>
          <w:lang w:val="en-US"/>
        </w:rPr>
        <w:t>ual variances was tested using the</w:t>
      </w:r>
      <w:r w:rsidR="004D725A" w:rsidRPr="009110EE">
        <w:rPr>
          <w:sz w:val="24"/>
          <w:szCs w:val="24"/>
          <w:lang w:val="en-US"/>
        </w:rPr>
        <w:t xml:space="preserve"> </w:t>
      </w:r>
      <w:proofErr w:type="spellStart"/>
      <w:r w:rsidR="004D725A" w:rsidRPr="009110EE">
        <w:rPr>
          <w:sz w:val="24"/>
          <w:szCs w:val="24"/>
          <w:lang w:val="en-US"/>
        </w:rPr>
        <w:t>Levene’s</w:t>
      </w:r>
      <w:proofErr w:type="spellEnd"/>
      <w:r w:rsidR="004D725A" w:rsidRPr="009110EE">
        <w:rPr>
          <w:sz w:val="24"/>
          <w:szCs w:val="24"/>
          <w:lang w:val="en-US"/>
        </w:rPr>
        <w:t xml:space="preserve"> test, while </w:t>
      </w:r>
      <w:proofErr w:type="spellStart"/>
      <w:r w:rsidR="004D725A" w:rsidRPr="009110EE">
        <w:rPr>
          <w:sz w:val="24"/>
          <w:szCs w:val="24"/>
          <w:lang w:val="en-US"/>
        </w:rPr>
        <w:t>multicollinearity</w:t>
      </w:r>
      <w:proofErr w:type="spellEnd"/>
      <w:r w:rsidR="004D725A" w:rsidRPr="009110EE">
        <w:rPr>
          <w:sz w:val="24"/>
          <w:szCs w:val="24"/>
          <w:lang w:val="en-US"/>
        </w:rPr>
        <w:t xml:space="preserve"> was assessed using variance inflation factors</w:t>
      </w:r>
      <w:r w:rsidR="005D5D6B" w:rsidRPr="009110EE">
        <w:rPr>
          <w:sz w:val="24"/>
          <w:szCs w:val="24"/>
          <w:lang w:val="en-US"/>
        </w:rPr>
        <w:t xml:space="preserve"> with a cutoff of </w:t>
      </w:r>
      <w:r w:rsidR="002821C7" w:rsidRPr="009110EE">
        <w:rPr>
          <w:sz w:val="24"/>
          <w:szCs w:val="24"/>
          <w:lang w:val="en-US"/>
        </w:rPr>
        <w:t>2.5.</w:t>
      </w:r>
      <w:r w:rsidR="002821C7" w:rsidRPr="009110EE">
        <w:rPr>
          <w:rStyle w:val="CommentReference"/>
          <w:sz w:val="24"/>
          <w:szCs w:val="24"/>
          <w:lang w:val="en-GB"/>
        </w:rPr>
        <w:t xml:space="preserve"> </w:t>
      </w:r>
      <w:r w:rsidR="002821C7" w:rsidRPr="009110EE">
        <w:rPr>
          <w:sz w:val="24"/>
          <w:szCs w:val="24"/>
          <w:lang w:val="en-US"/>
        </w:rPr>
        <w:t>W</w:t>
      </w:r>
      <w:r w:rsidR="004D725A" w:rsidRPr="009110EE">
        <w:rPr>
          <w:sz w:val="24"/>
          <w:szCs w:val="24"/>
          <w:lang w:val="en-US"/>
        </w:rPr>
        <w:t>hen analy</w:t>
      </w:r>
      <w:r w:rsidR="00AC0692" w:rsidRPr="009110EE">
        <w:rPr>
          <w:sz w:val="24"/>
          <w:szCs w:val="24"/>
          <w:lang w:val="en-US"/>
        </w:rPr>
        <w:t>z</w:t>
      </w:r>
      <w:r w:rsidR="004D725A" w:rsidRPr="009110EE">
        <w:rPr>
          <w:sz w:val="24"/>
          <w:szCs w:val="24"/>
          <w:lang w:val="en-US"/>
        </w:rPr>
        <w:t>ing overall differences in platelet count</w:t>
      </w:r>
      <w:r w:rsidR="00161458">
        <w:rPr>
          <w:sz w:val="24"/>
          <w:szCs w:val="24"/>
          <w:lang w:val="en-US"/>
        </w:rPr>
        <w:t xml:space="preserve"> among age groups</w:t>
      </w:r>
      <w:r w:rsidR="004D725A" w:rsidRPr="009110EE">
        <w:rPr>
          <w:sz w:val="24"/>
          <w:szCs w:val="24"/>
          <w:lang w:val="en-US"/>
        </w:rPr>
        <w:t xml:space="preserve"> in the disease severity model, the SOFA score was replaced by a modified SOFA score in which the coagulation element was excluded</w:t>
      </w:r>
      <w:r w:rsidR="0047428B">
        <w:rPr>
          <w:sz w:val="24"/>
          <w:szCs w:val="24"/>
          <w:lang w:val="en-US"/>
        </w:rPr>
        <w:t>.</w:t>
      </w:r>
    </w:p>
    <w:p w14:paraId="47745775" w14:textId="22432A0D" w:rsidR="00C921A4" w:rsidRPr="009110EE" w:rsidRDefault="00F768DF" w:rsidP="00BB4DB1">
      <w:pPr>
        <w:spacing w:line="480" w:lineRule="auto"/>
        <w:ind w:right="-568"/>
        <w:rPr>
          <w:sz w:val="24"/>
          <w:szCs w:val="24"/>
          <w:lang w:val="en-US"/>
        </w:rPr>
      </w:pPr>
      <w:r w:rsidRPr="009110EE">
        <w:rPr>
          <w:sz w:val="24"/>
          <w:szCs w:val="24"/>
          <w:lang w:val="en-US"/>
        </w:rPr>
        <w:lastRenderedPageBreak/>
        <w:t xml:space="preserve">For the </w:t>
      </w:r>
      <w:r w:rsidR="00895439" w:rsidRPr="009110EE">
        <w:rPr>
          <w:sz w:val="24"/>
          <w:szCs w:val="24"/>
          <w:lang w:val="en-US"/>
        </w:rPr>
        <w:t>sensitivity</w:t>
      </w:r>
      <w:r w:rsidRPr="009110EE">
        <w:rPr>
          <w:sz w:val="24"/>
          <w:szCs w:val="24"/>
          <w:lang w:val="en-US"/>
        </w:rPr>
        <w:t xml:space="preserve"> analysis</w:t>
      </w:r>
      <w:r w:rsidR="00BA69F1" w:rsidRPr="009110EE">
        <w:rPr>
          <w:sz w:val="24"/>
          <w:szCs w:val="24"/>
          <w:lang w:val="en-US"/>
        </w:rPr>
        <w:t>,</w:t>
      </w:r>
      <w:r w:rsidRPr="009110EE">
        <w:rPr>
          <w:sz w:val="24"/>
          <w:szCs w:val="24"/>
          <w:lang w:val="en-US"/>
        </w:rPr>
        <w:t xml:space="preserve"> age was </w:t>
      </w:r>
      <w:r w:rsidR="009249D7" w:rsidRPr="009110EE">
        <w:rPr>
          <w:sz w:val="24"/>
          <w:szCs w:val="24"/>
          <w:lang w:val="en-US"/>
        </w:rPr>
        <w:t xml:space="preserve">modelled </w:t>
      </w:r>
      <w:r w:rsidRPr="009110EE">
        <w:rPr>
          <w:sz w:val="24"/>
          <w:szCs w:val="24"/>
          <w:lang w:val="en-US"/>
        </w:rPr>
        <w:t xml:space="preserve">as a </w:t>
      </w:r>
      <w:r w:rsidR="0039204B" w:rsidRPr="009110EE">
        <w:rPr>
          <w:sz w:val="24"/>
          <w:szCs w:val="24"/>
          <w:lang w:val="en-US"/>
        </w:rPr>
        <w:t>continuous</w:t>
      </w:r>
      <w:r w:rsidRPr="009110EE">
        <w:rPr>
          <w:sz w:val="24"/>
          <w:szCs w:val="24"/>
          <w:lang w:val="en-US"/>
        </w:rPr>
        <w:t xml:space="preserve"> variable</w:t>
      </w:r>
      <w:r w:rsidR="0036756B" w:rsidRPr="009110EE">
        <w:rPr>
          <w:sz w:val="24"/>
          <w:szCs w:val="24"/>
          <w:lang w:val="en-US"/>
        </w:rPr>
        <w:t xml:space="preserve">. </w:t>
      </w:r>
      <w:r w:rsidRPr="009110EE">
        <w:rPr>
          <w:sz w:val="24"/>
          <w:szCs w:val="24"/>
          <w:lang w:val="en-US"/>
        </w:rPr>
        <w:t xml:space="preserve">Linearity of age with </w:t>
      </w:r>
      <w:r w:rsidR="0039204B" w:rsidRPr="009110EE">
        <w:rPr>
          <w:sz w:val="24"/>
          <w:szCs w:val="24"/>
          <w:lang w:val="en-US"/>
        </w:rPr>
        <w:t>biomarker concentrations</w:t>
      </w:r>
      <w:r w:rsidRPr="009110EE">
        <w:rPr>
          <w:sz w:val="24"/>
          <w:szCs w:val="24"/>
          <w:lang w:val="en-US"/>
        </w:rPr>
        <w:t xml:space="preserve"> was </w:t>
      </w:r>
      <w:r w:rsidR="00895439" w:rsidRPr="009110EE">
        <w:rPr>
          <w:sz w:val="24"/>
          <w:szCs w:val="24"/>
          <w:lang w:val="en-US"/>
        </w:rPr>
        <w:t>assessed</w:t>
      </w:r>
      <w:r w:rsidRPr="009110EE">
        <w:rPr>
          <w:sz w:val="24"/>
          <w:szCs w:val="24"/>
          <w:lang w:val="en-US"/>
        </w:rPr>
        <w:t xml:space="preserve"> using a restricted cubic spline</w:t>
      </w:r>
      <w:r w:rsidR="00085DC2" w:rsidRPr="009110EE">
        <w:rPr>
          <w:sz w:val="24"/>
          <w:szCs w:val="24"/>
          <w:lang w:val="en-US"/>
        </w:rPr>
        <w:t xml:space="preserve"> regression</w:t>
      </w:r>
      <w:r w:rsidRPr="009110EE">
        <w:rPr>
          <w:sz w:val="24"/>
          <w:szCs w:val="24"/>
          <w:lang w:val="en-US"/>
        </w:rPr>
        <w:t xml:space="preserve"> </w:t>
      </w:r>
      <w:r w:rsidR="00085DC2" w:rsidRPr="009110EE">
        <w:rPr>
          <w:sz w:val="24"/>
          <w:szCs w:val="24"/>
          <w:lang w:val="en-US"/>
        </w:rPr>
        <w:t>analysis</w:t>
      </w:r>
      <w:r w:rsidR="004F0EC3" w:rsidRPr="009110EE">
        <w:rPr>
          <w:sz w:val="24"/>
          <w:szCs w:val="24"/>
          <w:lang w:val="en-US"/>
        </w:rPr>
        <w:t xml:space="preserve"> (with n=3</w:t>
      </w:r>
      <w:r w:rsidR="00E51272" w:rsidRPr="009110EE">
        <w:rPr>
          <w:sz w:val="24"/>
          <w:szCs w:val="24"/>
          <w:lang w:val="en-US"/>
        </w:rPr>
        <w:t xml:space="preserve"> knots at default location)</w:t>
      </w:r>
      <w:r w:rsidRPr="009110EE">
        <w:rPr>
          <w:sz w:val="24"/>
          <w:szCs w:val="24"/>
          <w:lang w:val="en-US"/>
        </w:rPr>
        <w:t>.</w:t>
      </w:r>
      <w:r w:rsidR="00E51272" w:rsidRPr="009110EE">
        <w:rPr>
          <w:sz w:val="24"/>
          <w:szCs w:val="24"/>
          <w:lang w:val="en-US"/>
        </w:rPr>
        <w:t xml:space="preserve"> Nonlinearity was assessed </w:t>
      </w:r>
      <w:r w:rsidR="00F43E57" w:rsidRPr="009110EE">
        <w:rPr>
          <w:sz w:val="24"/>
          <w:szCs w:val="24"/>
          <w:lang w:val="en-US"/>
        </w:rPr>
        <w:t>by a Wald test of the nonlinear terms of the restricted cubic spline (p&lt;0.05 indicating nonlinearity).</w:t>
      </w:r>
      <w:r w:rsidR="00704D96" w:rsidRPr="009110EE">
        <w:rPr>
          <w:sz w:val="24"/>
          <w:szCs w:val="24"/>
          <w:lang w:val="en-US"/>
        </w:rPr>
        <w:t xml:space="preserve"> </w:t>
      </w:r>
      <w:r w:rsidR="00AE7279">
        <w:rPr>
          <w:sz w:val="24"/>
          <w:szCs w:val="24"/>
          <w:lang w:val="en-US"/>
        </w:rPr>
        <w:t xml:space="preserve">Biomarkers </w:t>
      </w:r>
      <w:r w:rsidR="00141019">
        <w:rPr>
          <w:sz w:val="24"/>
          <w:szCs w:val="24"/>
          <w:lang w:val="en-US"/>
        </w:rPr>
        <w:t>that</w:t>
      </w:r>
      <w:r w:rsidR="005C0F4C" w:rsidRPr="009110EE">
        <w:rPr>
          <w:sz w:val="24"/>
          <w:szCs w:val="24"/>
          <w:lang w:val="en-US"/>
        </w:rPr>
        <w:t xml:space="preserve"> showed a linear relationship with age were </w:t>
      </w:r>
      <w:proofErr w:type="spellStart"/>
      <w:r w:rsidR="005C0F4C" w:rsidRPr="009110EE">
        <w:rPr>
          <w:sz w:val="24"/>
          <w:szCs w:val="24"/>
          <w:lang w:val="en-US"/>
        </w:rPr>
        <w:t>analysed</w:t>
      </w:r>
      <w:proofErr w:type="spellEnd"/>
      <w:r w:rsidR="005C0F4C" w:rsidRPr="009110EE">
        <w:rPr>
          <w:sz w:val="24"/>
          <w:szCs w:val="24"/>
          <w:lang w:val="en-US"/>
        </w:rPr>
        <w:t xml:space="preserve"> using a linear regression analysis, nonlinear biomarkers</w:t>
      </w:r>
      <w:r w:rsidR="00DA79E3">
        <w:rPr>
          <w:sz w:val="24"/>
          <w:szCs w:val="24"/>
          <w:lang w:val="en-US"/>
        </w:rPr>
        <w:t xml:space="preserve"> were </w:t>
      </w:r>
      <w:proofErr w:type="spellStart"/>
      <w:r w:rsidR="00DA79E3">
        <w:rPr>
          <w:sz w:val="24"/>
          <w:szCs w:val="24"/>
          <w:lang w:val="en-US"/>
        </w:rPr>
        <w:t>analysed</w:t>
      </w:r>
      <w:proofErr w:type="spellEnd"/>
      <w:r w:rsidR="005C0F4C" w:rsidRPr="009110EE">
        <w:rPr>
          <w:sz w:val="24"/>
          <w:szCs w:val="24"/>
          <w:lang w:val="en-US"/>
        </w:rPr>
        <w:t xml:space="preserve"> using a restricted cubic spline function with 3 inner knots.</w:t>
      </w:r>
      <w:r w:rsidR="003301E6">
        <w:rPr>
          <w:sz w:val="24"/>
          <w:szCs w:val="24"/>
          <w:lang w:val="en-US"/>
        </w:rPr>
        <w:t xml:space="preserve"> </w:t>
      </w:r>
      <w:r w:rsidR="0063568A">
        <w:rPr>
          <w:sz w:val="24"/>
          <w:szCs w:val="24"/>
          <w:lang w:val="en-US"/>
        </w:rPr>
        <w:t>All biomarker analyses (ANOVA, ANCOVA, regression analysis) were</w:t>
      </w:r>
      <w:r w:rsidR="008A4A26">
        <w:rPr>
          <w:sz w:val="24"/>
          <w:szCs w:val="24"/>
          <w:lang w:val="en-US"/>
        </w:rPr>
        <w:t xml:space="preserve"> </w:t>
      </w:r>
      <w:r w:rsidR="003301E6">
        <w:rPr>
          <w:sz w:val="24"/>
          <w:szCs w:val="24"/>
          <w:lang w:val="en-US"/>
        </w:rPr>
        <w:t>m</w:t>
      </w:r>
      <w:r w:rsidR="0063568A">
        <w:rPr>
          <w:sz w:val="24"/>
          <w:szCs w:val="24"/>
          <w:lang w:val="en-US"/>
        </w:rPr>
        <w:t xml:space="preserve">ultiple testing corrected </w:t>
      </w:r>
      <w:r w:rsidR="003301E6">
        <w:rPr>
          <w:sz w:val="24"/>
          <w:szCs w:val="24"/>
          <w:lang w:val="en-US"/>
        </w:rPr>
        <w:t xml:space="preserve">using the </w:t>
      </w:r>
      <w:proofErr w:type="spellStart"/>
      <w:r w:rsidR="003301E6">
        <w:rPr>
          <w:sz w:val="24"/>
          <w:szCs w:val="24"/>
          <w:lang w:val="en-US"/>
        </w:rPr>
        <w:t>Benjamini</w:t>
      </w:r>
      <w:proofErr w:type="spellEnd"/>
      <w:r w:rsidR="003301E6">
        <w:rPr>
          <w:sz w:val="24"/>
          <w:szCs w:val="24"/>
          <w:lang w:val="en-US"/>
        </w:rPr>
        <w:t>-Hochberg (BH) method for the conduction of 17 tests (</w:t>
      </w:r>
      <w:r w:rsidR="0063568A">
        <w:rPr>
          <w:sz w:val="24"/>
          <w:szCs w:val="24"/>
          <w:lang w:val="en-US"/>
        </w:rPr>
        <w:t xml:space="preserve">testing of </w:t>
      </w:r>
      <w:r w:rsidR="003301E6">
        <w:rPr>
          <w:sz w:val="24"/>
          <w:szCs w:val="24"/>
          <w:lang w:val="en-US"/>
        </w:rPr>
        <w:t xml:space="preserve">17 biomarkers).   </w:t>
      </w:r>
    </w:p>
    <w:p w14:paraId="509D196A" w14:textId="77777777" w:rsidR="00C921A4" w:rsidRPr="009110EE" w:rsidRDefault="00C921A4" w:rsidP="00BB4DB1">
      <w:pPr>
        <w:spacing w:line="480" w:lineRule="auto"/>
        <w:ind w:right="-568"/>
        <w:rPr>
          <w:sz w:val="24"/>
          <w:szCs w:val="24"/>
          <w:lang w:val="en-US"/>
        </w:rPr>
      </w:pPr>
    </w:p>
    <w:p w14:paraId="1B64C4AC" w14:textId="67F7651A" w:rsidR="006B5D8F" w:rsidRPr="0063568A" w:rsidRDefault="002A460D" w:rsidP="00BB4DB1">
      <w:pPr>
        <w:spacing w:line="480" w:lineRule="auto"/>
        <w:ind w:right="-568"/>
        <w:rPr>
          <w:rFonts w:cstheme="minorHAnsi"/>
          <w:sz w:val="24"/>
          <w:szCs w:val="24"/>
          <w:lang w:val="en-US"/>
        </w:rPr>
      </w:pPr>
      <w:r>
        <w:rPr>
          <w:sz w:val="24"/>
          <w:szCs w:val="24"/>
          <w:lang w:val="en-US"/>
        </w:rPr>
        <w:t xml:space="preserve">For the </w:t>
      </w:r>
      <w:r w:rsidR="00704D96" w:rsidRPr="009110EE">
        <w:rPr>
          <w:sz w:val="24"/>
          <w:szCs w:val="24"/>
          <w:lang w:val="en-US"/>
        </w:rPr>
        <w:t xml:space="preserve">weighted gene co-expression network analysis, </w:t>
      </w:r>
      <w:r w:rsidR="006B589A" w:rsidRPr="009110EE">
        <w:rPr>
          <w:rFonts w:cstheme="minorHAnsi"/>
          <w:sz w:val="24"/>
          <w:szCs w:val="24"/>
          <w:lang w:val="en-US"/>
        </w:rPr>
        <w:t>we removed low expressed genes by select</w:t>
      </w:r>
      <w:r w:rsidR="007F39E7" w:rsidRPr="009110EE">
        <w:rPr>
          <w:rFonts w:cstheme="minorHAnsi"/>
          <w:sz w:val="24"/>
          <w:szCs w:val="24"/>
          <w:lang w:val="en-US"/>
        </w:rPr>
        <w:t>ing the 10% most variable genes</w:t>
      </w:r>
      <w:r w:rsidR="006B589A" w:rsidRPr="009110EE">
        <w:rPr>
          <w:rFonts w:cstheme="minorHAnsi"/>
          <w:sz w:val="24"/>
          <w:szCs w:val="24"/>
          <w:lang w:val="en-US"/>
        </w:rPr>
        <w:t xml:space="preserve"> </w:t>
      </w:r>
      <w:r w:rsidR="006B589A" w:rsidRPr="009110EE">
        <w:rPr>
          <w:rFonts w:cstheme="minorHAnsi"/>
          <w:sz w:val="24"/>
          <w:szCs w:val="24"/>
          <w:lang w:val="en-US"/>
        </w:rPr>
        <w:fldChar w:fldCharType="begin" w:fldLock="1"/>
      </w:r>
      <w:r w:rsidR="006A4CA2">
        <w:rPr>
          <w:rFonts w:cstheme="minorHAnsi"/>
          <w:sz w:val="24"/>
          <w:szCs w:val="24"/>
          <w:lang w:val="en-US"/>
        </w:rPr>
        <w:instrText>ADDIN CSL_CITATION {"citationItems":[{"id":"ITEM-1","itemData":{"DOI":"10.1016/S2213-2600(16)00046-1","ISSN":"2213-2619 (Electronic)","PMID":"26917434","abstract":"BACKGROUND: Effective targeted therapy for sepsis requires an understanding of the  heterogeneity in the individual host response to infection. We investigated this heterogeneity by defining interindividual variation in the transcriptome of patients with sepsis and related this to outcome and genetic diversity. METHODS: We assayed peripheral blood leucocyte global gene expression for a prospective discovery cohort of 265 adult patients admitted to UK intensive care units with sepsis due to community-acquired pneumonia and evidence of organ dysfunction. We then validated our findings in a replication cohort consisting of a further 106 patients. We mapped genomic determinants of variation in gene transcription between patients as expression quantitative trait loci (eQTL). FINDINGS: We discovered that following admission to intensive care, transcriptomic analysis of peripheral blood leucocytes defines two distinct sepsis response signatures (SRS1 and SRS2). The presence of SRS1 (detected in 108 [41%] patients in discovery cohort) identifies individuals with an immunosuppressed phenotype that included features of endotoxin tolerance, T-cell exhaustion, and downregulation of human leucocyte antigen (HLA) class II. SRS1 was associated with higher 14 day mortality than was SRS2 (discovery cohort hazard ratio (HR) 2·4, 95% CI 1·3-4·5, p=0·005; validation cohort HR 2·8, 95% CI 1·5-5·1, p=0·0007). We found that a predictive set of seven genes enabled the classification of patients as SRS1 or SRS2. We identified cis-acting and trans-acting eQTL for key immune and metabolic response genes and sepsis response networks. Sepsis eQTL were enriched in endotoxin-induced epigenetic marks and modulated the individual host response to sepsis, including effects specific to SRS group. We identified regulatory genetic variants involving key mediators of gene networks implicated in the hypoxic response and the switch to glycolysis that occurs in sepsis, including HIF1α and mTOR, and mediators of endotoxin tolerance, T-cell activation, and viral defence. INTERPRETATION: Our integrated genomics approach advances understanding of heterogeneity in sepsis by defining subgroups of patients with different immune response states and prognoses, as well as revealing the role of underlying genetic variation. Our findings provide new insights into the pathogenesis of sepsis and create opportunities for a precision medicine approach to enable targeted therapeutic intervention to improve sep…","author":[{"dropping-particle":"","family":"Davenport","given":"Emma E","non-dropping-particle":"","parse-names":false,"suffix":""},{"dropping-particle":"","family":"Burnham","given":"Katie L","non-dropping-particle":"","parse-names":false,"suffix":""},{"dropping-particle":"","family":"Radhakrishnan","given":"Jayachandran","non-dropping-particle":"","parse-names":false,"suffix":""},{"dropping-particle":"","family":"Humburg","given":"Peter","non-dropping-particle":"","parse-names":false,"suffix":""},{"dropping-particle":"","family":"Hutton","given":"Paula","non-dropping-particle":"","parse-names":false,"suffix":""},{"dropping-particle":"","family":"Mills","given":"Tara C","non-dropping-particle":"","parse-names":false,"suffix":""},{"dropping-particle":"","family":"Rautanen","given":"Anna","non-dropping-particle":"","parse-names":false,"suffix":""},{"dropping-particle":"","family":"Gordon","given":"Anthony C","non-dropping-particle":"","parse-names":false,"suffix":""},{"dropping-particle":"","family":"Garrard","given":"Christopher","non-dropping-particle":"","parse-names":false,"suffix":""},{"dropping-particle":"","family":"Hill","given":"Adrian V S","non-dropping-particle":"","parse-names":false,"suffix":""},{"dropping-particle":"","family":"Hinds","given":"Charles J","non-dropping-particle":"","parse-names":false,"suffix":""},{"dropping-particle":"","family":"Knight","given":"Julian C","non-dropping-particle":"","parse-names":false,"suffix":""}],"container-title":"The Lancet. Respiratory medicine","id":"ITEM-1","issue":"4","issued":{"date-parts":[["2016","4"]]},"language":"eng","page":"259-271","title":"Genomic landscape of the individual host response and outcomes in sepsis: a  prospective cohort study.","type":"article-journal","volume":"4"},"uris":["http://www.mendeley.com/documents/?uuid=b48b7d1a-77be-4701-92d0-f18be8295963"]}],"mendeley":{"formattedCitation":"[9]","plainTextFormattedCitation":"[9]","previouslyFormattedCitation":"[6]"},"properties":{"noteIndex":0},"schema":"https://github.com/citation-style-language/schema/raw/master/csl-citation.json"}</w:instrText>
      </w:r>
      <w:r w:rsidR="006B589A" w:rsidRPr="009110EE">
        <w:rPr>
          <w:rFonts w:cstheme="minorHAnsi"/>
          <w:sz w:val="24"/>
          <w:szCs w:val="24"/>
          <w:lang w:val="en-US"/>
        </w:rPr>
        <w:fldChar w:fldCharType="separate"/>
      </w:r>
      <w:r w:rsidR="006A4CA2" w:rsidRPr="006A4CA2">
        <w:rPr>
          <w:rFonts w:cstheme="minorHAnsi"/>
          <w:noProof/>
          <w:sz w:val="24"/>
          <w:szCs w:val="24"/>
          <w:lang w:val="en-US"/>
        </w:rPr>
        <w:t>[9]</w:t>
      </w:r>
      <w:r w:rsidR="006B589A" w:rsidRPr="009110EE">
        <w:rPr>
          <w:rFonts w:cstheme="minorHAnsi"/>
          <w:sz w:val="24"/>
          <w:szCs w:val="24"/>
          <w:lang w:val="en-US"/>
        </w:rPr>
        <w:fldChar w:fldCharType="end"/>
      </w:r>
      <w:r w:rsidR="007F39E7" w:rsidRPr="009110EE">
        <w:rPr>
          <w:rFonts w:cstheme="minorHAnsi"/>
          <w:sz w:val="24"/>
          <w:szCs w:val="24"/>
          <w:lang w:val="en-US"/>
        </w:rPr>
        <w:t>.</w:t>
      </w:r>
      <w:r w:rsidR="006B589A" w:rsidRPr="009110EE">
        <w:rPr>
          <w:rFonts w:cstheme="minorHAnsi"/>
          <w:sz w:val="24"/>
          <w:szCs w:val="24"/>
          <w:lang w:val="en-US"/>
        </w:rPr>
        <w:t xml:space="preserve"> O</w:t>
      </w:r>
      <w:r w:rsidR="00704D96" w:rsidRPr="009110EE">
        <w:rPr>
          <w:rFonts w:cstheme="minorHAnsi"/>
          <w:sz w:val="24"/>
          <w:szCs w:val="24"/>
          <w:lang w:val="en-US"/>
        </w:rPr>
        <w:t>utliers were detected using hierarchical average linkage clustering. The appropriate power value to obtain a scale-free network was based on the “</w:t>
      </w:r>
      <w:proofErr w:type="spellStart"/>
      <w:r w:rsidR="00704D96" w:rsidRPr="009110EE">
        <w:rPr>
          <w:rFonts w:cstheme="minorHAnsi"/>
          <w:sz w:val="24"/>
          <w:szCs w:val="24"/>
          <w:lang w:val="en-US"/>
        </w:rPr>
        <w:t>pickSoftThreshold</w:t>
      </w:r>
      <w:proofErr w:type="spellEnd"/>
      <w:r w:rsidR="00704D96" w:rsidRPr="009110EE">
        <w:rPr>
          <w:rFonts w:cstheme="minorHAnsi"/>
          <w:sz w:val="24"/>
          <w:szCs w:val="24"/>
          <w:lang w:val="en-US"/>
        </w:rPr>
        <w:t xml:space="preserve">” function in which the </w:t>
      </w:r>
      <w:r w:rsidR="00E16E65">
        <w:rPr>
          <w:rFonts w:cstheme="minorHAnsi"/>
          <w:sz w:val="24"/>
          <w:szCs w:val="24"/>
          <w:lang w:val="en-US"/>
        </w:rPr>
        <w:t>network type was set to signed. T</w:t>
      </w:r>
      <w:r w:rsidR="00704D96" w:rsidRPr="009110EE">
        <w:rPr>
          <w:rFonts w:cstheme="minorHAnsi"/>
          <w:sz w:val="24"/>
          <w:szCs w:val="24"/>
          <w:lang w:val="en-US"/>
        </w:rPr>
        <w:t>he scale independence and mean connectivity was tested using a p</w:t>
      </w:r>
      <w:r w:rsidR="007F39E7" w:rsidRPr="009110EE">
        <w:rPr>
          <w:rFonts w:cstheme="minorHAnsi"/>
          <w:sz w:val="24"/>
          <w:szCs w:val="24"/>
          <w:lang w:val="en-US"/>
        </w:rPr>
        <w:t>ower value ranging from 1 to 20</w:t>
      </w:r>
      <w:r w:rsidR="00704D96" w:rsidRPr="009110EE">
        <w:rPr>
          <w:rFonts w:cstheme="minorHAnsi"/>
          <w:sz w:val="24"/>
          <w:szCs w:val="24"/>
          <w:lang w:val="en-US"/>
        </w:rPr>
        <w:t xml:space="preserve"> </w:t>
      </w:r>
      <w:r w:rsidR="00704D96" w:rsidRPr="009110EE">
        <w:rPr>
          <w:rFonts w:cstheme="minorHAnsi"/>
          <w:sz w:val="24"/>
          <w:szCs w:val="24"/>
          <w:lang w:val="en-US"/>
        </w:rPr>
        <w:fldChar w:fldCharType="begin" w:fldLock="1"/>
      </w:r>
      <w:r w:rsidR="006A4CA2">
        <w:rPr>
          <w:rFonts w:cstheme="minorHAnsi"/>
          <w:sz w:val="24"/>
          <w:szCs w:val="24"/>
          <w:lang w:val="en-US"/>
        </w:rPr>
        <w:instrText>ADDIN CSL_CITATION {"citationItems":[{"id":"ITEM-1","itemData":{"DOI":"10.1186/1471-2105-9-559","ISSN":"1471-2105","abstract":"Correlation networks are increasingly being used in bioinformatics applications. For example, weighted gene co-expression network analysis is a systems biology method for describing the correlation patterns among genes across microarray samples. Weighted correlation network analysis (WGCNA) can be used for finding clusters (modules) of highly correlated genes, for summarizing such clusters using the module eigengene or an intramodular hub gene, for relating modules to one another and to external sample traits (using eigengene network methodology), and for calculating module membership measures. Correlation networks facilitate network based gene screening methods that can be used to identify candidate biomarkers or therapeutic targets. These methods have been successfully applied in various biological contexts, e.g. cancer, mouse genetics, yeast genetics, and analysis of brain imaging data. While parts of the correlation network methodology have been described in separate publications, there is a need to provide a user-friendly, comprehensive, and consistent software implementation and an accompanying tutorial.","author":[{"dropping-particle":"","family":"Langfelder","given":"Peter","non-dropping-particle":"","parse-names":false,"suffix":""},{"dropping-particle":"","family":"Horvath","given":"Steve","non-dropping-particle":"","parse-names":false,"suffix":""}],"container-title":"BMC Bioinformatics","id":"ITEM-1","issue":"1","issued":{"date-parts":[["2008"]]},"page":"559","title":"WGCNA: an R package for weighted correlation network analysis","type":"article-journal","volume":"9"},"uris":["http://www.mendeley.com/documents/?uuid=c2b87df2-9c8d-4ef6-95a3-fcf735a55501"]}],"mendeley":{"formattedCitation":"[10]","plainTextFormattedCitation":"[10]","previouslyFormattedCitation":"[7]"},"properties":{"noteIndex":0},"schema":"https://github.com/citation-style-language/schema/raw/master/csl-citation.json"}</w:instrText>
      </w:r>
      <w:r w:rsidR="00704D96" w:rsidRPr="009110EE">
        <w:rPr>
          <w:rFonts w:cstheme="minorHAnsi"/>
          <w:sz w:val="24"/>
          <w:szCs w:val="24"/>
          <w:lang w:val="en-US"/>
        </w:rPr>
        <w:fldChar w:fldCharType="separate"/>
      </w:r>
      <w:r w:rsidR="006A4CA2" w:rsidRPr="006A4CA2">
        <w:rPr>
          <w:rFonts w:cstheme="minorHAnsi"/>
          <w:noProof/>
          <w:sz w:val="24"/>
          <w:szCs w:val="24"/>
          <w:lang w:val="en-US"/>
        </w:rPr>
        <w:t>[10]</w:t>
      </w:r>
      <w:r w:rsidR="00704D96" w:rsidRPr="009110EE">
        <w:rPr>
          <w:rFonts w:cstheme="minorHAnsi"/>
          <w:sz w:val="24"/>
          <w:szCs w:val="24"/>
          <w:lang w:val="en-US"/>
        </w:rPr>
        <w:fldChar w:fldCharType="end"/>
      </w:r>
      <w:r w:rsidR="007F39E7" w:rsidRPr="009110EE">
        <w:rPr>
          <w:rFonts w:cstheme="minorHAnsi"/>
          <w:sz w:val="24"/>
          <w:szCs w:val="24"/>
          <w:lang w:val="en-US"/>
        </w:rPr>
        <w:t>.</w:t>
      </w:r>
      <w:r w:rsidR="00704D96" w:rsidRPr="009110EE">
        <w:rPr>
          <w:rFonts w:cstheme="minorHAnsi"/>
          <w:sz w:val="24"/>
          <w:szCs w:val="24"/>
          <w:lang w:val="en-US"/>
        </w:rPr>
        <w:t xml:space="preserve"> Using the obtained power value, the Pearson’s correlation matrix of all gene pairs was transformed into an adjacency matrix and topological overlap matrix. Modules</w:t>
      </w:r>
      <w:r w:rsidR="00447990" w:rsidRPr="009110EE">
        <w:rPr>
          <w:rFonts w:cstheme="minorHAnsi"/>
          <w:sz w:val="24"/>
          <w:szCs w:val="24"/>
          <w:lang w:val="en-US"/>
        </w:rPr>
        <w:t>, which represent genes with high topological overlap,</w:t>
      </w:r>
      <w:r w:rsidR="00704D96" w:rsidRPr="009110EE">
        <w:rPr>
          <w:rFonts w:cstheme="minorHAnsi"/>
          <w:sz w:val="24"/>
          <w:szCs w:val="24"/>
          <w:lang w:val="en-US"/>
        </w:rPr>
        <w:t xml:space="preserve"> were identified using the dynamic tree cut algorithm with a m</w:t>
      </w:r>
      <w:r w:rsidR="007F39E7" w:rsidRPr="009110EE">
        <w:rPr>
          <w:rFonts w:cstheme="minorHAnsi"/>
          <w:sz w:val="24"/>
          <w:szCs w:val="24"/>
          <w:lang w:val="en-US"/>
        </w:rPr>
        <w:t>inimal cluster size of 40 genes</w:t>
      </w:r>
      <w:r w:rsidR="00704D96" w:rsidRPr="009110EE">
        <w:rPr>
          <w:rFonts w:cstheme="minorHAnsi"/>
          <w:sz w:val="24"/>
          <w:szCs w:val="24"/>
          <w:lang w:val="en-US"/>
        </w:rPr>
        <w:t xml:space="preserve"> </w:t>
      </w:r>
      <w:r w:rsidR="00704D96" w:rsidRPr="009110EE">
        <w:rPr>
          <w:rFonts w:cstheme="minorHAnsi"/>
          <w:sz w:val="24"/>
          <w:szCs w:val="24"/>
          <w:lang w:val="en-US"/>
        </w:rPr>
        <w:fldChar w:fldCharType="begin" w:fldLock="1"/>
      </w:r>
      <w:r w:rsidR="006A4CA2">
        <w:rPr>
          <w:rFonts w:cstheme="minorHAnsi"/>
          <w:sz w:val="24"/>
          <w:szCs w:val="24"/>
          <w:lang w:val="en-US"/>
        </w:rPr>
        <w:instrText>ADDIN CSL_CITATION {"citationItems":[{"id":"ITEM-1","itemData":{"DOI":"10.1186/1471-2105-9-559","ISSN":"1471-2105","abstract":"Correlation networks are increasingly being used in bioinformatics applications. For example, weighted gene co-expression network analysis is a systems biology method for describing the correlation patterns among genes across microarray samples. Weighted correlation network analysis (WGCNA) can be used for finding clusters (modules) of highly correlated genes, for summarizing such clusters using the module eigengene or an intramodular hub gene, for relating modules to one another and to external sample traits (using eigengene network methodology), and for calculating module membership measures. Correlation networks facilitate network based gene screening methods that can be used to identify candidate biomarkers or therapeutic targets. These methods have been successfully applied in various biological contexts, e.g. cancer, mouse genetics, yeast genetics, and analysis of brain imaging data. While parts of the correlation network methodology have been described in separate publications, there is a need to provide a user-friendly, comprehensive, and consistent software implementation and an accompanying tutorial.","author":[{"dropping-particle":"","family":"Langfelder","given":"Peter","non-dropping-particle":"","parse-names":false,"suffix":""},{"dropping-particle":"","family":"Horvath","given":"Steve","non-dropping-particle":"","parse-names":false,"suffix":""}],"container-title":"BMC Bioinformatics","id":"ITEM-1","issue":"1","issued":{"date-parts":[["2008"]]},"page":"559","title":"WGCNA: an R package for weighted correlation network analysis","type":"article-journal","volume":"9"},"uris":["http://www.mendeley.com/documents/?uuid=c2b87df2-9c8d-4ef6-95a3-fcf735a55501"]}],"mendeley":{"formattedCitation":"[10]","plainTextFormattedCitation":"[10]","previouslyFormattedCitation":"[7]"},"properties":{"noteIndex":0},"schema":"https://github.com/citation-style-language/schema/raw/master/csl-citation.json"}</w:instrText>
      </w:r>
      <w:r w:rsidR="00704D96" w:rsidRPr="009110EE">
        <w:rPr>
          <w:rFonts w:cstheme="minorHAnsi"/>
          <w:sz w:val="24"/>
          <w:szCs w:val="24"/>
          <w:lang w:val="en-US"/>
        </w:rPr>
        <w:fldChar w:fldCharType="separate"/>
      </w:r>
      <w:r w:rsidR="006A4CA2" w:rsidRPr="006A4CA2">
        <w:rPr>
          <w:rFonts w:cstheme="minorHAnsi"/>
          <w:noProof/>
          <w:sz w:val="24"/>
          <w:szCs w:val="24"/>
          <w:lang w:val="en-US"/>
        </w:rPr>
        <w:t>[10]</w:t>
      </w:r>
      <w:r w:rsidR="00704D96" w:rsidRPr="009110EE">
        <w:rPr>
          <w:rFonts w:cstheme="minorHAnsi"/>
          <w:sz w:val="24"/>
          <w:szCs w:val="24"/>
          <w:lang w:val="en-US"/>
        </w:rPr>
        <w:fldChar w:fldCharType="end"/>
      </w:r>
      <w:r w:rsidR="007F39E7" w:rsidRPr="009110EE">
        <w:rPr>
          <w:rFonts w:cstheme="minorHAnsi"/>
          <w:sz w:val="24"/>
          <w:szCs w:val="24"/>
          <w:lang w:val="en-US"/>
        </w:rPr>
        <w:t>.</w:t>
      </w:r>
      <w:r w:rsidR="006B5D8F" w:rsidRPr="009110EE">
        <w:rPr>
          <w:rFonts w:cstheme="minorHAnsi"/>
          <w:sz w:val="24"/>
          <w:szCs w:val="24"/>
          <w:lang w:val="en-US"/>
        </w:rPr>
        <w:t xml:space="preserve"> Similar modules were merged based on a correlation coefficient greater than 0.75 </w:t>
      </w:r>
      <w:r w:rsidR="006B5D8F" w:rsidRPr="009110EE">
        <w:rPr>
          <w:rFonts w:cstheme="minorHAnsi"/>
          <w:sz w:val="24"/>
          <w:szCs w:val="24"/>
          <w:lang w:val="en-US"/>
        </w:rPr>
        <w:fldChar w:fldCharType="begin" w:fldLock="1"/>
      </w:r>
      <w:r w:rsidR="006A4CA2">
        <w:rPr>
          <w:rFonts w:cstheme="minorHAnsi"/>
          <w:sz w:val="24"/>
          <w:szCs w:val="24"/>
          <w:lang w:val="en-US"/>
        </w:rPr>
        <w:instrText>ADDIN CSL_CITATION {"citationItems":[{"id":"ITEM-1","itemData":{"DOI":"10.1186/s12935-020-01707-9","ISSN":"1475-2867","abstract":"Although immune checkpoint blockade has emerged as a novel promising strategy for triple-negative breast cancer (TNBC), many patients fail response or acquire resistance to current agents. Consequently, our focus need to shift toward alternative inhibitory targets, predictor for responsiveness, and immune suppressive mechanisms.","author":[{"dropping-particle":"","family":"Li","given":"Zheng","non-dropping-particle":"","parse-names":false,"suffix":""},{"dropping-particle":"","family":"Li","given":"Yaming","non-dropping-particle":"","parse-names":false,"suffix":""},{"dropping-particle":"","family":"Wang","given":"Xiaolong","non-dropping-particle":"","parse-names":false,"suffix":""},{"dropping-particle":"","family":"Yang","given":"Qifeng","non-dropping-particle":"","parse-names":false,"suffix":""}],"container-title":"Cancer Cell International","id":"ITEM-1","issue":"1","issued":{"date-parts":[["2021"]]},"page":"13","title":"PPP2R2B downregulation is associated with immune evasion and predicts poor clinical outcomes in triple-negative breast cancer","type":"article-journal","volume":"21"},"uris":["http://www.mendeley.com/documents/?uuid=f57f11dd-aec1-472a-8cfa-6a9f80c15cac"]}],"mendeley":{"formattedCitation":"[11]","plainTextFormattedCitation":"[11]","previouslyFormattedCitation":"[8]"},"properties":{"noteIndex":0},"schema":"https://github.com/citation-style-language/schema/raw/master/csl-citation.json"}</w:instrText>
      </w:r>
      <w:r w:rsidR="006B5D8F" w:rsidRPr="009110EE">
        <w:rPr>
          <w:rFonts w:cstheme="minorHAnsi"/>
          <w:sz w:val="24"/>
          <w:szCs w:val="24"/>
          <w:lang w:val="en-US"/>
        </w:rPr>
        <w:fldChar w:fldCharType="separate"/>
      </w:r>
      <w:r w:rsidR="006A4CA2" w:rsidRPr="006A4CA2">
        <w:rPr>
          <w:rFonts w:cstheme="minorHAnsi"/>
          <w:noProof/>
          <w:sz w:val="24"/>
          <w:szCs w:val="24"/>
          <w:lang w:val="en-US"/>
        </w:rPr>
        <w:t>[11]</w:t>
      </w:r>
      <w:r w:rsidR="006B5D8F" w:rsidRPr="009110EE">
        <w:rPr>
          <w:rFonts w:cstheme="minorHAnsi"/>
          <w:sz w:val="24"/>
          <w:szCs w:val="24"/>
          <w:lang w:val="en-US"/>
        </w:rPr>
        <w:fldChar w:fldCharType="end"/>
      </w:r>
      <w:r w:rsidR="006B5D8F" w:rsidRPr="009110EE">
        <w:rPr>
          <w:rFonts w:cstheme="minorHAnsi"/>
          <w:sz w:val="24"/>
          <w:szCs w:val="24"/>
          <w:lang w:val="en-US"/>
        </w:rPr>
        <w:t xml:space="preserve">. Next, </w:t>
      </w:r>
      <w:proofErr w:type="spellStart"/>
      <w:r w:rsidR="006B5D8F" w:rsidRPr="009110EE">
        <w:rPr>
          <w:rFonts w:cstheme="minorHAnsi"/>
          <w:sz w:val="24"/>
          <w:szCs w:val="24"/>
          <w:lang w:val="en-US"/>
        </w:rPr>
        <w:t>eigengene</w:t>
      </w:r>
      <w:proofErr w:type="spellEnd"/>
      <w:r w:rsidR="006B5D8F" w:rsidRPr="009110EE">
        <w:rPr>
          <w:rFonts w:cstheme="minorHAnsi"/>
          <w:sz w:val="24"/>
          <w:szCs w:val="24"/>
          <w:lang w:val="en-US"/>
        </w:rPr>
        <w:t>-based connectivity (KME), a continuous measure of Module Membership</w:t>
      </w:r>
      <w:r w:rsidR="00833A58">
        <w:rPr>
          <w:rFonts w:cstheme="minorHAnsi"/>
          <w:sz w:val="24"/>
          <w:szCs w:val="24"/>
          <w:lang w:val="en-US"/>
        </w:rPr>
        <w:t xml:space="preserve"> </w:t>
      </w:r>
      <w:r w:rsidR="00833A58">
        <w:rPr>
          <w:rFonts w:cstheme="minorHAnsi"/>
          <w:sz w:val="24"/>
          <w:szCs w:val="24"/>
          <w:lang w:val="en-US"/>
        </w:rPr>
        <w:fldChar w:fldCharType="begin" w:fldLock="1"/>
      </w:r>
      <w:r w:rsidR="006A4CA2">
        <w:rPr>
          <w:rFonts w:cstheme="minorHAnsi"/>
          <w:sz w:val="24"/>
          <w:szCs w:val="24"/>
          <w:lang w:val="en-US"/>
        </w:rPr>
        <w:instrText>ADDIN CSL_CITATION {"citationItems":[{"id":"ITEM-1","itemData":{"abstract":"Author Summary Similar to natural languages, network language is ever evolving. While some network terms (concepts) are widely used in gene coexpression network analysis, others still need to be developed to meet the ever increasing demand for describing the system of gene transcripts. There is a need to provide an intuitive geometric explanation of network concepts and to study their relationships. For example, we show that certain seemingly disparate network concepts turn out to be synonyms in the context of coexpression modules. We show how coexpression network language affects our understanding of biology. For example, there are geometric reasons why highly connected hub genes in important coexpression modules tend to be important, and why hub genes in one module cannot be hubs in another distinct module. We provide a short dictionary for translating between microarray data analysis language and network theory language to facilitate communication between the two fields. We describe several examples that illustrate how the two data analysis fields can inform each other.","author":[{"dropping-particle":"","family":"Horvath","given":"Steve","non-dropping-particle":"","parse-names":false,"suffix":""},{"dropping-particle":"","family":"Dong","given":"Jun","non-dropping-particle":"","parse-names":false,"suffix":""}],"container-title":"PLOS Computational Biology","id":"ITEM-1","issue":"8","issued":{"date-parts":[["2008","8","15"]]},"page":"e1000117","publisher":"Public Library of Science","title":"Geometric Interpretation of Gene Coexpression Network Analysis","type":"article-journal","volume":"4"},"uris":["http://www.mendeley.com/documents/?uuid=49d70d46-d2d8-402a-b1a0-0c23ec5ddd1f"]}],"mendeley":{"formattedCitation":"[12]","plainTextFormattedCitation":"[12]","previouslyFormattedCitation":"[9]"},"properties":{"noteIndex":0},"schema":"https://github.com/citation-style-language/schema/raw/master/csl-citation.json"}</w:instrText>
      </w:r>
      <w:r w:rsidR="00833A58">
        <w:rPr>
          <w:rFonts w:cstheme="minorHAnsi"/>
          <w:sz w:val="24"/>
          <w:szCs w:val="24"/>
          <w:lang w:val="en-US"/>
        </w:rPr>
        <w:fldChar w:fldCharType="separate"/>
      </w:r>
      <w:r w:rsidR="006A4CA2" w:rsidRPr="006A4CA2">
        <w:rPr>
          <w:rFonts w:cstheme="minorHAnsi"/>
          <w:noProof/>
          <w:sz w:val="24"/>
          <w:szCs w:val="24"/>
          <w:lang w:val="en-US"/>
        </w:rPr>
        <w:t>[12]</w:t>
      </w:r>
      <w:r w:rsidR="00833A58">
        <w:rPr>
          <w:rFonts w:cstheme="minorHAnsi"/>
          <w:sz w:val="24"/>
          <w:szCs w:val="24"/>
          <w:lang w:val="en-US"/>
        </w:rPr>
        <w:fldChar w:fldCharType="end"/>
      </w:r>
      <w:r w:rsidR="006B5D8F" w:rsidRPr="009110EE">
        <w:rPr>
          <w:rFonts w:cstheme="minorHAnsi"/>
          <w:sz w:val="24"/>
          <w:szCs w:val="24"/>
          <w:lang w:val="en-US"/>
        </w:rPr>
        <w:t>, was c</w:t>
      </w:r>
      <w:r w:rsidR="00E16E65">
        <w:rPr>
          <w:rFonts w:cstheme="minorHAnsi"/>
          <w:sz w:val="24"/>
          <w:szCs w:val="24"/>
          <w:lang w:val="en-US"/>
        </w:rPr>
        <w:t>alculated for each gene.</w:t>
      </w:r>
      <w:r w:rsidR="006B5D8F" w:rsidRPr="009110EE">
        <w:rPr>
          <w:rFonts w:cstheme="minorHAnsi"/>
          <w:sz w:val="24"/>
          <w:szCs w:val="24"/>
          <w:lang w:val="en-US"/>
        </w:rPr>
        <w:t xml:space="preserve"> Genes weakly correlated to all obtained modules</w:t>
      </w:r>
      <w:r w:rsidR="00E16E65">
        <w:rPr>
          <w:rFonts w:cstheme="minorHAnsi"/>
          <w:sz w:val="24"/>
          <w:szCs w:val="24"/>
          <w:lang w:val="en-US"/>
        </w:rPr>
        <w:t xml:space="preserve"> (|KME|&lt;0.7) were not assigned</w:t>
      </w:r>
      <w:r w:rsidR="006B5D8F" w:rsidRPr="009110EE">
        <w:rPr>
          <w:rFonts w:cstheme="minorHAnsi"/>
          <w:sz w:val="24"/>
          <w:szCs w:val="24"/>
          <w:lang w:val="en-US"/>
        </w:rPr>
        <w:t xml:space="preserve"> </w:t>
      </w:r>
      <w:r w:rsidR="006B5D8F" w:rsidRPr="009110EE">
        <w:rPr>
          <w:rFonts w:cstheme="minorHAnsi"/>
          <w:sz w:val="24"/>
          <w:szCs w:val="24"/>
          <w:lang w:val="en-US"/>
        </w:rPr>
        <w:fldChar w:fldCharType="begin" w:fldLock="1"/>
      </w:r>
      <w:r w:rsidR="006A4CA2">
        <w:rPr>
          <w:rFonts w:cstheme="minorHAnsi"/>
          <w:sz w:val="24"/>
          <w:szCs w:val="24"/>
          <w:lang w:val="en-US"/>
        </w:rPr>
        <w:instrText>ADDIN CSL_CITATION {"citationItems":[{"id":"ITEM-1","itemData":{"DOI":"10.1038/s41598-017-05044-2","ISSN":"2045-2322","abstract":"Based on the severity of liver fibrosis, low or high-risk profile of developing end-stage liver disease was present in nonalcoholic fatty liver disease (NAFLD). However, the mechanisms inducing transition from mild to advanced NAFLD are still elusive. We performed a system-level study on fibrosing-NAFLD by weighted gene co-expression network analysis (WGCNA) to identify significant modules in the network, and followed by functional and pathway enrichment analyses. Moreover, hub genes in the module were analyzed by network feature selection. As a result, fourteen distinct gene modules were identified, and seven modules showed significant associations with the status of NAFLD. Module preservation analysis confirmed that these modules can also be found in diverse independent datasets. After network feature analysis, the magenta module demonstrated a remarkably correlation with NAFLD fibrosis. The top hub genes with high connectivity or gene significance in the module were ultimately determined, including LUM, THBS2, FBN1 and EFEMP1. These genes were further verified in clinical samples. Finally, the potential regulators of magenta module were characterized. These findings highlighted a module and affiliated genes as playing important roles in the regulation of fibrosis in NAFLD, which may point to potential targets for therapeutic interventions.","author":[{"dropping-particle":"","family":"Lou","given":"Yi","non-dropping-particle":"","parse-names":false,"suffix":""},{"dropping-particle":"","family":"Tian","given":"Guo-Yan","non-dropping-particle":"","parse-names":false,"suffix":""},{"dropping-particle":"","family":"Song","given":"Yu","non-dropping-particle":"","parse-names":false,"suffix":""},{"dropping-particle":"","family":"Liu","given":"Yin-Lan","non-dropping-particle":"","parse-names":false,"suffix":""},{"dropping-particle":"","family":"Chen","given":"Yi-Dan","non-dropping-particle":"","parse-names":false,"suffix":""},{"dropping-particle":"","family":"Shi","given":"Jun-Ping","non-dropping-particle":"","parse-names":false,"suffix":""},{"dropping-particle":"","family":"Yang","given":"Jin","non-dropping-particle":"","parse-names":false,"suffix":""}],"container-title":"Scientific Reports","id":"ITEM-1","issue":"1","issued":{"date-parts":[["2017"]]},"page":"4748","title":"Characterization of transcriptional modules related to fibrosing-NAFLD progression","type":"article-journal","volume":"7"},"uris":["http://www.mendeley.com/documents/?uuid=89f45b78-4cf4-44e9-9af9-9d083ac11dda"]}],"mendeley":{"formattedCitation":"[13]","plainTextFormattedCitation":"[13]","previouslyFormattedCitation":"[10]"},"properties":{"noteIndex":0},"schema":"https://github.com/citation-style-language/schema/raw/master/csl-citation.json"}</w:instrText>
      </w:r>
      <w:r w:rsidR="006B5D8F" w:rsidRPr="009110EE">
        <w:rPr>
          <w:rFonts w:cstheme="minorHAnsi"/>
          <w:sz w:val="24"/>
          <w:szCs w:val="24"/>
          <w:lang w:val="en-US"/>
        </w:rPr>
        <w:fldChar w:fldCharType="separate"/>
      </w:r>
      <w:r w:rsidR="006A4CA2" w:rsidRPr="006A4CA2">
        <w:rPr>
          <w:rFonts w:cstheme="minorHAnsi"/>
          <w:noProof/>
          <w:sz w:val="24"/>
          <w:szCs w:val="24"/>
          <w:lang w:val="en-US"/>
        </w:rPr>
        <w:t>[13]</w:t>
      </w:r>
      <w:r w:rsidR="006B5D8F" w:rsidRPr="009110EE">
        <w:rPr>
          <w:rFonts w:cstheme="minorHAnsi"/>
          <w:sz w:val="24"/>
          <w:szCs w:val="24"/>
          <w:lang w:val="en-US"/>
        </w:rPr>
        <w:fldChar w:fldCharType="end"/>
      </w:r>
      <w:r w:rsidR="00E16E65">
        <w:rPr>
          <w:rFonts w:cstheme="minorHAnsi"/>
          <w:sz w:val="24"/>
          <w:szCs w:val="24"/>
          <w:lang w:val="en-US"/>
        </w:rPr>
        <w:t>.</w:t>
      </w:r>
      <w:r w:rsidR="006B5D8F" w:rsidRPr="009110EE">
        <w:rPr>
          <w:rFonts w:cstheme="minorHAnsi"/>
          <w:sz w:val="24"/>
          <w:szCs w:val="24"/>
          <w:lang w:val="en-US"/>
        </w:rPr>
        <w:t xml:space="preserve"> Relevant modules were identified based on two methods. First, the module </w:t>
      </w:r>
      <w:proofErr w:type="spellStart"/>
      <w:r w:rsidR="006B5D8F" w:rsidRPr="009110EE">
        <w:rPr>
          <w:rFonts w:cstheme="minorHAnsi"/>
          <w:sz w:val="24"/>
          <w:szCs w:val="24"/>
          <w:lang w:val="en-US"/>
        </w:rPr>
        <w:t>eigengene</w:t>
      </w:r>
      <w:proofErr w:type="spellEnd"/>
      <w:r w:rsidR="006B5D8F" w:rsidRPr="009110EE">
        <w:rPr>
          <w:rFonts w:cstheme="minorHAnsi"/>
          <w:sz w:val="24"/>
          <w:szCs w:val="24"/>
          <w:lang w:val="en-US"/>
        </w:rPr>
        <w:t xml:space="preserve"> (ME), defined as the first principal component of that module</w:t>
      </w:r>
      <w:r>
        <w:rPr>
          <w:rFonts w:cstheme="minorHAnsi"/>
          <w:sz w:val="24"/>
          <w:szCs w:val="24"/>
          <w:lang w:val="en-US"/>
        </w:rPr>
        <w:t xml:space="preserve"> </w:t>
      </w:r>
      <w:r w:rsidR="00150E77">
        <w:rPr>
          <w:rFonts w:cstheme="minorHAnsi"/>
          <w:sz w:val="24"/>
          <w:szCs w:val="24"/>
          <w:lang w:val="en-US"/>
        </w:rPr>
        <w:fldChar w:fldCharType="begin" w:fldLock="1"/>
      </w:r>
      <w:r w:rsidR="006A4CA2">
        <w:rPr>
          <w:rFonts w:cstheme="minorHAnsi"/>
          <w:sz w:val="24"/>
          <w:szCs w:val="24"/>
          <w:lang w:val="en-US"/>
        </w:rPr>
        <w:instrText>ADDIN CSL_CITATION {"citationItems":[{"id":"ITEM-1","itemData":{"DOI":"10.1186/1471-2105-9-559","ISSN":"1471-2105","abstract":"Correlation networks are increasingly being used in bioinformatics applications. For example, weighted gene co-expression network analysis is a systems biology method for describing the correlation patterns among genes across microarray samples. Weighted correlation network analysis (WGCNA) can be used for finding clusters (modules) of highly correlated genes, for summarizing such clusters using the module eigengene or an intramodular hub gene, for relating modules to one another and to external sample traits (using eigengene network methodology), and for calculating module membership measures. Correlation networks facilitate network based gene screening methods that can be used to identify candidate biomarkers or therapeutic targets. These methods have been successfully applied in various biological contexts, e.g. cancer, mouse genetics, yeast genetics, and analysis of brain imaging data. While parts of the correlation network methodology have been described in separate publications, there is a need to provide a user-friendly, comprehensive, and consistent software implementation and an accompanying tutorial.","author":[{"dropping-particle":"","family":"Langfelder","given":"Peter","non-dropping-particle":"","parse-names":false,"suffix":""},{"dropping-particle":"","family":"Horvath","given":"Steve","non-dropping-particle":"","parse-names":false,"suffix":""}],"container-title":"BMC Bioinformatics","id":"ITEM-1","issue":"1","issued":{"date-parts":[["2008"]]},"page":"559","title":"WGCNA: an R package for weighted correlation network analysis","type":"article-journal","volume":"9"},"uris":["http://www.mendeley.com/documents/?uuid=c2b87df2-9c8d-4ef6-95a3-fcf735a55501"]}],"mendeley":{"formattedCitation":"[10]","plainTextFormattedCitation":"[10]","previouslyFormattedCitation":"[7]"},"properties":{"noteIndex":0},"schema":"https://github.com/citation-style-language/schema/raw/master/csl-citation.json"}</w:instrText>
      </w:r>
      <w:r w:rsidR="00150E77">
        <w:rPr>
          <w:rFonts w:cstheme="minorHAnsi"/>
          <w:sz w:val="24"/>
          <w:szCs w:val="24"/>
          <w:lang w:val="en-US"/>
        </w:rPr>
        <w:fldChar w:fldCharType="separate"/>
      </w:r>
      <w:r w:rsidR="006A4CA2" w:rsidRPr="006A4CA2">
        <w:rPr>
          <w:rFonts w:cstheme="minorHAnsi"/>
          <w:noProof/>
          <w:sz w:val="24"/>
          <w:szCs w:val="24"/>
          <w:lang w:val="en-US"/>
        </w:rPr>
        <w:t>[10]</w:t>
      </w:r>
      <w:r w:rsidR="00150E77">
        <w:rPr>
          <w:rFonts w:cstheme="minorHAnsi"/>
          <w:sz w:val="24"/>
          <w:szCs w:val="24"/>
          <w:lang w:val="en-US"/>
        </w:rPr>
        <w:fldChar w:fldCharType="end"/>
      </w:r>
      <w:r w:rsidR="006B5D8F" w:rsidRPr="009110EE">
        <w:rPr>
          <w:rFonts w:cstheme="minorHAnsi"/>
          <w:sz w:val="24"/>
          <w:szCs w:val="24"/>
          <w:lang w:val="en-US"/>
        </w:rPr>
        <w:t xml:space="preserve">, was compared between patients &lt;50 and ≥70 </w:t>
      </w:r>
      <w:r w:rsidR="00150E77">
        <w:rPr>
          <w:rFonts w:cstheme="minorHAnsi"/>
          <w:sz w:val="24"/>
          <w:szCs w:val="24"/>
          <w:lang w:val="en-US"/>
        </w:rPr>
        <w:t xml:space="preserve">using a Wilcoxon </w:t>
      </w:r>
      <w:r w:rsidR="00150E77">
        <w:rPr>
          <w:rFonts w:cstheme="minorHAnsi"/>
          <w:sz w:val="24"/>
          <w:szCs w:val="24"/>
          <w:lang w:val="en-US"/>
        </w:rPr>
        <w:lastRenderedPageBreak/>
        <w:t xml:space="preserve">rank-sum test. </w:t>
      </w:r>
      <w:r w:rsidR="006B5D8F" w:rsidRPr="009110EE">
        <w:rPr>
          <w:rFonts w:cstheme="minorHAnsi"/>
          <w:sz w:val="24"/>
          <w:szCs w:val="24"/>
          <w:lang w:val="en-US"/>
        </w:rPr>
        <w:t xml:space="preserve">Second, the average absolute gene significance of all genes in a given module was evaluated. Modules significant in both methods were further explored. Functional profiling was </w:t>
      </w:r>
      <w:r w:rsidR="00161458">
        <w:rPr>
          <w:rFonts w:cstheme="minorHAnsi"/>
          <w:sz w:val="24"/>
          <w:szCs w:val="24"/>
          <w:lang w:val="en-US"/>
        </w:rPr>
        <w:t>conducted in g:Profiler using on KME based</w:t>
      </w:r>
      <w:r w:rsidR="006B5D8F" w:rsidRPr="009110EE">
        <w:rPr>
          <w:rFonts w:cstheme="minorHAnsi"/>
          <w:sz w:val="24"/>
          <w:szCs w:val="24"/>
          <w:lang w:val="en-US"/>
        </w:rPr>
        <w:t xml:space="preserve"> ordered qu</w:t>
      </w:r>
      <w:r w:rsidR="00F05E8D">
        <w:rPr>
          <w:rFonts w:cstheme="minorHAnsi"/>
          <w:sz w:val="24"/>
          <w:szCs w:val="24"/>
          <w:lang w:val="en-US"/>
        </w:rPr>
        <w:t xml:space="preserve">ery </w:t>
      </w:r>
      <w:r w:rsidR="006B5D8F" w:rsidRPr="009110EE">
        <w:rPr>
          <w:rFonts w:cstheme="minorHAnsi"/>
          <w:sz w:val="24"/>
          <w:szCs w:val="24"/>
          <w:lang w:val="en-US"/>
        </w:rPr>
        <w:fldChar w:fldCharType="begin" w:fldLock="1"/>
      </w:r>
      <w:r w:rsidR="006A4CA2">
        <w:rPr>
          <w:rFonts w:cstheme="minorHAnsi"/>
          <w:sz w:val="24"/>
          <w:szCs w:val="24"/>
          <w:lang w:val="en-US"/>
        </w:rPr>
        <w:instrText>ADDIN CSL_CITATION {"citationItems":[{"id":"ITEM-1","itemData":{"DOI":"10.1093/nar/gkz369","ISSN":"1362-4962 (Electronic)","PMID":"31066453","abstract":"Biological data analysis often deals with lists of genes arising from various  studies. The g:Profiler toolset is widely used for finding biological categories enriched in gene lists, conversions between gene identifiers and mappings to their orthologs. The mission of g:Profiler is to provide a reliable service based on up-to-date high quality data in a convenient manner across many evidence types, identifier spaces and organisms. g:Profiler relies on Ensembl as a primary data source and follows their quarterly release cycle while updating the other data sources simultaneously. The current update provides a better user experience due to a modern responsive web interface, standardised API and libraries. The results are delivered through an interactive and configurable web design. Results can be downloaded as publication ready visualisations or delimited text files. In the current update we have extended the support to 467 species and strains, including vertebrates, plants, fungi, insects and parasites. By supporting user uploaded custom GMT files, g:Profiler is now capable of analysing data from any organism. All past releases are maintained for reproducibility and transparency. The 2019 update introduces an extensive technical rewrite making the services faster and more flexible. g:Profiler is freely available at https://biit.cs.ut.ee/gprofiler.","author":[{"dropping-particle":"","family":"Raudvere","given":"Uku","non-dropping-particle":"","parse-names":false,"suffix":""},{"dropping-particle":"","family":"Kolberg","given":"Liis","non-dropping-particle":"","parse-names":false,"suffix":""},{"dropping-particle":"","family":"Kuzmin","given":"Ivan","non-dropping-particle":"","parse-names":false,"suffix":""},{"dropping-particle":"","family":"Arak","given":"Tambet","non-dropping-particle":"","parse-names":false,"suffix":""},{"dropping-particle":"","family":"Adler","given":"Priit","non-dropping-particle":"","parse-names":false,"suffix":""},{"dropping-particle":"","family":"Peterson","given":"Hedi","non-dropping-particle":"","parse-names":false,"suffix":""},{"dropping-particle":"","family":"Vilo","given":"Jaak","non-dropping-particle":"","parse-names":false,"suffix":""}],"container-title":"Nucleic acids research","id":"ITEM-1","issue":"W1","issued":{"date-parts":[["2019","7"]]},"language":"eng","page":"W191-W198","title":"g:Profiler: a web server for functional enrichment analysis and conversions of  gene lists (2019 update).","type":"article-journal","volume":"47"},"uris":["http://www.mendeley.com/documents/?uuid=796649b9-5546-495a-ab4d-559104eee672"]}],"mendeley":{"formattedCitation":"[14]","plainTextFormattedCitation":"[14]","previouslyFormattedCitation":"[11]"},"properties":{"noteIndex":0},"schema":"https://github.com/citation-style-language/schema/raw/master/csl-citation.json"}</w:instrText>
      </w:r>
      <w:r w:rsidR="006B5D8F" w:rsidRPr="009110EE">
        <w:rPr>
          <w:rFonts w:cstheme="minorHAnsi"/>
          <w:sz w:val="24"/>
          <w:szCs w:val="24"/>
          <w:lang w:val="en-US"/>
        </w:rPr>
        <w:fldChar w:fldCharType="separate"/>
      </w:r>
      <w:r w:rsidR="006A4CA2" w:rsidRPr="006A4CA2">
        <w:rPr>
          <w:rFonts w:cstheme="minorHAnsi"/>
          <w:noProof/>
          <w:sz w:val="24"/>
          <w:szCs w:val="24"/>
          <w:lang w:val="en-US"/>
        </w:rPr>
        <w:t>[14]</w:t>
      </w:r>
      <w:r w:rsidR="006B5D8F" w:rsidRPr="009110EE">
        <w:rPr>
          <w:rFonts w:cstheme="minorHAnsi"/>
          <w:sz w:val="24"/>
          <w:szCs w:val="24"/>
          <w:lang w:val="en-US"/>
        </w:rPr>
        <w:fldChar w:fldCharType="end"/>
      </w:r>
      <w:r w:rsidR="00F05E8D">
        <w:rPr>
          <w:rFonts w:cstheme="minorHAnsi"/>
          <w:sz w:val="24"/>
          <w:szCs w:val="24"/>
          <w:lang w:val="en-US"/>
        </w:rPr>
        <w:t>.</w:t>
      </w:r>
      <w:r w:rsidR="006B5D8F" w:rsidRPr="009110EE">
        <w:rPr>
          <w:rFonts w:cstheme="minorHAnsi"/>
          <w:sz w:val="24"/>
          <w:szCs w:val="24"/>
          <w:lang w:val="en-US"/>
        </w:rPr>
        <w:t xml:space="preserve"> A BH adjusted p-value &lt;0.05 of a pathway within the Gene Ontology Biological Process or </w:t>
      </w:r>
      <w:proofErr w:type="spellStart"/>
      <w:r w:rsidR="006B5D8F" w:rsidRPr="009110EE">
        <w:rPr>
          <w:rFonts w:cstheme="minorHAnsi"/>
          <w:sz w:val="24"/>
          <w:szCs w:val="24"/>
          <w:lang w:val="en-US"/>
        </w:rPr>
        <w:t>Reactome</w:t>
      </w:r>
      <w:proofErr w:type="spellEnd"/>
      <w:r w:rsidR="006B5D8F" w:rsidRPr="009110EE">
        <w:rPr>
          <w:rFonts w:cstheme="minorHAnsi"/>
          <w:sz w:val="24"/>
          <w:szCs w:val="24"/>
          <w:lang w:val="en-US"/>
        </w:rPr>
        <w:t xml:space="preserve"> data</w:t>
      </w:r>
      <w:r w:rsidR="00FA540F">
        <w:rPr>
          <w:rFonts w:cstheme="minorHAnsi"/>
          <w:sz w:val="24"/>
          <w:szCs w:val="24"/>
          <w:lang w:val="en-US"/>
        </w:rPr>
        <w:t>base was considered significant</w:t>
      </w:r>
      <w:r w:rsidR="006B5D8F" w:rsidRPr="009110EE">
        <w:rPr>
          <w:rFonts w:cstheme="minorHAnsi"/>
          <w:sz w:val="24"/>
          <w:szCs w:val="24"/>
          <w:lang w:val="en-US"/>
        </w:rPr>
        <w:t xml:space="preserve"> </w:t>
      </w:r>
      <w:r w:rsidR="006B5D8F" w:rsidRPr="009110EE">
        <w:rPr>
          <w:rFonts w:cstheme="minorHAnsi"/>
          <w:sz w:val="24"/>
          <w:szCs w:val="24"/>
          <w:lang w:val="en-US"/>
        </w:rPr>
        <w:fldChar w:fldCharType="begin" w:fldLock="1"/>
      </w:r>
      <w:r w:rsidR="006A4CA2">
        <w:rPr>
          <w:rFonts w:cstheme="minorHAnsi"/>
          <w:sz w:val="24"/>
          <w:szCs w:val="24"/>
          <w:lang w:val="en-US"/>
        </w:rPr>
        <w:instrText>ADDIN CSL_CITATION {"citationItems":[{"id":"ITEM-1","itemData":{"DOI":"10.1093/nar/gkh036","ISSN":"0305-1048","abstract":"The Gene Ontology (GO) project ( http://www. geneontology.org/ ) provides structured, controlled vocabularies and classifications that cover several domains of molecular and cellular biology and are freely available for community use in the annotation of genes, gene products and sequences. Many model organism databases and genome annotation groups use the GO and contribute their annotation sets to the GO resource. The GO database integrates the vocabularies and contributed annotations and provides full access to this information in several formats. Members of the GO Consortium continually work collectively, involving outside experts as needed, to expand and update the GO vocabularies. The GO Web resource also provides access to extensive documentation about the GO project and links to applications that use GO data for functional analyses. ","author":[{"dropping-particle":"","family":"Consortium","given":"Gene Ontology","non-dropping-particle":"","parse-names":false,"suffix":""}],"container-title":"Nucleic Acids Research","id":"ITEM-1","issue":"suppl_1","issued":{"date-parts":[["2004","1","1"]]},"page":"D258-D261","title":"The Gene Ontology (GO) database and informatics resource","type":"article-journal","volume":"32"},"uris":["http://www.mendeley.com/documents/?uuid=513125a5-73aa-49c7-bfcc-beb994b30019"]},{"id":"ITEM-2","itemData":{"DOI":"10.1093/nar/gkz1031","ISSN":"1362-4962","abstract":"The Reactome Knowledgebase (https://reactome.org) provides molecular details of signal transduction, transport, DNA replication, metabolism and other cellular processes as an ordered network of molecular transformations in a single consistent data model, an extended version of a classic metabolic map. Reactome functions both as an archive of biological processes and as a tool for discovering functional relationships in data such as gene expression profiles or somatic mutation catalogs from tumor cells. To extend our ability to annotate human disease processes, we have implemented a new drug class and have used it initially to annotate drugs relevant to cardiovascular disease. Our annotation model depends on external domain experts to identify new areas for annotation and to review new content. New web pages facilitate recruitment of community experts and allow those who have contributed to Reactome to identify their contributions and link them to their ORCID records. To improve visualization of our content, we have implemented a new tool to automatically lay out the components of individual reactions with multiple options for downloading the reaction diagrams and associated data, and a new display of our event hierarchy that will facilitate visual interpretation of pathway analysis results.","author":[{"dropping-particle":"","family":"Jassal","given":"Bijay","non-dropping-particle":"","parse-names":false,"suffix":""},{"dropping-particle":"","family":"Matthews","given":"Lisa","non-dropping-particle":"","parse-names":false,"suffix":""},{"dropping-particle":"","family":"Viteri","given":"Guilherme","non-dropping-particle":"","parse-names":false,"suffix":""},{"dropping-particle":"","family":"Gong","given":"Chuqiao","non-dropping-particle":"","parse-names":false,"suffix":""},{"dropping-particle":"","family":"Lorente","given":"Pascual","non-dropping-particle":"","parse-names":false,"suffix":""},{"dropping-particle":"","family":"Fabregat","given":"Antonio","non-dropping-particle":"","parse-names":false,"suffix":""},{"dropping-particle":"","family":"Sidiropoulos","given":"Konstantinos","non-dropping-particle":"","parse-names":false,"suffix":""},{"dropping-particle":"","family":"Cook","given":"Justin","non-dropping-particle":"","parse-names":false,"suffix":""},{"dropping-particle":"","family":"Gillespie","given":"Marc","non-dropping-particle":"","parse-names":false,"suffix":""},{"dropping-particle":"","family":"Haw","given":"Robin","non-dropping-particle":"","parse-names":false,"suffix":""},{"dropping-particle":"","family":"Loney","given":"Fred","non-dropping-particle":"","parse-names":false,"suffix":""},{"dropping-particle":"","family":"May","given":"Bruce","non-dropping-particle":"","parse-names":false,"suffix":""},{"dropping-particle":"","family":"Milacic","given":"Marija","non-dropping-particle":"","parse-names":false,"suffix":""},{"dropping-particle":"","family":"Rothfels","given":"Karen","non-dropping-particle":"","parse-names":false,"suffix":""},{"dropping-particle":"","family":"Sevilla","given":"Cristoffer","non-dropping-particle":"","parse-names":false,"suffix":""},{"dropping-particle":"","family":"Shamovsky","given":"Veronica","non-dropping-particle":"","parse-names":false,"suffix":""},{"dropping-particle":"","family":"Shorser","given":"Solomon","non-dropping-particle":"","parse-names":false,"suffix":""},{"dropping-particle":"","family":"Varusai","given":"Thawfeek","non-dropping-particle":"","parse-names":false,"suffix":""},{"dropping-particle":"","family":"Weiser","given":"Joel","non-dropping-particle":"","parse-names":false,"suffix":""},{"dropping-particle":"","family":"Wu","given":"Guanming","non-dropping-particle":"","parse-names":false,"suffix":""},{"dropping-particle":"","family":"Stein","given":"Lincoln","non-dropping-particle":"","parse-names":false,"suffix":""},{"dropping-particle":"","family":"Hermjakob","given":"Henning","non-dropping-particle":"","parse-names":false,"suffix":""},{"dropping-particle":"","family":"D'Eustachio","given":"Peter","non-dropping-particle":"","parse-names":false,"suffix":""}],"container-title":"Nucleic acids research","id":"ITEM-2","issue":"D1","issued":{"date-parts":[["2020","1","8"]]},"language":"eng","page":"D498-D503","publisher":"Oxford University Press","title":"The reactome pathway knowledgebase","type":"article-journal","volume":"48"},"uris":["http://www.mendeley.com/documents/?uuid=49969992-0a4c-4df3-8f3c-b3a13f6aed35"]}],"mendeley":{"formattedCitation":"[15,16]","plainTextFormattedCitation":"[15,16]","previouslyFormattedCitation":"[12,13]"},"properties":{"noteIndex":0},"schema":"https://github.com/citation-style-language/schema/raw/master/csl-citation.json"}</w:instrText>
      </w:r>
      <w:r w:rsidR="006B5D8F" w:rsidRPr="009110EE">
        <w:rPr>
          <w:rFonts w:cstheme="minorHAnsi"/>
          <w:sz w:val="24"/>
          <w:szCs w:val="24"/>
          <w:lang w:val="en-US"/>
        </w:rPr>
        <w:fldChar w:fldCharType="separate"/>
      </w:r>
      <w:r w:rsidR="006A4CA2" w:rsidRPr="006A4CA2">
        <w:rPr>
          <w:rFonts w:cstheme="minorHAnsi"/>
          <w:noProof/>
          <w:sz w:val="24"/>
          <w:szCs w:val="24"/>
          <w:lang w:val="en-US"/>
        </w:rPr>
        <w:t>[15,16]</w:t>
      </w:r>
      <w:r w:rsidR="006B5D8F" w:rsidRPr="009110EE">
        <w:rPr>
          <w:rFonts w:cstheme="minorHAnsi"/>
          <w:sz w:val="24"/>
          <w:szCs w:val="24"/>
          <w:lang w:val="en-US"/>
        </w:rPr>
        <w:fldChar w:fldCharType="end"/>
      </w:r>
      <w:r w:rsidR="00FA540F">
        <w:rPr>
          <w:rFonts w:cstheme="minorHAnsi"/>
          <w:sz w:val="24"/>
          <w:szCs w:val="24"/>
          <w:lang w:val="en-US"/>
        </w:rPr>
        <w:t>.</w:t>
      </w:r>
      <w:r w:rsidR="006B5D8F" w:rsidRPr="009110EE">
        <w:rPr>
          <w:rFonts w:cstheme="minorHAnsi"/>
          <w:sz w:val="24"/>
          <w:szCs w:val="24"/>
          <w:lang w:val="en-US"/>
        </w:rPr>
        <w:t xml:space="preserve"> At last, the Maximal Clique Centrality algorithm of the </w:t>
      </w:r>
      <w:proofErr w:type="spellStart"/>
      <w:r w:rsidR="006B5D8F" w:rsidRPr="009110EE">
        <w:rPr>
          <w:rFonts w:cstheme="minorHAnsi"/>
          <w:sz w:val="24"/>
          <w:szCs w:val="24"/>
          <w:lang w:val="en-US"/>
        </w:rPr>
        <w:t>Cytospace</w:t>
      </w:r>
      <w:proofErr w:type="spellEnd"/>
      <w:r w:rsidR="006B5D8F" w:rsidRPr="009110EE">
        <w:rPr>
          <w:rFonts w:cstheme="minorHAnsi"/>
          <w:sz w:val="24"/>
          <w:szCs w:val="24"/>
          <w:lang w:val="en-US"/>
        </w:rPr>
        <w:t xml:space="preserve"> plugin </w:t>
      </w:r>
      <w:proofErr w:type="spellStart"/>
      <w:r w:rsidR="006B5D8F" w:rsidRPr="009110EE">
        <w:rPr>
          <w:rFonts w:cstheme="minorHAnsi"/>
          <w:sz w:val="24"/>
          <w:szCs w:val="24"/>
          <w:lang w:val="en-US"/>
        </w:rPr>
        <w:t>CytoHubba</w:t>
      </w:r>
      <w:proofErr w:type="spellEnd"/>
      <w:r w:rsidR="006B5D8F" w:rsidRPr="009110EE">
        <w:rPr>
          <w:rFonts w:cstheme="minorHAnsi"/>
          <w:sz w:val="24"/>
          <w:szCs w:val="24"/>
          <w:lang w:val="en-US"/>
        </w:rPr>
        <w:t xml:space="preserve"> was used to identify hub genes</w:t>
      </w:r>
      <w:r w:rsidR="00FA540F">
        <w:rPr>
          <w:rFonts w:cstheme="minorHAnsi"/>
          <w:sz w:val="24"/>
          <w:szCs w:val="24"/>
          <w:lang w:val="en-US"/>
        </w:rPr>
        <w:t xml:space="preserve"> </w:t>
      </w:r>
      <w:r w:rsidR="00FA540F">
        <w:rPr>
          <w:rFonts w:cstheme="minorHAnsi"/>
          <w:sz w:val="24"/>
          <w:szCs w:val="24"/>
          <w:lang w:val="en-US"/>
        </w:rPr>
        <w:fldChar w:fldCharType="begin" w:fldLock="1"/>
      </w:r>
      <w:r w:rsidR="006A4CA2">
        <w:rPr>
          <w:rFonts w:cstheme="minorHAnsi"/>
          <w:sz w:val="24"/>
          <w:szCs w:val="24"/>
          <w:lang w:val="en-US"/>
        </w:rPr>
        <w:instrText>ADDIN CSL_CITATION {"citationItems":[{"id":"ITEM-1","itemData":{"DOI":"10.1186/1752-0509-8-S4-S11","ISSN":"1752-0509","abstract":"Network is a useful way for presenting many types of biological data including protein-protein interactions, gene regulations, cellular pathways, and signal transductions. We can measure nodes by their network features to infer their importance in the network, and it can help us identify central elements of biological networks.","author":[{"dropping-particle":"","family":"Chin","given":"Chia-Hao","non-dropping-particle":"","parse-names":false,"suffix":""},{"dropping-particle":"","family":"Chen","given":"Shu-Hwa","non-dropping-particle":"","parse-names":false,"suffix":""},{"dropping-particle":"","family":"Wu","given":"Hsin-Hung","non-dropping-particle":"","parse-names":false,"suffix":""},{"dropping-particle":"","family":"Ho","given":"Chin-Wen","non-dropping-particle":"","parse-names":false,"suffix":""},{"dropping-particle":"","family":"Ko","given":"Ming-Tat","non-dropping-particle":"","parse-names":false,"suffix":""},{"dropping-particle":"","family":"Lin","given":"Chung-Yen","non-dropping-particle":"","parse-names":false,"suffix":""}],"container-title":"BMC Systems Biology","id":"ITEM-1","issue":"4","issued":{"date-parts":[["2014"]]},"page":"S11","title":"cytoHubba: identifying hub objects and sub-networks from complex interactome","type":"article-journal","volume":"8"},"uris":["http://www.mendeley.com/documents/?uuid=cc407768-0741-495b-acdb-a2bc37a54b8d"]}],"mendeley":{"formattedCitation":"[17]","plainTextFormattedCitation":"[17]","previouslyFormattedCitation":"[14]"},"properties":{"noteIndex":0},"schema":"https://github.com/citation-style-language/schema/raw/master/csl-citation.json"}</w:instrText>
      </w:r>
      <w:r w:rsidR="00FA540F">
        <w:rPr>
          <w:rFonts w:cstheme="minorHAnsi"/>
          <w:sz w:val="24"/>
          <w:szCs w:val="24"/>
          <w:lang w:val="en-US"/>
        </w:rPr>
        <w:fldChar w:fldCharType="separate"/>
      </w:r>
      <w:r w:rsidR="006A4CA2" w:rsidRPr="006A4CA2">
        <w:rPr>
          <w:rFonts w:cstheme="minorHAnsi"/>
          <w:noProof/>
          <w:sz w:val="24"/>
          <w:szCs w:val="24"/>
          <w:lang w:val="en-US"/>
        </w:rPr>
        <w:t>[17]</w:t>
      </w:r>
      <w:r w:rsidR="00FA540F">
        <w:rPr>
          <w:rFonts w:cstheme="minorHAnsi"/>
          <w:sz w:val="24"/>
          <w:szCs w:val="24"/>
          <w:lang w:val="en-US"/>
        </w:rPr>
        <w:fldChar w:fldCharType="end"/>
      </w:r>
      <w:r w:rsidR="006B5D8F" w:rsidRPr="009110EE">
        <w:rPr>
          <w:rFonts w:cstheme="minorHAnsi"/>
          <w:sz w:val="24"/>
          <w:szCs w:val="24"/>
          <w:lang w:val="en-US"/>
        </w:rPr>
        <w:t>.</w:t>
      </w:r>
      <w:r w:rsidR="008A4A26">
        <w:rPr>
          <w:rFonts w:cstheme="minorHAnsi"/>
          <w:sz w:val="24"/>
          <w:szCs w:val="24"/>
          <w:lang w:val="en-US"/>
        </w:rPr>
        <w:t xml:space="preserve"> </w:t>
      </w:r>
    </w:p>
    <w:p w14:paraId="002290C6" w14:textId="70EE772C" w:rsidR="00BB4DB1" w:rsidRPr="009110EE" w:rsidRDefault="00BB4DB1" w:rsidP="00BB4DB1">
      <w:pPr>
        <w:spacing w:line="480" w:lineRule="auto"/>
        <w:ind w:right="-568"/>
        <w:rPr>
          <w:rFonts w:cstheme="minorHAnsi"/>
          <w:sz w:val="24"/>
          <w:szCs w:val="24"/>
          <w:lang w:val="en-US"/>
        </w:rPr>
      </w:pPr>
    </w:p>
    <w:p w14:paraId="075EBB83" w14:textId="4E21D019" w:rsidR="00BB4DB1" w:rsidRPr="009110EE" w:rsidRDefault="00C2546F" w:rsidP="006F79A7">
      <w:pPr>
        <w:pStyle w:val="Heading3"/>
        <w:spacing w:line="480" w:lineRule="auto"/>
        <w:rPr>
          <w:lang w:val="en-US"/>
        </w:rPr>
      </w:pPr>
      <w:bookmarkStart w:id="44" w:name="_Toc115709537"/>
      <w:r>
        <w:rPr>
          <w:lang w:val="en-US"/>
        </w:rPr>
        <w:t>1</w:t>
      </w:r>
      <w:r w:rsidR="00BB4DB1" w:rsidRPr="009110EE">
        <w:rPr>
          <w:lang w:val="en-US"/>
        </w:rPr>
        <w:t xml:space="preserve">.5 Exact </w:t>
      </w:r>
      <w:proofErr w:type="spellStart"/>
      <w:r w:rsidR="00367B0F" w:rsidRPr="009110EE">
        <w:rPr>
          <w:lang w:val="en-US"/>
        </w:rPr>
        <w:t>Reactome</w:t>
      </w:r>
      <w:proofErr w:type="spellEnd"/>
      <w:r w:rsidR="00367B0F" w:rsidRPr="009110EE">
        <w:rPr>
          <w:lang w:val="en-US"/>
        </w:rPr>
        <w:t xml:space="preserve"> </w:t>
      </w:r>
      <w:r w:rsidR="00BB4DB1" w:rsidRPr="009110EE">
        <w:rPr>
          <w:lang w:val="en-US"/>
        </w:rPr>
        <w:t>pathway annotations</w:t>
      </w:r>
      <w:bookmarkEnd w:id="44"/>
    </w:p>
    <w:p w14:paraId="3F0CA3D2" w14:textId="27DA7459" w:rsidR="0016344D" w:rsidRPr="0063568A" w:rsidRDefault="00BB4DB1" w:rsidP="0016344D">
      <w:pPr>
        <w:spacing w:line="480" w:lineRule="auto"/>
        <w:ind w:right="-568"/>
        <w:rPr>
          <w:rFonts w:cstheme="minorHAnsi"/>
          <w:sz w:val="24"/>
          <w:szCs w:val="24"/>
          <w:lang w:val="en-US"/>
        </w:rPr>
      </w:pPr>
      <w:r w:rsidRPr="009110EE">
        <w:rPr>
          <w:sz w:val="24"/>
          <w:szCs w:val="24"/>
          <w:lang w:val="en-US"/>
        </w:rPr>
        <w:t xml:space="preserve">Pathway analysis was performed using the </w:t>
      </w:r>
      <w:proofErr w:type="spellStart"/>
      <w:r w:rsidRPr="009110EE">
        <w:rPr>
          <w:sz w:val="24"/>
          <w:szCs w:val="24"/>
          <w:lang w:val="en-US"/>
        </w:rPr>
        <w:t>Reactome</w:t>
      </w:r>
      <w:proofErr w:type="spellEnd"/>
      <w:r w:rsidRPr="009110EE">
        <w:rPr>
          <w:sz w:val="24"/>
          <w:szCs w:val="24"/>
          <w:lang w:val="en-US"/>
        </w:rPr>
        <w:t xml:space="preserve"> database </w:t>
      </w:r>
      <w:r w:rsidRPr="009110EE">
        <w:rPr>
          <w:sz w:val="24"/>
          <w:szCs w:val="24"/>
          <w:lang w:val="en-GB"/>
        </w:rPr>
        <w:fldChar w:fldCharType="begin" w:fldLock="1"/>
      </w:r>
      <w:r w:rsidR="006A4CA2">
        <w:rPr>
          <w:sz w:val="24"/>
          <w:szCs w:val="24"/>
          <w:lang w:val="en-GB"/>
        </w:rPr>
        <w:instrText>ADDIN CSL_CITATION {"citationItems":[{"id":"ITEM-1","itemData":{"DOI":"10.1093/nar/gkz1031","ISSN":"1362-4962","abstract":"The Reactome Knowledgebase (https://reactome.org) provides molecular details of signal transduction, transport, DNA replication, metabolism and other cellular processes as an ordered network of molecular transformations in a single consistent data model, an extended version of a classic metabolic map. Reactome functions both as an archive of biological processes and as a tool for discovering functional relationships in data such as gene expression profiles or somatic mutation catalogs from tumor cells. To extend our ability to annotate human disease processes, we have implemented a new drug class and have used it initially to annotate drugs relevant to cardiovascular disease. Our annotation model depends on external domain experts to identify new areas for annotation and to review new content. New web pages facilitate recruitment of community experts and allow those who have contributed to Reactome to identify their contributions and link them to their ORCID records. To improve visualization of our content, we have implemented a new tool to automatically lay out the components of individual reactions with multiple options for downloading the reaction diagrams and associated data, and a new display of our event hierarchy that will facilitate visual interpretation of pathway analysis results.","author":[{"dropping-particle":"","family":"Jassal","given":"Bijay","non-dropping-particle":"","parse-names":false,"suffix":""},{"dropping-particle":"","family":"Matthews","given":"Lisa","non-dropping-particle":"","parse-names":false,"suffix":""},{"dropping-particle":"","family":"Viteri","given":"Guilherme","non-dropping-particle":"","parse-names":false,"suffix":""},{"dropping-particle":"","family":"Gong","given":"Chuqiao","non-dropping-particle":"","parse-names":false,"suffix":""},{"dropping-particle":"","family":"Lorente","given":"Pascual","non-dropping-particle":"","parse-names":false,"suffix":""},{"dropping-particle":"","family":"Fabregat","given":"Antonio","non-dropping-particle":"","parse-names":false,"suffix":""},{"dropping-particle":"","family":"Sidiropoulos","given":"Konstantinos","non-dropping-particle":"","parse-names":false,"suffix":""},{"dropping-particle":"","family":"Cook","given":"Justin","non-dropping-particle":"","parse-names":false,"suffix":""},{"dropping-particle":"","family":"Gillespie","given":"Marc","non-dropping-particle":"","parse-names":false,"suffix":""},{"dropping-particle":"","family":"Haw","given":"Robin","non-dropping-particle":"","parse-names":false,"suffix":""},{"dropping-particle":"","family":"Loney","given":"Fred","non-dropping-particle":"","parse-names":false,"suffix":""},{"dropping-particle":"","family":"May","given":"Bruce","non-dropping-particle":"","parse-names":false,"suffix":""},{"dropping-particle":"","family":"Milacic","given":"Marija","non-dropping-particle":"","parse-names":false,"suffix":""},{"dropping-particle":"","family":"Rothfels","given":"Karen","non-dropping-particle":"","parse-names":false,"suffix":""},{"dropping-particle":"","family":"Sevilla","given":"Cristoffer","non-dropping-particle":"","parse-names":false,"suffix":""},{"dropping-particle":"","family":"Shamovsky","given":"Veronica","non-dropping-particle":"","parse-names":false,"suffix":""},{"dropping-particle":"","family":"Shorser","given":"Solomon","non-dropping-particle":"","parse-names":false,"suffix":""},{"dropping-particle":"","family":"Varusai","given":"Thawfeek","non-dropping-particle":"","parse-names":false,"suffix":""},{"dropping-particle":"","family":"Weiser","given":"Joel","non-dropping-particle":"","parse-names":false,"suffix":""},{"dropping-particle":"","family":"Wu","given":"Guanming","non-dropping-particle":"","parse-names":false,"suffix":""},{"dropping-particle":"","family":"Stein","given":"Lincoln","non-dropping-particle":"","parse-names":false,"suffix":""},{"dropping-particle":"","family":"Hermjakob","given":"Henning","non-dropping-particle":"","parse-names":false,"suffix":""},{"dropping-particle":"","family":"D'Eustachio","given":"Peter","non-dropping-particle":"","parse-names":false,"suffix":""}],"container-title":"Nucleic acids research","id":"ITEM-1","issue":"D1","issued":{"date-parts":[["2020","1","8"]]},"language":"eng","page":"D498-D503","publisher":"Oxford University Press","title":"The reactome pathway knowledgebase","type":"article-journal","volume":"48"},"uris":["http://www.mendeley.com/documents/?uuid=49969992-0a4c-4df3-8f3c-b3a13f6aed35"]}],"mendeley":{"formattedCitation":"[16]","plainTextFormattedCitation":"[16]","previouslyFormattedCitation":"[13]"},"properties":{"noteIndex":0},"schema":"https://github.com/citation-style-language/schema/raw/master/csl-citation.json"}</w:instrText>
      </w:r>
      <w:r w:rsidRPr="009110EE">
        <w:rPr>
          <w:sz w:val="24"/>
          <w:szCs w:val="24"/>
          <w:lang w:val="en-GB"/>
        </w:rPr>
        <w:fldChar w:fldCharType="separate"/>
      </w:r>
      <w:r w:rsidR="006A4CA2" w:rsidRPr="006A4CA2">
        <w:rPr>
          <w:noProof/>
          <w:sz w:val="24"/>
          <w:szCs w:val="24"/>
          <w:lang w:val="en-GB"/>
        </w:rPr>
        <w:t>[16]</w:t>
      </w:r>
      <w:r w:rsidRPr="009110EE">
        <w:rPr>
          <w:sz w:val="24"/>
          <w:szCs w:val="24"/>
          <w:lang w:val="en-GB"/>
        </w:rPr>
        <w:fldChar w:fldCharType="end"/>
      </w:r>
      <w:r w:rsidR="007F39E7" w:rsidRPr="009110EE">
        <w:rPr>
          <w:sz w:val="24"/>
          <w:szCs w:val="24"/>
          <w:lang w:val="en-GB"/>
        </w:rPr>
        <w:t>.</w:t>
      </w:r>
      <w:r w:rsidRPr="009110EE">
        <w:rPr>
          <w:sz w:val="24"/>
          <w:szCs w:val="24"/>
          <w:lang w:val="en-GB"/>
        </w:rPr>
        <w:t xml:space="preserve"> </w:t>
      </w:r>
      <w:r w:rsidRPr="009110EE">
        <w:rPr>
          <w:sz w:val="24"/>
          <w:szCs w:val="24"/>
          <w:lang w:val="en-US"/>
        </w:rPr>
        <w:t xml:space="preserve">First, to reflect inflammation and cytokine release, we </w:t>
      </w:r>
      <w:proofErr w:type="spellStart"/>
      <w:r w:rsidRPr="009110EE">
        <w:rPr>
          <w:sz w:val="24"/>
          <w:szCs w:val="24"/>
          <w:lang w:val="en-US"/>
        </w:rPr>
        <w:t>analysed</w:t>
      </w:r>
      <w:proofErr w:type="spellEnd"/>
      <w:r w:rsidRPr="009110EE">
        <w:rPr>
          <w:sz w:val="24"/>
          <w:szCs w:val="24"/>
          <w:lang w:val="en-US"/>
        </w:rPr>
        <w:t xml:space="preserve"> pathways within the Innate Immune System (R-HSA-168249), Adaptive Immune System (R-HSA-1280218),</w:t>
      </w:r>
      <w:r w:rsidRPr="009110EE">
        <w:rPr>
          <w:sz w:val="24"/>
          <w:szCs w:val="24"/>
          <w:lang w:val="en-GB"/>
        </w:rPr>
        <w:t xml:space="preserve"> and Cytokine </w:t>
      </w:r>
      <w:proofErr w:type="spellStart"/>
      <w:r w:rsidRPr="009110EE">
        <w:rPr>
          <w:sz w:val="24"/>
          <w:szCs w:val="24"/>
          <w:lang w:val="en-GB"/>
        </w:rPr>
        <w:t>Signaling</w:t>
      </w:r>
      <w:proofErr w:type="spellEnd"/>
      <w:r w:rsidRPr="009110EE">
        <w:rPr>
          <w:sz w:val="24"/>
          <w:szCs w:val="24"/>
          <w:lang w:val="en-GB"/>
        </w:rPr>
        <w:t xml:space="preserve"> </w:t>
      </w:r>
      <w:r w:rsidRPr="009110EE">
        <w:rPr>
          <w:sz w:val="24"/>
          <w:szCs w:val="24"/>
          <w:lang w:val="en-US"/>
        </w:rPr>
        <w:t>in Immune system (R-HSA-1280215) pathways</w:t>
      </w:r>
      <w:r w:rsidRPr="009110EE">
        <w:rPr>
          <w:sz w:val="24"/>
          <w:szCs w:val="24"/>
          <w:lang w:val="en-GB"/>
        </w:rPr>
        <w:t xml:space="preserve">. Second, to reflect endothelial cell activation and function, we analysed the Cell surface Interaction at the </w:t>
      </w:r>
      <w:r w:rsidRPr="009110EE">
        <w:rPr>
          <w:sz w:val="24"/>
          <w:szCs w:val="24"/>
          <w:lang w:val="en-US"/>
        </w:rPr>
        <w:t xml:space="preserve">Vascular wall (R-HSA-202733) and Integrin cell surface </w:t>
      </w:r>
      <w:r w:rsidRPr="009110EE">
        <w:rPr>
          <w:sz w:val="24"/>
          <w:szCs w:val="24"/>
          <w:lang w:val="en-GB"/>
        </w:rPr>
        <w:t xml:space="preserve">interactions (R-HSA-216083) pathways. Last, to reflect coagulation activation, we analysed the pathways within the </w:t>
      </w:r>
      <w:r w:rsidRPr="009110EE">
        <w:rPr>
          <w:sz w:val="24"/>
          <w:szCs w:val="24"/>
          <w:lang w:val="en-US"/>
        </w:rPr>
        <w:t>Hemostasis pathway (R-HSA-109582)</w:t>
      </w:r>
      <w:r w:rsidR="007F39E7" w:rsidRPr="009110EE">
        <w:rPr>
          <w:sz w:val="24"/>
          <w:szCs w:val="24"/>
          <w:lang w:val="en-US"/>
        </w:rPr>
        <w:t xml:space="preserve"> </w:t>
      </w:r>
      <w:r w:rsidRPr="009110EE">
        <w:rPr>
          <w:sz w:val="24"/>
          <w:szCs w:val="24"/>
          <w:lang w:val="en-US"/>
        </w:rPr>
        <w:fldChar w:fldCharType="begin" w:fldLock="1"/>
      </w:r>
      <w:r w:rsidR="006A4CA2">
        <w:rPr>
          <w:sz w:val="24"/>
          <w:szCs w:val="24"/>
          <w:lang w:val="en-US"/>
        </w:rPr>
        <w:instrText>ADDIN CSL_CITATION {"citationItems":[{"id":"ITEM-1","itemData":{"DOI":"10.1093/nar/gkz1031","ISSN":"1362-4962","abstract":"The Reactome Knowledgebase (https://reactome.org) provides molecular details of signal transduction, transport, DNA replication, metabolism and other cellular processes as an ordered network of molecular transformations in a single consistent data model, an extended version of a classic metabolic map. Reactome functions both as an archive of biological processes and as a tool for discovering functional relationships in data such as gene expression profiles or somatic mutation catalogs from tumor cells. To extend our ability to annotate human disease processes, we have implemented a new drug class and have used it initially to annotate drugs relevant to cardiovascular disease. Our annotation model depends on external domain experts to identify new areas for annotation and to review new content. New web pages facilitate recruitment of community experts and allow those who have contributed to Reactome to identify their contributions and link them to their ORCID records. To improve visualization of our content, we have implemented a new tool to automatically lay out the components of individual reactions with multiple options for downloading the reaction diagrams and associated data, and a new display of our event hierarchy that will facilitate visual interpretation of pathway analysis results.","author":[{"dropping-particle":"","family":"Jassal","given":"Bijay","non-dropping-particle":"","parse-names":false,"suffix":""},{"dropping-particle":"","family":"Matthews","given":"Lisa","non-dropping-particle":"","parse-names":false,"suffix":""},{"dropping-particle":"","family":"Viteri","given":"Guilherme","non-dropping-particle":"","parse-names":false,"suffix":""},{"dropping-particle":"","family":"Gong","given":"Chuqiao","non-dropping-particle":"","parse-names":false,"suffix":""},{"dropping-particle":"","family":"Lorente","given":"Pascual","non-dropping-particle":"","parse-names":false,"suffix":""},{"dropping-particle":"","family":"Fabregat","given":"Antonio","non-dropping-particle":"","parse-names":false,"suffix":""},{"dropping-particle":"","family":"Sidiropoulos","given":"Konstantinos","non-dropping-particle":"","parse-names":false,"suffix":""},{"dropping-particle":"","family":"Cook","given":"Justin","non-dropping-particle":"","parse-names":false,"suffix":""},{"dropping-particle":"","family":"Gillespie","given":"Marc","non-dropping-particle":"","parse-names":false,"suffix":""},{"dropping-particle":"","family":"Haw","given":"Robin","non-dropping-particle":"","parse-names":false,"suffix":""},{"dropping-particle":"","family":"Loney","given":"Fred","non-dropping-particle":"","parse-names":false,"suffix":""},{"dropping-particle":"","family":"May","given":"Bruce","non-dropping-particle":"","parse-names":false,"suffix":""},{"dropping-particle":"","family":"Milacic","given":"Marija","non-dropping-particle":"","parse-names":false,"suffix":""},{"dropping-particle":"","family":"Rothfels","given":"Karen","non-dropping-particle":"","parse-names":false,"suffix":""},{"dropping-particle":"","family":"Sevilla","given":"Cristoffer","non-dropping-particle":"","parse-names":false,"suffix":""},{"dropping-particle":"","family":"Shamovsky","given":"Veronica","non-dropping-particle":"","parse-names":false,"suffix":""},{"dropping-particle":"","family":"Shorser","given":"Solomon","non-dropping-particle":"","parse-names":false,"suffix":""},{"dropping-particle":"","family":"Varusai","given":"Thawfeek","non-dropping-particle":"","parse-names":false,"suffix":""},{"dropping-particle":"","family":"Weiser","given":"Joel","non-dropping-particle":"","parse-names":false,"suffix":""},{"dropping-particle":"","family":"Wu","given":"Guanming","non-dropping-particle":"","parse-names":false,"suffix":""},{"dropping-particle":"","family":"Stein","given":"Lincoln","non-dropping-particle":"","parse-names":false,"suffix":""},{"dropping-particle":"","family":"Hermjakob","given":"Henning","non-dropping-particle":"","parse-names":false,"suffix":""},{"dropping-particle":"","family":"D'Eustachio","given":"Peter","non-dropping-particle":"","parse-names":false,"suffix":""}],"container-title":"Nucleic acids research","id":"ITEM-1","issue":"D1","issued":{"date-parts":[["2020","1","8"]]},"language":"eng","page":"D498-D503","publisher":"Oxford University Press","title":"The reactome pathway knowledgebase","type":"article-journal","volume":"48"},"uris":["http://www.mendeley.com/documents/?uuid=49969992-0a4c-4df3-8f3c-b3a13f6aed35"]}],"mendeley":{"formattedCitation":"[16]","plainTextFormattedCitation":"[16]","previouslyFormattedCitation":"[13]"},"properties":{"noteIndex":0},"schema":"https://github.com/citation-style-language/schema/raw/master/csl-citation.json"}</w:instrText>
      </w:r>
      <w:r w:rsidRPr="009110EE">
        <w:rPr>
          <w:sz w:val="24"/>
          <w:szCs w:val="24"/>
          <w:lang w:val="en-US"/>
        </w:rPr>
        <w:fldChar w:fldCharType="separate"/>
      </w:r>
      <w:r w:rsidR="006A4CA2" w:rsidRPr="006A4CA2">
        <w:rPr>
          <w:noProof/>
          <w:sz w:val="24"/>
          <w:szCs w:val="24"/>
          <w:lang w:val="en-US"/>
        </w:rPr>
        <w:t>[16]</w:t>
      </w:r>
      <w:r w:rsidRPr="009110EE">
        <w:rPr>
          <w:sz w:val="24"/>
          <w:szCs w:val="24"/>
          <w:lang w:val="en-US"/>
        </w:rPr>
        <w:fldChar w:fldCharType="end"/>
      </w:r>
      <w:r w:rsidR="007F39E7" w:rsidRPr="009110EE">
        <w:rPr>
          <w:sz w:val="24"/>
          <w:szCs w:val="24"/>
          <w:lang w:val="en-US"/>
        </w:rPr>
        <w:t>.</w:t>
      </w:r>
      <w:r w:rsidR="0016344D">
        <w:rPr>
          <w:sz w:val="24"/>
          <w:szCs w:val="24"/>
          <w:lang w:val="en-US"/>
        </w:rPr>
        <w:t xml:space="preserve"> </w:t>
      </w:r>
    </w:p>
    <w:p w14:paraId="52F75A2E" w14:textId="633ECBA5" w:rsidR="00D778D5" w:rsidRPr="009110EE" w:rsidRDefault="00D778D5" w:rsidP="006F79A7">
      <w:pPr>
        <w:spacing w:line="480" w:lineRule="auto"/>
        <w:rPr>
          <w:sz w:val="24"/>
          <w:szCs w:val="24"/>
          <w:lang w:val="en-GB"/>
        </w:rPr>
      </w:pPr>
    </w:p>
    <w:p w14:paraId="2EA9926F" w14:textId="41ADAC37" w:rsidR="00D778D5" w:rsidRPr="009110EE" w:rsidRDefault="00C2546F" w:rsidP="006F79A7">
      <w:pPr>
        <w:pStyle w:val="Heading3"/>
        <w:spacing w:line="480" w:lineRule="auto"/>
        <w:rPr>
          <w:lang w:val="en-US"/>
        </w:rPr>
      </w:pPr>
      <w:bookmarkStart w:id="45" w:name="_Toc115709538"/>
      <w:r>
        <w:rPr>
          <w:lang w:val="en-US"/>
        </w:rPr>
        <w:t>1</w:t>
      </w:r>
      <w:r w:rsidR="00BB4DB1" w:rsidRPr="009110EE">
        <w:rPr>
          <w:lang w:val="en-US"/>
        </w:rPr>
        <w:t>.6</w:t>
      </w:r>
      <w:r w:rsidR="00E97A75" w:rsidRPr="009110EE">
        <w:rPr>
          <w:lang w:val="en-US"/>
        </w:rPr>
        <w:t xml:space="preserve"> Availability of gene expression cohorts</w:t>
      </w:r>
      <w:bookmarkEnd w:id="45"/>
    </w:p>
    <w:p w14:paraId="2557CFFC" w14:textId="722DB422" w:rsidR="003301E6" w:rsidRDefault="000B304D" w:rsidP="00FC5B84">
      <w:pPr>
        <w:spacing w:line="480" w:lineRule="auto"/>
        <w:rPr>
          <w:sz w:val="24"/>
          <w:szCs w:val="24"/>
          <w:lang w:val="en-GB"/>
        </w:rPr>
      </w:pPr>
      <w:r w:rsidRPr="009110EE">
        <w:rPr>
          <w:sz w:val="24"/>
          <w:szCs w:val="24"/>
          <w:lang w:val="en-GB"/>
        </w:rPr>
        <w:t>Both our cohort (MARS) and the cohort of healthy individuals are available at the Gene Expression Omnibus public repository of NCBI under accession number GSE</w:t>
      </w:r>
      <w:r w:rsidR="007F39E7" w:rsidRPr="009110EE">
        <w:rPr>
          <w:sz w:val="24"/>
          <w:szCs w:val="24"/>
          <w:lang w:val="en-GB"/>
        </w:rPr>
        <w:t xml:space="preserve">65682 and GSE33828 respectively </w:t>
      </w:r>
      <w:r w:rsidRPr="009110EE">
        <w:rPr>
          <w:sz w:val="24"/>
          <w:szCs w:val="24"/>
          <w:lang w:val="en-GB"/>
        </w:rPr>
        <w:fldChar w:fldCharType="begin" w:fldLock="1"/>
      </w:r>
      <w:r w:rsidR="006A4CA2">
        <w:rPr>
          <w:sz w:val="24"/>
          <w:szCs w:val="24"/>
          <w:lang w:val="en-GB"/>
        </w:rPr>
        <w:instrText>ADDIN CSL_CITATION {"citationItems":[{"id":"ITEM-1","itemData":{"DOI":"10.1007/s10654-007-9199-x","ISSN":"0393-2990","abstract":"The Rotterdam Study is a prospective cohort study ongoing since 1990 in the city of Rotterdam in the Netherlands. The study targets cardiovascular, neurological, ophthalmological and endocrine diseases. As of 2008 about 15,000 subjects aged 45 years or over comprise the Rotterdam Study cohort. The findings of the Rotterdam Study have been presented in some 600 research articles and reports (see http://www.epib.nl/rotterdamstudy). This article gives the reasons for the study and its design. It also presents a summary of the major findings and an update of the objectives and methods.","author":[{"dropping-particle":"","family":"Hofman","given":"Albert","non-dropping-particle":"","parse-names":false,"suffix":""},{"dropping-particle":"","family":"Breteler","given":"Monique M B","non-dropping-particle":"","parse-names":false,"suffix":""},{"dropping-particle":"","family":"Duijn","given":"Cornelia M","non-dropping-particle":"van","parse-names":false,"suffix":""},{"dropping-particle":"","family":"Krestin","given":"Gabriel P","non-dropping-particle":"","parse-names":false,"suffix":""},{"dropping-particle":"","family":"Pols","given":"Huibert A","non-dropping-particle":"","parse-names":false,"suffix":""},{"dropping-particle":"","family":"Stricker","given":"Bruno H Ch","non-dropping-particle":"","parse-names":false,"suffix":""},{"dropping-particle":"","family":"Tiemeier","given":"Henning","non-dropping-particle":"","parse-names":false,"suffix":""},{"dropping-particle":"","family":"Uitterlinden","given":"André G","non-dropping-particle":"","parse-names":false,"suffix":""},{"dropping-particle":"","family":"Vingerling","given":"Johannes R","non-dropping-particle":"","parse-names":false,"suffix":""},{"dropping-particle":"","family":"Witteman","given":"Jacqueline C M","non-dropping-particle":"","parse-names":false,"suffix":""}],"container-title":"European journal of epidemiology","edition":"2007/10/23","id":"ITEM-1","issue":"11","issued":{"date-parts":[["2007"]]},"language":"eng","page":"819-829","publisher":"Springer Netherlands","title":"The Rotterdam Study: objectives and design update","type":"article-journal","volume":"22"},"uris":["http://www.mendeley.com/documents/?uuid=36d31a4c-5a30-4889-951b-52284c93346a"]}],"mendeley":{"formattedCitation":"[18]","plainTextFormattedCitation":"[18]","previouslyFormattedCitation":"[15]"},"properties":{"noteIndex":0},"schema":"https://github.com/citation-style-language/schema/raw/master/csl-citation.json"}</w:instrText>
      </w:r>
      <w:r w:rsidRPr="009110EE">
        <w:rPr>
          <w:sz w:val="24"/>
          <w:szCs w:val="24"/>
          <w:lang w:val="en-GB"/>
        </w:rPr>
        <w:fldChar w:fldCharType="separate"/>
      </w:r>
      <w:r w:rsidR="006A4CA2" w:rsidRPr="006A4CA2">
        <w:rPr>
          <w:noProof/>
          <w:sz w:val="24"/>
          <w:szCs w:val="24"/>
          <w:lang w:val="en-GB"/>
        </w:rPr>
        <w:t>[18]</w:t>
      </w:r>
      <w:r w:rsidRPr="009110EE">
        <w:rPr>
          <w:sz w:val="24"/>
          <w:szCs w:val="24"/>
          <w:lang w:val="en-GB"/>
        </w:rPr>
        <w:fldChar w:fldCharType="end"/>
      </w:r>
      <w:r w:rsidR="007F39E7" w:rsidRPr="009110EE">
        <w:rPr>
          <w:sz w:val="24"/>
          <w:szCs w:val="24"/>
          <w:lang w:val="en-GB"/>
        </w:rPr>
        <w:t>.</w:t>
      </w:r>
      <w:r w:rsidRPr="009110EE">
        <w:rPr>
          <w:sz w:val="24"/>
          <w:szCs w:val="24"/>
          <w:lang w:val="en-GB"/>
        </w:rPr>
        <w:t xml:space="preserve"> The CAP sepsis cohort is available at </w:t>
      </w:r>
      <w:proofErr w:type="spellStart"/>
      <w:r w:rsidRPr="009110EE">
        <w:rPr>
          <w:sz w:val="24"/>
          <w:szCs w:val="24"/>
          <w:lang w:val="en-GB"/>
        </w:rPr>
        <w:t>ArrayExpress</w:t>
      </w:r>
      <w:proofErr w:type="spellEnd"/>
      <w:r w:rsidRPr="009110EE">
        <w:rPr>
          <w:sz w:val="24"/>
          <w:szCs w:val="24"/>
          <w:lang w:val="en-GB"/>
        </w:rPr>
        <w:t xml:space="preserve"> under accession numb</w:t>
      </w:r>
      <w:r w:rsidR="007F39E7" w:rsidRPr="009110EE">
        <w:rPr>
          <w:sz w:val="24"/>
          <w:szCs w:val="24"/>
          <w:lang w:val="en-GB"/>
        </w:rPr>
        <w:t xml:space="preserve">ers E-MTAB-4421 and E-MTAB-4451 </w:t>
      </w:r>
      <w:r w:rsidRPr="009110EE">
        <w:rPr>
          <w:sz w:val="24"/>
          <w:szCs w:val="24"/>
          <w:lang w:val="en-GB"/>
        </w:rPr>
        <w:fldChar w:fldCharType="begin" w:fldLock="1"/>
      </w:r>
      <w:r w:rsidR="006A4CA2">
        <w:rPr>
          <w:sz w:val="24"/>
          <w:szCs w:val="24"/>
          <w:lang w:val="en-GB"/>
        </w:rPr>
        <w:instrText>ADDIN CSL_CITATION {"citationItems":[{"id":"ITEM-1","itemData":{"DOI":"10.1016/S2213-2600(16)00046-1","ISSN":"2213-2619 (Electronic)","PMID":"26917434","abstract":"BACKGROUND: Effective targeted therapy for sepsis requires an understanding of the  heterogeneity in the individual host response to infection. We investigated this heterogeneity by defining interindividual variation in the transcriptome of patients with sepsis and related this to outcome and genetic diversity. METHODS: We assayed peripheral blood leucocyte global gene expression for a prospective discovery cohort of 265 adult patients admitted to UK intensive care units with sepsis due to community-acquired pneumonia and evidence of organ dysfunction. We then validated our findings in a replication cohort consisting of a further 106 patients. We mapped genomic determinants of variation in gene transcription between patients as expression quantitative trait loci (eQTL). FINDINGS: We discovered that following admission to intensive care, transcriptomic analysis of peripheral blood leucocytes defines two distinct sepsis response signatures (SRS1 and SRS2). The presence of SRS1 (detected in 108 [41%] patients in discovery cohort) identifies individuals with an immunosuppressed phenotype that included features of endotoxin tolerance, T-cell exhaustion, and downregulation of human leucocyte antigen (HLA) class II. SRS1 was associated with higher 14 day mortality than was SRS2 (discovery cohort hazard ratio (HR) 2·4, 95% CI 1·3-4·5, p=0·005; validation cohort HR 2·8, 95% CI 1·5-5·1, p=0·0007). We found that a predictive set of seven genes enabled the classification of patients as SRS1 or SRS2. We identified cis-acting and trans-acting eQTL for key immune and metabolic response genes and sepsis response networks. Sepsis eQTL were enriched in endotoxin-induced epigenetic marks and modulated the individual host response to sepsis, including effects specific to SRS group. We identified regulatory genetic variants involving key mediators of gene networks implicated in the hypoxic response and the switch to glycolysis that occurs in sepsis, including HIF1α and mTOR, and mediators of endotoxin tolerance, T-cell activation, and viral defence. INTERPRETATION: Our integrated genomics approach advances understanding of heterogeneity in sepsis by defining subgroups of patients with different immune response states and prognoses, as well as revealing the role of underlying genetic variation. Our findings provide new insights into the pathogenesis of sepsis and create opportunities for a precision medicine approach to enable targeted therapeutic intervention to improve sep…","author":[{"dropping-particle":"","family":"Davenport","given":"Emma E","non-dropping-particle":"","parse-names":false,"suffix":""},{"dropping-particle":"","family":"Burnham","given":"Katie L","non-dropping-particle":"","parse-names":false,"suffix":""},{"dropping-particle":"","family":"Radhakrishnan","given":"Jayachandran","non-dropping-particle":"","parse-names":false,"suffix":""},{"dropping-particle":"","family":"Humburg","given":"Peter","non-dropping-particle":"","parse-names":false,"suffix":""},{"dropping-particle":"","family":"Hutton","given":"Paula","non-dropping-particle":"","parse-names":false,"suffix":""},{"dropping-particle":"","family":"Mills","given":"Tara C","non-dropping-particle":"","parse-names":false,"suffix":""},{"dropping-particle":"","family":"Rautanen","given":"Anna","non-dropping-particle":"","parse-names":false,"suffix":""},{"dropping-particle":"","family":"Gordon","given":"Anthony C","non-dropping-particle":"","parse-names":false,"suffix":""},{"dropping-particle":"","family":"Garrard","given":"Christopher","non-dropping-particle":"","parse-names":false,"suffix":""},{"dropping-particle":"","family":"Hill","given":"Adrian V S","non-dropping-particle":"","parse-names":false,"suffix":""},{"dropping-particle":"","family":"Hinds","given":"Charles J","non-dropping-particle":"","parse-names":false,"suffix":""},{"dropping-particle":"","family":"Knight","given":"Julian C","non-dropping-particle":"","parse-names":false,"suffix":""}],"container-title":"The Lancet. Respiratory medicine","id":"ITEM-1","issue":"4","issued":{"date-parts":[["2016","4"]]},"language":"eng","page":"259-271","title":"Genomic landscape of the individual host response and outcomes in sepsis: a  prospective cohort study.","type":"article-journal","volume":"4"},"uris":["http://www.mendeley.com/documents/?uuid=b48b7d1a-77be-4701-92d0-f18be8295963"]}],"mendeley":{"formattedCitation":"[9]","plainTextFormattedCitation":"[9]","previouslyFormattedCitation":"[6]"},"properties":{"noteIndex":0},"schema":"https://github.com/citation-style-language/schema/raw/master/csl-citation.json"}</w:instrText>
      </w:r>
      <w:r w:rsidRPr="009110EE">
        <w:rPr>
          <w:sz w:val="24"/>
          <w:szCs w:val="24"/>
          <w:lang w:val="en-GB"/>
        </w:rPr>
        <w:fldChar w:fldCharType="separate"/>
      </w:r>
      <w:r w:rsidR="006A4CA2" w:rsidRPr="006A4CA2">
        <w:rPr>
          <w:noProof/>
          <w:sz w:val="24"/>
          <w:szCs w:val="24"/>
          <w:lang w:val="en-GB"/>
        </w:rPr>
        <w:t>[9]</w:t>
      </w:r>
      <w:r w:rsidRPr="009110EE">
        <w:rPr>
          <w:sz w:val="24"/>
          <w:szCs w:val="24"/>
          <w:lang w:val="en-GB"/>
        </w:rPr>
        <w:fldChar w:fldCharType="end"/>
      </w:r>
    </w:p>
    <w:p w14:paraId="1AC96E22" w14:textId="5AC5C290" w:rsidR="000E44A6" w:rsidRPr="0047428B" w:rsidRDefault="003301E6" w:rsidP="0047428B">
      <w:pPr>
        <w:spacing w:after="200" w:line="276" w:lineRule="auto"/>
        <w:rPr>
          <w:sz w:val="24"/>
          <w:szCs w:val="24"/>
          <w:lang w:val="en-GB"/>
        </w:rPr>
      </w:pPr>
      <w:r>
        <w:rPr>
          <w:sz w:val="24"/>
          <w:szCs w:val="24"/>
          <w:lang w:val="en-GB"/>
        </w:rPr>
        <w:br w:type="page"/>
      </w:r>
    </w:p>
    <w:p w14:paraId="4D5C8357" w14:textId="3F7DDAA6" w:rsidR="00D202E2" w:rsidRDefault="00D202E2" w:rsidP="00E97A75">
      <w:pPr>
        <w:pStyle w:val="Heading2"/>
        <w:numPr>
          <w:ilvl w:val="0"/>
          <w:numId w:val="2"/>
        </w:numPr>
        <w:spacing w:line="276" w:lineRule="auto"/>
        <w:ind w:right="-568"/>
        <w:rPr>
          <w:lang w:val="en-US"/>
        </w:rPr>
      </w:pPr>
      <w:bookmarkStart w:id="46" w:name="_Toc109061947"/>
      <w:bookmarkStart w:id="47" w:name="_Toc109061967"/>
      <w:bookmarkStart w:id="48" w:name="_Toc109061948"/>
      <w:bookmarkStart w:id="49" w:name="_Toc109061968"/>
      <w:bookmarkStart w:id="50" w:name="_Toc90890583"/>
      <w:bookmarkStart w:id="51" w:name="_Toc115709539"/>
      <w:bookmarkEnd w:id="46"/>
      <w:bookmarkEnd w:id="47"/>
      <w:bookmarkEnd w:id="48"/>
      <w:bookmarkEnd w:id="49"/>
      <w:r>
        <w:rPr>
          <w:lang w:val="en-US"/>
        </w:rPr>
        <w:lastRenderedPageBreak/>
        <w:t>Summary of infections categorized as “Other infection site” or “Unknown infection site”</w:t>
      </w:r>
      <w:bookmarkEnd w:id="50"/>
      <w:bookmarkEnd w:id="51"/>
    </w:p>
    <w:p w14:paraId="6A836F4E" w14:textId="0673A034" w:rsidR="00D202E2" w:rsidRDefault="000957F4" w:rsidP="00E97A75">
      <w:pPr>
        <w:spacing w:line="276" w:lineRule="auto"/>
        <w:ind w:right="-568"/>
        <w:rPr>
          <w:rFonts w:cstheme="minorHAnsi"/>
          <w:color w:val="1F497D" w:themeColor="text2"/>
          <w:sz w:val="18"/>
          <w:szCs w:val="18"/>
          <w:lang w:val="en-GB"/>
        </w:rPr>
      </w:pPr>
      <w:r>
        <w:rPr>
          <w:rFonts w:cstheme="minorHAnsi"/>
          <w:color w:val="1F497D" w:themeColor="text2"/>
          <w:sz w:val="18"/>
          <w:szCs w:val="18"/>
          <w:lang w:val="en-GB"/>
        </w:rPr>
        <w:t>Supplementary</w:t>
      </w:r>
      <w:r>
        <w:rPr>
          <w:color w:val="1F497D" w:themeColor="text2"/>
          <w:sz w:val="18"/>
          <w:szCs w:val="18"/>
          <w:lang w:val="en-US"/>
        </w:rPr>
        <w:t xml:space="preserve"> </w:t>
      </w:r>
      <w:r w:rsidR="0047428B">
        <w:rPr>
          <w:color w:val="1F497D" w:themeColor="text2"/>
          <w:sz w:val="18"/>
          <w:szCs w:val="18"/>
          <w:lang w:val="en-US"/>
        </w:rPr>
        <w:t>Table S</w:t>
      </w:r>
      <w:r w:rsidR="00F2771D">
        <w:rPr>
          <w:color w:val="1F497D" w:themeColor="text2"/>
          <w:sz w:val="18"/>
          <w:szCs w:val="18"/>
          <w:lang w:val="en-US"/>
        </w:rPr>
        <w:t>1</w:t>
      </w:r>
      <w:r w:rsidR="00D202E2" w:rsidRPr="00D202E2">
        <w:rPr>
          <w:color w:val="1F497D" w:themeColor="text2"/>
          <w:sz w:val="18"/>
          <w:szCs w:val="18"/>
          <w:lang w:val="en-US"/>
        </w:rPr>
        <w:t xml:space="preserve"> </w:t>
      </w:r>
      <w:r w:rsidR="00D202E2" w:rsidRPr="00D202E2">
        <w:rPr>
          <w:rFonts w:cstheme="minorHAnsi"/>
          <w:color w:val="1F497D" w:themeColor="text2"/>
          <w:sz w:val="18"/>
          <w:szCs w:val="18"/>
          <w:lang w:val="en-GB"/>
        </w:rPr>
        <w:t>Summary of infections categori</w:t>
      </w:r>
      <w:r w:rsidR="00AC0692">
        <w:rPr>
          <w:rFonts w:cstheme="minorHAnsi"/>
          <w:color w:val="1F497D" w:themeColor="text2"/>
          <w:sz w:val="18"/>
          <w:szCs w:val="18"/>
          <w:lang w:val="en-GB"/>
        </w:rPr>
        <w:t>z</w:t>
      </w:r>
      <w:r w:rsidR="00D202E2" w:rsidRPr="00D202E2">
        <w:rPr>
          <w:rFonts w:cstheme="minorHAnsi"/>
          <w:color w:val="1F497D" w:themeColor="text2"/>
          <w:sz w:val="18"/>
          <w:szCs w:val="18"/>
          <w:lang w:val="en-GB"/>
        </w:rPr>
        <w:t>ed as “Other infection site” or “Unknown infection site”</w:t>
      </w:r>
    </w:p>
    <w:tbl>
      <w:tblPr>
        <w:tblW w:w="8364" w:type="dxa"/>
        <w:tblCellMar>
          <w:left w:w="0" w:type="dxa"/>
          <w:right w:w="0" w:type="dxa"/>
        </w:tblCellMar>
        <w:tblLook w:val="04A0" w:firstRow="1" w:lastRow="0" w:firstColumn="1" w:lastColumn="0" w:noHBand="0" w:noVBand="1"/>
      </w:tblPr>
      <w:tblGrid>
        <w:gridCol w:w="2585"/>
        <w:gridCol w:w="1145"/>
        <w:gridCol w:w="1567"/>
        <w:gridCol w:w="1567"/>
        <w:gridCol w:w="1500"/>
      </w:tblGrid>
      <w:tr w:rsidR="00D202E2" w:rsidRPr="00D067B4" w14:paraId="52641CA4" w14:textId="77777777" w:rsidTr="00D11C34">
        <w:trPr>
          <w:trHeight w:val="20"/>
        </w:trPr>
        <w:tc>
          <w:tcPr>
            <w:tcW w:w="0" w:type="auto"/>
            <w:tcBorders>
              <w:top w:val="nil"/>
              <w:left w:val="nil"/>
              <w:bottom w:val="nil"/>
              <w:right w:val="nil"/>
            </w:tcBorders>
            <w:shd w:val="clear" w:color="auto" w:fill="auto"/>
            <w:tcMar>
              <w:top w:w="15" w:type="dxa"/>
              <w:left w:w="98" w:type="dxa"/>
              <w:bottom w:w="0" w:type="dxa"/>
              <w:right w:w="98" w:type="dxa"/>
            </w:tcMar>
            <w:vAlign w:val="bottom"/>
            <w:hideMark/>
          </w:tcPr>
          <w:p w14:paraId="1E274D00" w14:textId="77777777" w:rsidR="00D202E2" w:rsidRPr="004C2310" w:rsidRDefault="00D202E2" w:rsidP="00E97A75">
            <w:pPr>
              <w:pStyle w:val="NoSpacing"/>
              <w:spacing w:line="276" w:lineRule="auto"/>
              <w:ind w:right="-568"/>
              <w:rPr>
                <w:rFonts w:ascii="Arial" w:eastAsia="Times New Roman" w:hAnsi="Arial" w:cs="Arial"/>
                <w:sz w:val="16"/>
                <w:szCs w:val="16"/>
                <w:lang w:eastAsia="en-GB"/>
              </w:rPr>
            </w:pPr>
            <w:r w:rsidRPr="004C2310">
              <w:rPr>
                <w:rFonts w:eastAsiaTheme="minorEastAsia" w:hAnsi="Calibri"/>
                <w:color w:val="000000" w:themeColor="text1"/>
                <w:kern w:val="24"/>
                <w:sz w:val="16"/>
                <w:szCs w:val="16"/>
                <w:lang w:eastAsia="en-GB"/>
              </w:rPr>
              <w:t> </w:t>
            </w:r>
          </w:p>
        </w:tc>
        <w:tc>
          <w:tcPr>
            <w:tcW w:w="0" w:type="auto"/>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64C1B311" w14:textId="77777777" w:rsidR="00D202E2" w:rsidRPr="00217043" w:rsidRDefault="00D202E2" w:rsidP="006F79A7">
            <w:pPr>
              <w:pStyle w:val="NoSpacing"/>
              <w:spacing w:line="276" w:lineRule="auto"/>
              <w:ind w:right="154"/>
              <w:jc w:val="center"/>
              <w:rPr>
                <w:rFonts w:ascii="Arial" w:eastAsia="Times New Roman" w:hAnsi="Arial" w:cs="Arial"/>
                <w:b/>
                <w:sz w:val="16"/>
                <w:szCs w:val="16"/>
                <w:lang w:eastAsia="en-GB"/>
              </w:rPr>
            </w:pPr>
            <w:r w:rsidRPr="00217043">
              <w:rPr>
                <w:rFonts w:cstheme="minorHAnsi"/>
                <w:b/>
                <w:sz w:val="16"/>
                <w:szCs w:val="16"/>
                <w:lang w:val="en-GB"/>
              </w:rPr>
              <w:t>&lt;50 years</w:t>
            </w:r>
          </w:p>
        </w:tc>
        <w:tc>
          <w:tcPr>
            <w:tcW w:w="0" w:type="auto"/>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75FF8A9C" w14:textId="77777777" w:rsidR="00D202E2" w:rsidRPr="00217043" w:rsidRDefault="00D202E2" w:rsidP="006F79A7">
            <w:pPr>
              <w:pStyle w:val="NoSpacing"/>
              <w:spacing w:line="276" w:lineRule="auto"/>
              <w:ind w:right="154"/>
              <w:jc w:val="center"/>
              <w:rPr>
                <w:rFonts w:ascii="Arial" w:eastAsia="Times New Roman" w:hAnsi="Arial" w:cs="Arial"/>
                <w:b/>
                <w:sz w:val="16"/>
                <w:szCs w:val="16"/>
                <w:lang w:eastAsia="en-GB"/>
              </w:rPr>
            </w:pPr>
            <w:r w:rsidRPr="00217043">
              <w:rPr>
                <w:rFonts w:cstheme="minorHAnsi"/>
                <w:b/>
                <w:sz w:val="16"/>
                <w:szCs w:val="16"/>
              </w:rPr>
              <w:t>≥50 - &lt;60 years</w:t>
            </w:r>
          </w:p>
        </w:tc>
        <w:tc>
          <w:tcPr>
            <w:tcW w:w="0" w:type="auto"/>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6775710A" w14:textId="77777777" w:rsidR="00D202E2" w:rsidRPr="00217043" w:rsidRDefault="00D202E2" w:rsidP="006F79A7">
            <w:pPr>
              <w:pStyle w:val="NoSpacing"/>
              <w:spacing w:line="276" w:lineRule="auto"/>
              <w:ind w:right="154"/>
              <w:jc w:val="center"/>
              <w:rPr>
                <w:rFonts w:ascii="Arial" w:eastAsia="Times New Roman" w:hAnsi="Arial" w:cs="Arial"/>
                <w:b/>
                <w:sz w:val="16"/>
                <w:szCs w:val="16"/>
                <w:lang w:eastAsia="en-GB"/>
              </w:rPr>
            </w:pPr>
            <w:r w:rsidRPr="00217043">
              <w:rPr>
                <w:rFonts w:cstheme="minorHAnsi"/>
                <w:b/>
                <w:sz w:val="16"/>
                <w:szCs w:val="16"/>
              </w:rPr>
              <w:t>≥60 - &lt;70 years</w:t>
            </w:r>
          </w:p>
        </w:tc>
        <w:tc>
          <w:tcPr>
            <w:tcW w:w="1500"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1F7E7BE7" w14:textId="77777777" w:rsidR="00D202E2" w:rsidRPr="00217043" w:rsidRDefault="00D202E2" w:rsidP="006F79A7">
            <w:pPr>
              <w:pStyle w:val="NoSpacing"/>
              <w:spacing w:line="276" w:lineRule="auto"/>
              <w:ind w:right="154"/>
              <w:jc w:val="center"/>
              <w:rPr>
                <w:rFonts w:ascii="Arial" w:eastAsia="Times New Roman" w:hAnsi="Arial" w:cs="Arial"/>
                <w:b/>
                <w:sz w:val="16"/>
                <w:szCs w:val="16"/>
                <w:lang w:eastAsia="en-GB"/>
              </w:rPr>
            </w:pPr>
            <w:r w:rsidRPr="00217043">
              <w:rPr>
                <w:rFonts w:cstheme="minorHAnsi"/>
                <w:b/>
                <w:sz w:val="16"/>
                <w:szCs w:val="16"/>
              </w:rPr>
              <w:t>≥</w:t>
            </w:r>
            <w:r w:rsidRPr="00217043">
              <w:rPr>
                <w:rFonts w:eastAsia="Times New Roman" w:cstheme="minorHAnsi"/>
                <w:b/>
                <w:color w:val="000000" w:themeColor="text1"/>
                <w:kern w:val="24"/>
                <w:sz w:val="16"/>
                <w:szCs w:val="16"/>
                <w:lang w:eastAsia="en-GB"/>
              </w:rPr>
              <w:t>70 years</w:t>
            </w:r>
          </w:p>
        </w:tc>
      </w:tr>
      <w:tr w:rsidR="00D202E2" w:rsidRPr="00D067B4" w14:paraId="69F11C56" w14:textId="77777777" w:rsidTr="00D11C34">
        <w:trPr>
          <w:trHeight w:val="20"/>
        </w:trPr>
        <w:tc>
          <w:tcPr>
            <w:tcW w:w="0" w:type="auto"/>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65ABA39B" w14:textId="77777777"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hAnsi="Calibri"/>
                <w:b/>
                <w:color w:val="000000" w:themeColor="text1"/>
                <w:kern w:val="24"/>
                <w:sz w:val="16"/>
                <w:szCs w:val="16"/>
                <w:lang w:eastAsia="en-GB"/>
              </w:rPr>
              <w:t>n</w:t>
            </w:r>
          </w:p>
        </w:tc>
        <w:tc>
          <w:tcPr>
            <w:tcW w:w="0" w:type="auto"/>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04B05DF5" w14:textId="77777777" w:rsidR="00D202E2" w:rsidRPr="00610B6B" w:rsidRDefault="00D202E2" w:rsidP="006F79A7">
            <w:pPr>
              <w:pStyle w:val="NoSpacing"/>
              <w:spacing w:line="276" w:lineRule="auto"/>
              <w:ind w:right="154"/>
              <w:jc w:val="center"/>
              <w:rPr>
                <w:sz w:val="16"/>
                <w:szCs w:val="16"/>
              </w:rPr>
            </w:pPr>
            <w:r w:rsidRPr="005E6BE9">
              <w:rPr>
                <w:rFonts w:cstheme="minorHAnsi"/>
                <w:color w:val="000000"/>
                <w:sz w:val="16"/>
                <w:szCs w:val="16"/>
              </w:rPr>
              <w:t>421</w:t>
            </w:r>
          </w:p>
        </w:tc>
        <w:tc>
          <w:tcPr>
            <w:tcW w:w="0" w:type="auto"/>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7D114203" w14:textId="77777777" w:rsidR="00D202E2" w:rsidRPr="00610B6B" w:rsidRDefault="00D202E2" w:rsidP="006F79A7">
            <w:pPr>
              <w:pStyle w:val="NoSpacing"/>
              <w:spacing w:line="276" w:lineRule="auto"/>
              <w:ind w:right="154"/>
              <w:jc w:val="center"/>
              <w:rPr>
                <w:sz w:val="16"/>
                <w:szCs w:val="16"/>
              </w:rPr>
            </w:pPr>
            <w:r w:rsidRPr="005E6BE9">
              <w:rPr>
                <w:rFonts w:cstheme="minorHAnsi"/>
                <w:color w:val="000000"/>
                <w:sz w:val="16"/>
                <w:szCs w:val="16"/>
              </w:rPr>
              <w:t>368</w:t>
            </w:r>
          </w:p>
        </w:tc>
        <w:tc>
          <w:tcPr>
            <w:tcW w:w="0" w:type="auto"/>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1A1E6E45" w14:textId="77777777" w:rsidR="00D202E2" w:rsidRPr="00610B6B" w:rsidRDefault="00D202E2" w:rsidP="006F79A7">
            <w:pPr>
              <w:pStyle w:val="NoSpacing"/>
              <w:spacing w:line="276" w:lineRule="auto"/>
              <w:ind w:right="154"/>
              <w:jc w:val="center"/>
              <w:rPr>
                <w:sz w:val="16"/>
                <w:szCs w:val="16"/>
              </w:rPr>
            </w:pPr>
            <w:r w:rsidRPr="005E6BE9">
              <w:rPr>
                <w:rFonts w:cstheme="minorHAnsi"/>
                <w:color w:val="000000"/>
                <w:sz w:val="16"/>
                <w:szCs w:val="16"/>
              </w:rPr>
              <w:t>545</w:t>
            </w:r>
          </w:p>
        </w:tc>
        <w:tc>
          <w:tcPr>
            <w:tcW w:w="150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1C79063D" w14:textId="77777777" w:rsidR="00D202E2" w:rsidRPr="00610B6B" w:rsidRDefault="00D202E2" w:rsidP="006F79A7">
            <w:pPr>
              <w:pStyle w:val="NoSpacing"/>
              <w:spacing w:line="276" w:lineRule="auto"/>
              <w:ind w:right="154"/>
              <w:jc w:val="center"/>
              <w:rPr>
                <w:sz w:val="16"/>
                <w:szCs w:val="16"/>
              </w:rPr>
            </w:pPr>
            <w:r w:rsidRPr="005E6BE9">
              <w:rPr>
                <w:rFonts w:cstheme="minorHAnsi"/>
                <w:color w:val="000000"/>
                <w:sz w:val="16"/>
                <w:szCs w:val="16"/>
              </w:rPr>
              <w:t>618</w:t>
            </w:r>
          </w:p>
        </w:tc>
      </w:tr>
      <w:tr w:rsidR="00D202E2" w:rsidRPr="00D067B4" w14:paraId="582F73F6" w14:textId="77777777" w:rsidTr="00D11C34">
        <w:trPr>
          <w:trHeight w:val="20"/>
        </w:trPr>
        <w:tc>
          <w:tcPr>
            <w:tcW w:w="0" w:type="auto"/>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61D908B3" w14:textId="515648BE"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rPr>
              <w:t>Other infection site</w:t>
            </w:r>
            <w:r w:rsidR="00AC0692">
              <w:rPr>
                <w:rFonts w:eastAsiaTheme="minorEastAsia" w:cstheme="minorHAnsi"/>
                <w:b/>
                <w:color w:val="000000" w:themeColor="text1"/>
                <w:kern w:val="24"/>
                <w:sz w:val="16"/>
                <w:szCs w:val="16"/>
              </w:rPr>
              <w:t>s</w:t>
            </w:r>
            <w:r w:rsidRPr="00217043">
              <w:rPr>
                <w:rFonts w:eastAsiaTheme="minorEastAsia" w:cstheme="minorHAnsi"/>
                <w:b/>
                <w:color w:val="000000" w:themeColor="text1"/>
                <w:kern w:val="24"/>
                <w:sz w:val="16"/>
                <w:szCs w:val="16"/>
              </w:rPr>
              <w:t>, n (%)</w:t>
            </w:r>
          </w:p>
        </w:tc>
        <w:tc>
          <w:tcPr>
            <w:tcW w:w="0" w:type="auto"/>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5E2FA5B9" w14:textId="77777777" w:rsidR="00D202E2" w:rsidRPr="004C2310" w:rsidRDefault="00D202E2" w:rsidP="006F79A7">
            <w:pPr>
              <w:pStyle w:val="NoSpacing"/>
              <w:spacing w:line="276" w:lineRule="auto"/>
              <w:ind w:right="154"/>
              <w:jc w:val="center"/>
              <w:rPr>
                <w:rFonts w:ascii="Arial" w:eastAsia="Times New Roman" w:hAnsi="Arial" w:cs="Arial"/>
                <w:sz w:val="16"/>
                <w:szCs w:val="16"/>
                <w:lang w:eastAsia="en-GB"/>
              </w:rPr>
            </w:pPr>
          </w:p>
        </w:tc>
        <w:tc>
          <w:tcPr>
            <w:tcW w:w="0" w:type="auto"/>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64F59D38" w14:textId="77777777" w:rsidR="00D202E2" w:rsidRPr="004C2310" w:rsidRDefault="00D202E2" w:rsidP="006F79A7">
            <w:pPr>
              <w:pStyle w:val="NoSpacing"/>
              <w:spacing w:line="276" w:lineRule="auto"/>
              <w:ind w:right="154"/>
              <w:jc w:val="center"/>
              <w:rPr>
                <w:rFonts w:ascii="Arial" w:eastAsia="Times New Roman" w:hAnsi="Arial" w:cs="Arial"/>
                <w:sz w:val="16"/>
                <w:szCs w:val="16"/>
                <w:lang w:eastAsia="en-GB"/>
              </w:rPr>
            </w:pPr>
          </w:p>
        </w:tc>
        <w:tc>
          <w:tcPr>
            <w:tcW w:w="0" w:type="auto"/>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3D9D6694" w14:textId="77777777" w:rsidR="00D202E2" w:rsidRPr="004C2310" w:rsidRDefault="00D202E2" w:rsidP="006F79A7">
            <w:pPr>
              <w:pStyle w:val="NoSpacing"/>
              <w:spacing w:line="276" w:lineRule="auto"/>
              <w:ind w:right="154"/>
              <w:jc w:val="center"/>
              <w:rPr>
                <w:rFonts w:ascii="Arial" w:eastAsia="Times New Roman" w:hAnsi="Arial" w:cs="Arial"/>
                <w:sz w:val="16"/>
                <w:szCs w:val="16"/>
                <w:lang w:eastAsia="en-GB"/>
              </w:rPr>
            </w:pPr>
          </w:p>
        </w:tc>
        <w:tc>
          <w:tcPr>
            <w:tcW w:w="1500"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5A75118F" w14:textId="77777777" w:rsidR="00D202E2" w:rsidRPr="004C2310" w:rsidRDefault="00D202E2" w:rsidP="006F79A7">
            <w:pPr>
              <w:pStyle w:val="NoSpacing"/>
              <w:spacing w:line="276" w:lineRule="auto"/>
              <w:ind w:right="154"/>
              <w:jc w:val="center"/>
              <w:rPr>
                <w:rFonts w:ascii="Arial" w:eastAsia="Times New Roman" w:hAnsi="Arial" w:cs="Arial"/>
                <w:sz w:val="16"/>
                <w:szCs w:val="16"/>
                <w:lang w:eastAsia="en-GB"/>
              </w:rPr>
            </w:pPr>
          </w:p>
        </w:tc>
      </w:tr>
      <w:tr w:rsidR="00D202E2" w:rsidRPr="00D067B4" w14:paraId="20ADB82A" w14:textId="77777777" w:rsidTr="00D11C34">
        <w:trPr>
          <w:trHeight w:val="20"/>
        </w:trPr>
        <w:tc>
          <w:tcPr>
            <w:tcW w:w="0" w:type="auto"/>
            <w:tcBorders>
              <w:top w:val="single" w:sz="8" w:space="0" w:color="000000"/>
              <w:left w:val="nil"/>
              <w:bottom w:val="nil"/>
              <w:right w:val="nil"/>
            </w:tcBorders>
            <w:shd w:val="clear" w:color="auto" w:fill="auto"/>
            <w:tcMar>
              <w:top w:w="15" w:type="dxa"/>
              <w:left w:w="98" w:type="dxa"/>
              <w:bottom w:w="0" w:type="dxa"/>
              <w:right w:w="98" w:type="dxa"/>
            </w:tcMar>
            <w:vAlign w:val="bottom"/>
            <w:hideMark/>
          </w:tcPr>
          <w:p w14:paraId="2F809C7B" w14:textId="77777777"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Bones and joints</w:t>
            </w:r>
          </w:p>
        </w:tc>
        <w:tc>
          <w:tcPr>
            <w:tcW w:w="0" w:type="auto"/>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3FFD4AD"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7 (1.7)</w:t>
            </w:r>
          </w:p>
        </w:tc>
        <w:tc>
          <w:tcPr>
            <w:tcW w:w="0" w:type="auto"/>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88EE151"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4 (1.1)</w:t>
            </w:r>
          </w:p>
        </w:tc>
        <w:tc>
          <w:tcPr>
            <w:tcW w:w="0" w:type="auto"/>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C66ACA0"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7 (1.3)</w:t>
            </w:r>
          </w:p>
        </w:tc>
        <w:tc>
          <w:tcPr>
            <w:tcW w:w="150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9F96BE9"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9 (1.5)</w:t>
            </w:r>
          </w:p>
        </w:tc>
      </w:tr>
      <w:tr w:rsidR="00D202E2" w:rsidRPr="00D067B4" w14:paraId="6367E9FC" w14:textId="77777777" w:rsidTr="00D11C34">
        <w:trPr>
          <w:trHeight w:val="20"/>
        </w:trPr>
        <w:tc>
          <w:tcPr>
            <w:tcW w:w="0" w:type="auto"/>
            <w:tcBorders>
              <w:top w:val="nil"/>
              <w:left w:val="nil"/>
              <w:bottom w:val="nil"/>
              <w:right w:val="nil"/>
            </w:tcBorders>
            <w:shd w:val="clear" w:color="auto" w:fill="auto"/>
            <w:tcMar>
              <w:top w:w="15" w:type="dxa"/>
              <w:left w:w="98" w:type="dxa"/>
              <w:bottom w:w="0" w:type="dxa"/>
              <w:right w:w="98" w:type="dxa"/>
            </w:tcMar>
            <w:vAlign w:val="bottom"/>
            <w:hideMark/>
          </w:tcPr>
          <w:p w14:paraId="437EFA06" w14:textId="77777777"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Reproductive tract</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794A9F0E"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 (0.2)</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3EC4C4FC"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0 (0.0)</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1DC5DCC7"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 (0.2)</w:t>
            </w:r>
          </w:p>
        </w:tc>
        <w:tc>
          <w:tcPr>
            <w:tcW w:w="1500" w:type="dxa"/>
            <w:tcBorders>
              <w:top w:val="nil"/>
              <w:left w:val="nil"/>
              <w:bottom w:val="nil"/>
              <w:right w:val="nil"/>
            </w:tcBorders>
            <w:shd w:val="clear" w:color="auto" w:fill="auto"/>
            <w:tcMar>
              <w:top w:w="15" w:type="dxa"/>
              <w:left w:w="15" w:type="dxa"/>
              <w:bottom w:w="0" w:type="dxa"/>
              <w:right w:w="15" w:type="dxa"/>
            </w:tcMar>
            <w:vAlign w:val="bottom"/>
            <w:hideMark/>
          </w:tcPr>
          <w:p w14:paraId="4AB380FB"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0 (0.0)</w:t>
            </w:r>
          </w:p>
        </w:tc>
      </w:tr>
      <w:tr w:rsidR="00D202E2" w:rsidRPr="00D067B4" w14:paraId="4FB26CF5" w14:textId="77777777" w:rsidTr="00D11C34">
        <w:trPr>
          <w:trHeight w:val="20"/>
        </w:trPr>
        <w:tc>
          <w:tcPr>
            <w:tcW w:w="0" w:type="auto"/>
            <w:tcBorders>
              <w:top w:val="nil"/>
              <w:left w:val="nil"/>
              <w:bottom w:val="nil"/>
              <w:right w:val="nil"/>
            </w:tcBorders>
            <w:shd w:val="clear" w:color="auto" w:fill="auto"/>
            <w:tcMar>
              <w:top w:w="15" w:type="dxa"/>
              <w:left w:w="98" w:type="dxa"/>
              <w:bottom w:w="0" w:type="dxa"/>
              <w:right w:w="98" w:type="dxa"/>
            </w:tcMar>
            <w:vAlign w:val="bottom"/>
            <w:hideMark/>
          </w:tcPr>
          <w:p w14:paraId="2488495B" w14:textId="77777777"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Mediastinum</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1B72F59D"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2 (0.5)</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24453B70"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15 (4.1)</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0F060265"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22 (4.0)</w:t>
            </w:r>
          </w:p>
        </w:tc>
        <w:tc>
          <w:tcPr>
            <w:tcW w:w="1500" w:type="dxa"/>
            <w:tcBorders>
              <w:top w:val="nil"/>
              <w:left w:val="nil"/>
              <w:bottom w:val="nil"/>
              <w:right w:val="nil"/>
            </w:tcBorders>
            <w:shd w:val="clear" w:color="auto" w:fill="auto"/>
            <w:tcMar>
              <w:top w:w="15" w:type="dxa"/>
              <w:left w:w="15" w:type="dxa"/>
              <w:bottom w:w="0" w:type="dxa"/>
              <w:right w:w="15" w:type="dxa"/>
            </w:tcMar>
            <w:vAlign w:val="bottom"/>
            <w:hideMark/>
          </w:tcPr>
          <w:p w14:paraId="749693D6"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19 (3.1)</w:t>
            </w:r>
          </w:p>
        </w:tc>
      </w:tr>
      <w:tr w:rsidR="00D202E2" w:rsidRPr="00D067B4" w14:paraId="7FADA211" w14:textId="77777777" w:rsidTr="00D11C34">
        <w:trPr>
          <w:trHeight w:val="20"/>
        </w:trPr>
        <w:tc>
          <w:tcPr>
            <w:tcW w:w="0" w:type="auto"/>
            <w:tcBorders>
              <w:top w:val="nil"/>
              <w:left w:val="nil"/>
              <w:bottom w:val="nil"/>
              <w:right w:val="nil"/>
            </w:tcBorders>
            <w:shd w:val="clear" w:color="auto" w:fill="auto"/>
            <w:tcMar>
              <w:top w:w="15" w:type="dxa"/>
              <w:left w:w="98" w:type="dxa"/>
              <w:bottom w:w="0" w:type="dxa"/>
              <w:right w:w="98" w:type="dxa"/>
            </w:tcMar>
            <w:vAlign w:val="bottom"/>
            <w:hideMark/>
          </w:tcPr>
          <w:p w14:paraId="0B0AC25B" w14:textId="77777777"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Ear</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36CEDE3F"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0 (0.0)</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3930F1C7"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0 (0.0)</w:t>
            </w:r>
          </w:p>
        </w:tc>
        <w:tc>
          <w:tcPr>
            <w:tcW w:w="0" w:type="auto"/>
            <w:tcBorders>
              <w:top w:val="nil"/>
              <w:left w:val="nil"/>
              <w:bottom w:val="nil"/>
              <w:right w:val="nil"/>
            </w:tcBorders>
            <w:shd w:val="clear" w:color="auto" w:fill="auto"/>
            <w:tcMar>
              <w:top w:w="15" w:type="dxa"/>
              <w:left w:w="15" w:type="dxa"/>
              <w:bottom w:w="0" w:type="dxa"/>
              <w:right w:w="15" w:type="dxa"/>
            </w:tcMar>
            <w:vAlign w:val="bottom"/>
            <w:hideMark/>
          </w:tcPr>
          <w:p w14:paraId="25B81F6F"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 (0.2)</w:t>
            </w:r>
          </w:p>
        </w:tc>
        <w:tc>
          <w:tcPr>
            <w:tcW w:w="1500" w:type="dxa"/>
            <w:tcBorders>
              <w:top w:val="nil"/>
              <w:left w:val="nil"/>
              <w:bottom w:val="nil"/>
              <w:right w:val="nil"/>
            </w:tcBorders>
            <w:shd w:val="clear" w:color="auto" w:fill="auto"/>
            <w:tcMar>
              <w:top w:w="15" w:type="dxa"/>
              <w:left w:w="15" w:type="dxa"/>
              <w:bottom w:w="0" w:type="dxa"/>
              <w:right w:w="15" w:type="dxa"/>
            </w:tcMar>
            <w:vAlign w:val="bottom"/>
            <w:hideMark/>
          </w:tcPr>
          <w:p w14:paraId="239AAB62"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0 (0.0)</w:t>
            </w:r>
          </w:p>
        </w:tc>
      </w:tr>
      <w:tr w:rsidR="00D202E2" w:rsidRPr="00D067B4" w14:paraId="74165585" w14:textId="77777777" w:rsidTr="00D11C34">
        <w:trPr>
          <w:trHeight w:val="20"/>
        </w:trPr>
        <w:tc>
          <w:tcPr>
            <w:tcW w:w="0" w:type="auto"/>
            <w:tcBorders>
              <w:top w:val="nil"/>
              <w:left w:val="nil"/>
              <w:bottom w:val="nil"/>
              <w:right w:val="nil"/>
            </w:tcBorders>
            <w:shd w:val="clear" w:color="auto" w:fill="auto"/>
            <w:tcMar>
              <w:top w:w="15" w:type="dxa"/>
              <w:left w:w="98" w:type="dxa"/>
              <w:bottom w:w="0" w:type="dxa"/>
              <w:right w:w="98" w:type="dxa"/>
            </w:tcMar>
            <w:vAlign w:val="bottom"/>
          </w:tcPr>
          <w:p w14:paraId="432F73B7" w14:textId="77777777" w:rsidR="00D202E2" w:rsidRPr="00217043" w:rsidRDefault="00D202E2" w:rsidP="00E97A75">
            <w:pPr>
              <w:pStyle w:val="NoSpacing"/>
              <w:spacing w:line="276" w:lineRule="auto"/>
              <w:ind w:right="-568"/>
              <w:rPr>
                <w:rFonts w:eastAsiaTheme="minorEastAsia" w:cstheme="minorHAnsi"/>
                <w:b/>
                <w:color w:val="000000" w:themeColor="text1"/>
                <w:kern w:val="24"/>
                <w:sz w:val="16"/>
                <w:szCs w:val="16"/>
                <w:lang w:eastAsia="en-GB"/>
              </w:rPr>
            </w:pPr>
            <w:r w:rsidRPr="00217043">
              <w:rPr>
                <w:rFonts w:eastAsiaTheme="minorEastAsia" w:cstheme="minorHAnsi"/>
                <w:b/>
                <w:color w:val="000000" w:themeColor="text1"/>
                <w:kern w:val="24"/>
                <w:sz w:val="16"/>
                <w:szCs w:val="16"/>
                <w:lang w:eastAsia="en-GB"/>
              </w:rPr>
              <w:t>Oral</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14:paraId="0E7711F8" w14:textId="77777777" w:rsidR="00D202E2" w:rsidRDefault="00D202E2" w:rsidP="006F79A7">
            <w:pPr>
              <w:pStyle w:val="NoSpacing"/>
              <w:spacing w:line="276" w:lineRule="auto"/>
              <w:ind w:right="154"/>
              <w:jc w:val="center"/>
              <w:rPr>
                <w:rFonts w:ascii="Calibri" w:hAnsi="Calibri" w:cs="Calibri"/>
                <w:color w:val="000000"/>
                <w:sz w:val="16"/>
                <w:szCs w:val="16"/>
              </w:rPr>
            </w:pPr>
            <w:r>
              <w:rPr>
                <w:rFonts w:ascii="Calibri" w:hAnsi="Calibri" w:cs="Calibri"/>
                <w:color w:val="000000"/>
                <w:sz w:val="16"/>
                <w:szCs w:val="16"/>
              </w:rPr>
              <w:t>7 (1.7)</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14:paraId="08F90C72" w14:textId="77777777" w:rsidR="00D202E2" w:rsidRDefault="00D202E2" w:rsidP="006F79A7">
            <w:pPr>
              <w:pStyle w:val="NoSpacing"/>
              <w:spacing w:line="276" w:lineRule="auto"/>
              <w:ind w:right="154"/>
              <w:jc w:val="center"/>
              <w:rPr>
                <w:rFonts w:ascii="Calibri" w:hAnsi="Calibri" w:cs="Calibri"/>
                <w:color w:val="000000"/>
                <w:sz w:val="16"/>
                <w:szCs w:val="16"/>
              </w:rPr>
            </w:pPr>
            <w:r>
              <w:rPr>
                <w:rFonts w:ascii="Calibri" w:hAnsi="Calibri" w:cs="Calibri"/>
                <w:color w:val="000000"/>
                <w:sz w:val="16"/>
                <w:szCs w:val="16"/>
              </w:rPr>
              <w:t>1 (0.3)</w:t>
            </w:r>
          </w:p>
        </w:tc>
        <w:tc>
          <w:tcPr>
            <w:tcW w:w="0" w:type="auto"/>
            <w:tcBorders>
              <w:top w:val="nil"/>
              <w:left w:val="nil"/>
              <w:bottom w:val="nil"/>
              <w:right w:val="nil"/>
            </w:tcBorders>
            <w:shd w:val="clear" w:color="auto" w:fill="auto"/>
            <w:tcMar>
              <w:top w:w="15" w:type="dxa"/>
              <w:left w:w="15" w:type="dxa"/>
              <w:bottom w:w="0" w:type="dxa"/>
              <w:right w:w="15" w:type="dxa"/>
            </w:tcMar>
            <w:vAlign w:val="bottom"/>
          </w:tcPr>
          <w:p w14:paraId="555F317A" w14:textId="77777777" w:rsidR="00D202E2" w:rsidRDefault="00D202E2" w:rsidP="006F79A7">
            <w:pPr>
              <w:pStyle w:val="NoSpacing"/>
              <w:spacing w:line="276" w:lineRule="auto"/>
              <w:ind w:right="154"/>
              <w:jc w:val="center"/>
              <w:rPr>
                <w:rFonts w:ascii="Calibri" w:hAnsi="Calibri" w:cs="Calibri"/>
                <w:color w:val="000000"/>
                <w:sz w:val="16"/>
                <w:szCs w:val="16"/>
              </w:rPr>
            </w:pPr>
            <w:r>
              <w:rPr>
                <w:rFonts w:ascii="Calibri" w:hAnsi="Calibri" w:cs="Calibri"/>
                <w:color w:val="000000"/>
                <w:sz w:val="16"/>
                <w:szCs w:val="16"/>
              </w:rPr>
              <w:t>4 (0.7)</w:t>
            </w:r>
          </w:p>
        </w:tc>
        <w:tc>
          <w:tcPr>
            <w:tcW w:w="1500" w:type="dxa"/>
            <w:tcBorders>
              <w:top w:val="nil"/>
              <w:left w:val="nil"/>
              <w:bottom w:val="nil"/>
              <w:right w:val="nil"/>
            </w:tcBorders>
            <w:shd w:val="clear" w:color="auto" w:fill="auto"/>
            <w:tcMar>
              <w:top w:w="15" w:type="dxa"/>
              <w:left w:w="15" w:type="dxa"/>
              <w:bottom w:w="0" w:type="dxa"/>
              <w:right w:w="15" w:type="dxa"/>
            </w:tcMar>
            <w:vAlign w:val="bottom"/>
          </w:tcPr>
          <w:p w14:paraId="3FF9FAC6" w14:textId="77777777" w:rsidR="00D202E2" w:rsidRDefault="00D202E2" w:rsidP="006F79A7">
            <w:pPr>
              <w:pStyle w:val="NoSpacing"/>
              <w:spacing w:line="276" w:lineRule="auto"/>
              <w:ind w:right="154"/>
              <w:jc w:val="center"/>
              <w:rPr>
                <w:rFonts w:ascii="Calibri" w:hAnsi="Calibri" w:cs="Calibri"/>
                <w:color w:val="000000"/>
                <w:sz w:val="16"/>
                <w:szCs w:val="16"/>
              </w:rPr>
            </w:pPr>
            <w:r>
              <w:rPr>
                <w:rFonts w:ascii="Calibri" w:hAnsi="Calibri" w:cs="Calibri"/>
                <w:color w:val="000000"/>
                <w:sz w:val="16"/>
                <w:szCs w:val="16"/>
              </w:rPr>
              <w:t>2 (0.3)</w:t>
            </w:r>
          </w:p>
        </w:tc>
      </w:tr>
      <w:tr w:rsidR="00D202E2" w:rsidRPr="00D067B4" w14:paraId="523C25D9" w14:textId="77777777" w:rsidTr="00D11C34">
        <w:trPr>
          <w:trHeight w:val="20"/>
        </w:trPr>
        <w:tc>
          <w:tcPr>
            <w:tcW w:w="0" w:type="auto"/>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17DBB61F" w14:textId="10B470D1"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rPr>
              <w:t>Unknown infection site</w:t>
            </w:r>
            <w:r w:rsidR="00AC0692">
              <w:rPr>
                <w:rFonts w:eastAsiaTheme="minorEastAsia" w:cstheme="minorHAnsi"/>
                <w:b/>
                <w:color w:val="000000" w:themeColor="text1"/>
                <w:kern w:val="24"/>
                <w:sz w:val="16"/>
                <w:szCs w:val="16"/>
              </w:rPr>
              <w:t>s</w:t>
            </w:r>
            <w:r w:rsidRPr="00217043">
              <w:rPr>
                <w:rFonts w:eastAsiaTheme="minorEastAsia" w:cstheme="minorHAnsi"/>
                <w:b/>
                <w:color w:val="000000" w:themeColor="text1"/>
                <w:kern w:val="24"/>
                <w:sz w:val="16"/>
                <w:szCs w:val="16"/>
              </w:rPr>
              <w:t>, n (%)</w:t>
            </w:r>
          </w:p>
        </w:tc>
        <w:tc>
          <w:tcPr>
            <w:tcW w:w="0" w:type="auto"/>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62E67ED4" w14:textId="77777777" w:rsidR="00D202E2" w:rsidRPr="004C2310" w:rsidRDefault="00D202E2" w:rsidP="006F79A7">
            <w:pPr>
              <w:pStyle w:val="NoSpacing"/>
              <w:spacing w:line="276" w:lineRule="auto"/>
              <w:ind w:right="154"/>
              <w:jc w:val="center"/>
              <w:rPr>
                <w:rFonts w:ascii="Arial" w:eastAsia="Times New Roman" w:hAnsi="Arial" w:cs="Arial"/>
                <w:sz w:val="16"/>
                <w:szCs w:val="16"/>
                <w:lang w:eastAsia="en-GB"/>
              </w:rPr>
            </w:pPr>
          </w:p>
        </w:tc>
        <w:tc>
          <w:tcPr>
            <w:tcW w:w="0" w:type="auto"/>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3F9C745D" w14:textId="77777777" w:rsidR="00D202E2" w:rsidRPr="004C2310" w:rsidRDefault="00D202E2" w:rsidP="006F79A7">
            <w:pPr>
              <w:pStyle w:val="NoSpacing"/>
              <w:spacing w:line="276" w:lineRule="auto"/>
              <w:ind w:right="154"/>
              <w:jc w:val="center"/>
              <w:rPr>
                <w:rFonts w:ascii="Arial" w:eastAsia="Times New Roman" w:hAnsi="Arial" w:cs="Arial"/>
                <w:sz w:val="16"/>
                <w:szCs w:val="16"/>
                <w:lang w:eastAsia="en-GB"/>
              </w:rPr>
            </w:pPr>
          </w:p>
        </w:tc>
        <w:tc>
          <w:tcPr>
            <w:tcW w:w="0" w:type="auto"/>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7028FC75" w14:textId="77777777" w:rsidR="00D202E2" w:rsidRPr="004C2310" w:rsidRDefault="00D202E2" w:rsidP="006F79A7">
            <w:pPr>
              <w:pStyle w:val="NoSpacing"/>
              <w:spacing w:line="276" w:lineRule="auto"/>
              <w:ind w:right="154"/>
              <w:jc w:val="center"/>
              <w:rPr>
                <w:rFonts w:ascii="Arial" w:eastAsia="Times New Roman" w:hAnsi="Arial" w:cs="Arial"/>
                <w:sz w:val="16"/>
                <w:szCs w:val="16"/>
                <w:lang w:eastAsia="en-GB"/>
              </w:rPr>
            </w:pPr>
          </w:p>
        </w:tc>
        <w:tc>
          <w:tcPr>
            <w:tcW w:w="1500"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6F6A0B30" w14:textId="77777777" w:rsidR="00D202E2" w:rsidRPr="004C2310" w:rsidRDefault="00D202E2" w:rsidP="006F79A7">
            <w:pPr>
              <w:pStyle w:val="NoSpacing"/>
              <w:spacing w:line="276" w:lineRule="auto"/>
              <w:ind w:right="154"/>
              <w:jc w:val="center"/>
              <w:rPr>
                <w:rFonts w:ascii="Arial" w:eastAsia="Times New Roman" w:hAnsi="Arial" w:cs="Arial"/>
                <w:sz w:val="16"/>
                <w:szCs w:val="16"/>
                <w:lang w:eastAsia="en-GB"/>
              </w:rPr>
            </w:pPr>
          </w:p>
        </w:tc>
      </w:tr>
      <w:tr w:rsidR="00D202E2" w:rsidRPr="00D067B4" w14:paraId="1D2734EE" w14:textId="77777777" w:rsidTr="00D11C34">
        <w:trPr>
          <w:trHeight w:val="20"/>
        </w:trPr>
        <w:tc>
          <w:tcPr>
            <w:tcW w:w="0" w:type="auto"/>
            <w:tcBorders>
              <w:top w:val="single" w:sz="8" w:space="0" w:color="000000"/>
              <w:left w:val="nil"/>
              <w:bottom w:val="nil"/>
              <w:right w:val="nil"/>
            </w:tcBorders>
            <w:shd w:val="clear" w:color="auto" w:fill="auto"/>
            <w:tcMar>
              <w:top w:w="15" w:type="dxa"/>
              <w:left w:w="98" w:type="dxa"/>
              <w:bottom w:w="0" w:type="dxa"/>
              <w:right w:w="98" w:type="dxa"/>
            </w:tcMar>
            <w:vAlign w:val="bottom"/>
            <w:hideMark/>
          </w:tcPr>
          <w:p w14:paraId="6884E7F2" w14:textId="77777777"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Unknown</w:t>
            </w:r>
            <w:r w:rsidRPr="00217043">
              <w:rPr>
                <w:rFonts w:eastAsiaTheme="minorEastAsia" w:cstheme="minorHAnsi"/>
                <w:b/>
                <w:color w:val="000000" w:themeColor="text1"/>
                <w:kern w:val="24"/>
                <w:position w:val="5"/>
                <w:sz w:val="16"/>
                <w:szCs w:val="16"/>
                <w:vertAlign w:val="superscript"/>
                <w:lang w:eastAsia="en-GB"/>
              </w:rPr>
              <w:t xml:space="preserve">  </w:t>
            </w:r>
          </w:p>
        </w:tc>
        <w:tc>
          <w:tcPr>
            <w:tcW w:w="0" w:type="auto"/>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DC32141"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11 (2.6)</w:t>
            </w:r>
          </w:p>
        </w:tc>
        <w:tc>
          <w:tcPr>
            <w:tcW w:w="0" w:type="auto"/>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1DF9B7F"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8 (2.2)</w:t>
            </w:r>
          </w:p>
        </w:tc>
        <w:tc>
          <w:tcPr>
            <w:tcW w:w="0" w:type="auto"/>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A5D2BA9"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10 (1.8)</w:t>
            </w:r>
          </w:p>
        </w:tc>
        <w:tc>
          <w:tcPr>
            <w:tcW w:w="150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360A1AD"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19 (3.1)</w:t>
            </w:r>
          </w:p>
        </w:tc>
      </w:tr>
      <w:tr w:rsidR="00D202E2" w:rsidRPr="00D067B4" w14:paraId="1F1FC615" w14:textId="77777777" w:rsidTr="00D11C34">
        <w:trPr>
          <w:trHeight w:val="20"/>
        </w:trPr>
        <w:tc>
          <w:tcPr>
            <w:tcW w:w="0" w:type="auto"/>
            <w:tcBorders>
              <w:top w:val="nil"/>
              <w:left w:val="nil"/>
              <w:right w:val="nil"/>
            </w:tcBorders>
            <w:shd w:val="clear" w:color="auto" w:fill="auto"/>
            <w:tcMar>
              <w:top w:w="15" w:type="dxa"/>
              <w:left w:w="98" w:type="dxa"/>
              <w:bottom w:w="0" w:type="dxa"/>
              <w:right w:w="98" w:type="dxa"/>
            </w:tcMar>
            <w:vAlign w:val="bottom"/>
            <w:hideMark/>
          </w:tcPr>
          <w:p w14:paraId="04264217" w14:textId="77777777"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Systemic viral infection</w:t>
            </w:r>
          </w:p>
        </w:tc>
        <w:tc>
          <w:tcPr>
            <w:tcW w:w="0" w:type="auto"/>
            <w:tcBorders>
              <w:top w:val="nil"/>
              <w:left w:val="nil"/>
              <w:right w:val="nil"/>
            </w:tcBorders>
            <w:shd w:val="clear" w:color="auto" w:fill="auto"/>
            <w:tcMar>
              <w:top w:w="15" w:type="dxa"/>
              <w:left w:w="15" w:type="dxa"/>
              <w:bottom w:w="0" w:type="dxa"/>
              <w:right w:w="15" w:type="dxa"/>
            </w:tcMar>
            <w:vAlign w:val="bottom"/>
            <w:hideMark/>
          </w:tcPr>
          <w:p w14:paraId="4AC2259A"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 (0.2)</w:t>
            </w:r>
          </w:p>
        </w:tc>
        <w:tc>
          <w:tcPr>
            <w:tcW w:w="0" w:type="auto"/>
            <w:tcBorders>
              <w:top w:val="nil"/>
              <w:left w:val="nil"/>
              <w:right w:val="nil"/>
            </w:tcBorders>
            <w:shd w:val="clear" w:color="auto" w:fill="auto"/>
            <w:tcMar>
              <w:top w:w="15" w:type="dxa"/>
              <w:left w:w="15" w:type="dxa"/>
              <w:bottom w:w="0" w:type="dxa"/>
              <w:right w:w="15" w:type="dxa"/>
            </w:tcMar>
            <w:vAlign w:val="bottom"/>
            <w:hideMark/>
          </w:tcPr>
          <w:p w14:paraId="15295618"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2 (0.5)</w:t>
            </w:r>
          </w:p>
        </w:tc>
        <w:tc>
          <w:tcPr>
            <w:tcW w:w="0" w:type="auto"/>
            <w:tcBorders>
              <w:top w:val="nil"/>
              <w:left w:val="nil"/>
              <w:right w:val="nil"/>
            </w:tcBorders>
            <w:shd w:val="clear" w:color="auto" w:fill="auto"/>
            <w:tcMar>
              <w:top w:w="15" w:type="dxa"/>
              <w:left w:w="15" w:type="dxa"/>
              <w:bottom w:w="0" w:type="dxa"/>
              <w:right w:w="15" w:type="dxa"/>
            </w:tcMar>
            <w:vAlign w:val="bottom"/>
            <w:hideMark/>
          </w:tcPr>
          <w:p w14:paraId="6DD8A5B1"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2 (0.4)</w:t>
            </w:r>
          </w:p>
        </w:tc>
        <w:tc>
          <w:tcPr>
            <w:tcW w:w="1500" w:type="dxa"/>
            <w:tcBorders>
              <w:top w:val="nil"/>
              <w:left w:val="nil"/>
              <w:right w:val="nil"/>
            </w:tcBorders>
            <w:shd w:val="clear" w:color="auto" w:fill="auto"/>
            <w:tcMar>
              <w:top w:w="15" w:type="dxa"/>
              <w:left w:w="15" w:type="dxa"/>
              <w:bottom w:w="0" w:type="dxa"/>
              <w:right w:w="15" w:type="dxa"/>
            </w:tcMar>
            <w:vAlign w:val="bottom"/>
            <w:hideMark/>
          </w:tcPr>
          <w:p w14:paraId="2B596260"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0 (0.0)</w:t>
            </w:r>
          </w:p>
        </w:tc>
      </w:tr>
      <w:tr w:rsidR="00D202E2" w:rsidRPr="00D067B4" w14:paraId="1604F8B0" w14:textId="77777777" w:rsidTr="00D11C34">
        <w:trPr>
          <w:trHeight w:val="20"/>
        </w:trPr>
        <w:tc>
          <w:tcPr>
            <w:tcW w:w="0" w:type="auto"/>
            <w:tcBorders>
              <w:top w:val="nil"/>
              <w:left w:val="nil"/>
              <w:bottom w:val="single" w:sz="4" w:space="0" w:color="auto"/>
              <w:right w:val="nil"/>
            </w:tcBorders>
            <w:shd w:val="clear" w:color="auto" w:fill="auto"/>
            <w:tcMar>
              <w:top w:w="15" w:type="dxa"/>
              <w:left w:w="98" w:type="dxa"/>
              <w:bottom w:w="0" w:type="dxa"/>
              <w:right w:w="98" w:type="dxa"/>
            </w:tcMar>
            <w:vAlign w:val="bottom"/>
            <w:hideMark/>
          </w:tcPr>
          <w:p w14:paraId="20FED8DD" w14:textId="77777777" w:rsidR="00D202E2" w:rsidRPr="00217043" w:rsidRDefault="00D202E2" w:rsidP="00E97A75">
            <w:pPr>
              <w:pStyle w:val="NoSpacing"/>
              <w:spacing w:line="276" w:lineRule="auto"/>
              <w:ind w:right="-568"/>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Primary bacteremia</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6BD269D4"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4 (1.0)</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0232D82A"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7 (1.9)</w:t>
            </w:r>
          </w:p>
        </w:tc>
        <w:tc>
          <w:tcPr>
            <w:tcW w:w="0" w:type="auto"/>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739B7755"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11 (2.0)</w:t>
            </w:r>
          </w:p>
        </w:tc>
        <w:tc>
          <w:tcPr>
            <w:tcW w:w="1500"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E3DDAF0" w14:textId="77777777" w:rsidR="00D202E2" w:rsidRDefault="00D202E2" w:rsidP="006F79A7">
            <w:pPr>
              <w:pStyle w:val="NoSpacing"/>
              <w:spacing w:line="276" w:lineRule="auto"/>
              <w:ind w:right="154"/>
              <w:jc w:val="center"/>
              <w:rPr>
                <w:rFonts w:ascii="Calibri" w:hAnsi="Calibri"/>
                <w:color w:val="000000"/>
                <w:sz w:val="16"/>
                <w:szCs w:val="16"/>
              </w:rPr>
            </w:pPr>
            <w:r>
              <w:rPr>
                <w:rFonts w:ascii="Calibri" w:hAnsi="Calibri" w:cs="Calibri"/>
                <w:color w:val="000000"/>
                <w:sz w:val="16"/>
                <w:szCs w:val="16"/>
              </w:rPr>
              <w:t>12 (1.9)</w:t>
            </w:r>
          </w:p>
        </w:tc>
      </w:tr>
    </w:tbl>
    <w:p w14:paraId="27A10A94" w14:textId="2F9A12AF" w:rsidR="00D202E2" w:rsidRDefault="00D202E2" w:rsidP="00E97A75">
      <w:pPr>
        <w:spacing w:line="276" w:lineRule="auto"/>
        <w:ind w:right="-568"/>
        <w:rPr>
          <w:color w:val="1F497D" w:themeColor="text2"/>
          <w:sz w:val="18"/>
          <w:szCs w:val="18"/>
          <w:lang w:val="en-US"/>
        </w:rPr>
      </w:pPr>
    </w:p>
    <w:p w14:paraId="688AC603" w14:textId="549EFAEF" w:rsidR="004F3354" w:rsidRPr="004F3354" w:rsidRDefault="00A766D2" w:rsidP="00E97A75">
      <w:pPr>
        <w:spacing w:after="200" w:line="276" w:lineRule="auto"/>
        <w:ind w:right="-568"/>
        <w:rPr>
          <w:lang w:val="en-US"/>
        </w:rPr>
      </w:pPr>
      <w:r>
        <w:rPr>
          <w:lang w:val="en-US"/>
        </w:rPr>
        <w:br w:type="page"/>
      </w:r>
    </w:p>
    <w:p w14:paraId="412394C7" w14:textId="2C98496D" w:rsidR="00217043" w:rsidRDefault="00217043" w:rsidP="00E97A75">
      <w:pPr>
        <w:pStyle w:val="Heading2"/>
        <w:numPr>
          <w:ilvl w:val="0"/>
          <w:numId w:val="2"/>
        </w:numPr>
        <w:spacing w:line="276" w:lineRule="auto"/>
        <w:ind w:right="-568"/>
        <w:rPr>
          <w:lang w:val="en-US"/>
        </w:rPr>
      </w:pPr>
      <w:bookmarkStart w:id="52" w:name="_Toc90890584"/>
      <w:bookmarkStart w:id="53" w:name="_Toc115709540"/>
      <w:r>
        <w:rPr>
          <w:lang w:val="en-US"/>
        </w:rPr>
        <w:lastRenderedPageBreak/>
        <w:t xml:space="preserve">Demographics and clinical outcomes of </w:t>
      </w:r>
      <w:bookmarkEnd w:id="52"/>
      <w:r w:rsidR="00F96867">
        <w:rPr>
          <w:lang w:val="en-US"/>
        </w:rPr>
        <w:t>host response biomarker cohort</w:t>
      </w:r>
      <w:bookmarkEnd w:id="53"/>
    </w:p>
    <w:p w14:paraId="3498BC07" w14:textId="4906592C" w:rsidR="00217043" w:rsidRDefault="000957F4" w:rsidP="00E97A75">
      <w:pPr>
        <w:spacing w:line="276" w:lineRule="auto"/>
        <w:ind w:right="-568"/>
        <w:rPr>
          <w:rFonts w:cstheme="minorHAnsi"/>
          <w:color w:val="1F497D" w:themeColor="text2"/>
          <w:sz w:val="18"/>
          <w:szCs w:val="18"/>
          <w:lang w:val="en-GB"/>
        </w:rPr>
      </w:pPr>
      <w:r>
        <w:rPr>
          <w:rFonts w:cstheme="minorHAnsi"/>
          <w:color w:val="1F497D" w:themeColor="text2"/>
          <w:sz w:val="18"/>
          <w:szCs w:val="18"/>
          <w:lang w:val="en-GB"/>
        </w:rPr>
        <w:t>Supplementary</w:t>
      </w:r>
      <w:r w:rsidR="00F96867">
        <w:rPr>
          <w:color w:val="1F497D" w:themeColor="text2"/>
          <w:sz w:val="18"/>
          <w:szCs w:val="18"/>
          <w:lang w:val="en-US"/>
        </w:rPr>
        <w:t xml:space="preserve"> </w:t>
      </w:r>
      <w:r w:rsidR="0047428B">
        <w:rPr>
          <w:color w:val="1F497D" w:themeColor="text2"/>
          <w:sz w:val="18"/>
          <w:szCs w:val="18"/>
          <w:lang w:val="en-US"/>
        </w:rPr>
        <w:t>Table S</w:t>
      </w:r>
      <w:r w:rsidR="00BA05CC">
        <w:rPr>
          <w:color w:val="1F497D" w:themeColor="text2"/>
          <w:sz w:val="18"/>
          <w:szCs w:val="18"/>
          <w:lang w:val="en-US"/>
        </w:rPr>
        <w:t>2</w:t>
      </w:r>
      <w:r w:rsidR="00217043" w:rsidRPr="00217043">
        <w:rPr>
          <w:color w:val="1F497D" w:themeColor="text2"/>
          <w:sz w:val="18"/>
          <w:szCs w:val="18"/>
          <w:lang w:val="en-US"/>
        </w:rPr>
        <w:t xml:space="preserve">: </w:t>
      </w:r>
      <w:r w:rsidR="00217043" w:rsidRPr="00217043">
        <w:rPr>
          <w:rFonts w:cstheme="minorHAnsi"/>
          <w:color w:val="1F497D" w:themeColor="text2"/>
          <w:sz w:val="18"/>
          <w:szCs w:val="18"/>
          <w:lang w:val="en-GB"/>
        </w:rPr>
        <w:t>Baseline characteristics of critically ill sepsis patients stratified by age decades (host response biomarker cohort)</w:t>
      </w:r>
    </w:p>
    <w:tbl>
      <w:tblPr>
        <w:tblW w:w="10267" w:type="dxa"/>
        <w:tblCellMar>
          <w:left w:w="0" w:type="dxa"/>
          <w:right w:w="0" w:type="dxa"/>
        </w:tblCellMar>
        <w:tblLook w:val="04A0" w:firstRow="1" w:lastRow="0" w:firstColumn="1" w:lastColumn="0" w:noHBand="0" w:noVBand="1"/>
      </w:tblPr>
      <w:tblGrid>
        <w:gridCol w:w="2296"/>
        <w:gridCol w:w="1821"/>
        <w:gridCol w:w="308"/>
        <w:gridCol w:w="1758"/>
        <w:gridCol w:w="1754"/>
        <w:gridCol w:w="1441"/>
        <w:gridCol w:w="889"/>
      </w:tblGrid>
      <w:tr w:rsidR="00EA1B48" w:rsidRPr="00D067B4" w14:paraId="1DBF0F7D" w14:textId="77777777" w:rsidTr="00EA1B48">
        <w:trPr>
          <w:trHeight w:val="154"/>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3878A31F" w14:textId="77777777" w:rsidR="00EA1B48" w:rsidRPr="004C2310" w:rsidRDefault="00EA1B48" w:rsidP="00EA1B48">
            <w:pPr>
              <w:pStyle w:val="NoSpacing"/>
              <w:spacing w:line="276" w:lineRule="auto"/>
              <w:ind w:right="-1"/>
              <w:rPr>
                <w:rFonts w:ascii="Arial" w:eastAsia="Times New Roman" w:hAnsi="Arial" w:cs="Arial"/>
                <w:sz w:val="16"/>
                <w:szCs w:val="16"/>
                <w:lang w:eastAsia="en-GB"/>
              </w:rPr>
            </w:pPr>
            <w:r w:rsidRPr="004C2310">
              <w:rPr>
                <w:rFonts w:eastAsiaTheme="minorEastAsia" w:hAnsi="Calibri"/>
                <w:color w:val="000000" w:themeColor="text1"/>
                <w:kern w:val="24"/>
                <w:sz w:val="16"/>
                <w:szCs w:val="16"/>
                <w:lang w:eastAsia="en-GB"/>
              </w:rPr>
              <w:t> </w:t>
            </w:r>
          </w:p>
        </w:tc>
        <w:tc>
          <w:tcPr>
            <w:tcW w:w="2129" w:type="dxa"/>
            <w:gridSpan w:val="2"/>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0716A027"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lang w:val="en-GB"/>
              </w:rPr>
              <w:t>&lt;50 years</w:t>
            </w:r>
          </w:p>
        </w:tc>
        <w:tc>
          <w:tcPr>
            <w:tcW w:w="1758"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0A0A9B03"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≥50 - &lt;60 years</w:t>
            </w:r>
          </w:p>
        </w:tc>
        <w:tc>
          <w:tcPr>
            <w:tcW w:w="1754"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53E98753"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≥60 - &lt;70 years</w:t>
            </w:r>
          </w:p>
        </w:tc>
        <w:tc>
          <w:tcPr>
            <w:tcW w:w="1441"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40F94EB3"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w:t>
            </w:r>
            <w:r w:rsidRPr="00217043">
              <w:rPr>
                <w:rFonts w:eastAsia="Times New Roman" w:cstheme="minorHAnsi"/>
                <w:b/>
                <w:color w:val="000000" w:themeColor="text1"/>
                <w:kern w:val="24"/>
                <w:sz w:val="16"/>
                <w:szCs w:val="16"/>
                <w:lang w:eastAsia="en-GB"/>
              </w:rPr>
              <w:t>70 years</w:t>
            </w:r>
          </w:p>
        </w:tc>
        <w:tc>
          <w:tcPr>
            <w:tcW w:w="889"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374CF0CF" w14:textId="77777777" w:rsidR="00EA1B48" w:rsidRPr="00217043" w:rsidRDefault="00EA1B48" w:rsidP="00EA1B48">
            <w:pPr>
              <w:pStyle w:val="NoSpacing"/>
              <w:spacing w:line="276" w:lineRule="auto"/>
              <w:ind w:right="-1"/>
              <w:jc w:val="right"/>
              <w:rPr>
                <w:rFonts w:ascii="Arial" w:eastAsia="Times New Roman" w:hAnsi="Arial" w:cs="Arial"/>
                <w:b/>
                <w:sz w:val="16"/>
                <w:szCs w:val="16"/>
                <w:lang w:eastAsia="en-GB"/>
              </w:rPr>
            </w:pPr>
            <w:r w:rsidRPr="00217043">
              <w:rPr>
                <w:rFonts w:eastAsiaTheme="minorEastAsia" w:hAnsi="Calibri"/>
                <w:b/>
                <w:color w:val="000000" w:themeColor="text1"/>
                <w:kern w:val="24"/>
                <w:sz w:val="16"/>
                <w:szCs w:val="16"/>
                <w:lang w:eastAsia="en-GB"/>
              </w:rPr>
              <w:t>p-value</w:t>
            </w:r>
          </w:p>
        </w:tc>
      </w:tr>
      <w:tr w:rsidR="00EA1B48" w:rsidRPr="00D067B4" w14:paraId="219E8CC4" w14:textId="77777777" w:rsidTr="00EA1B48">
        <w:trPr>
          <w:trHeight w:val="166"/>
        </w:trPr>
        <w:tc>
          <w:tcPr>
            <w:tcW w:w="2296"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45C20387"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hAnsi="Calibri"/>
                <w:b/>
                <w:color w:val="000000" w:themeColor="text1"/>
                <w:kern w:val="24"/>
                <w:sz w:val="16"/>
                <w:szCs w:val="16"/>
                <w:lang w:eastAsia="en-GB"/>
              </w:rPr>
              <w:t>n</w:t>
            </w:r>
          </w:p>
        </w:tc>
        <w:tc>
          <w:tcPr>
            <w:tcW w:w="2129" w:type="dxa"/>
            <w:gridSpan w:val="2"/>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F0E3912" w14:textId="77777777" w:rsidR="00EA1B48" w:rsidRPr="00610B6B" w:rsidRDefault="00EA1B48" w:rsidP="00EA1B48">
            <w:pPr>
              <w:pStyle w:val="NoSpacing"/>
              <w:spacing w:line="276" w:lineRule="auto"/>
              <w:ind w:right="-1"/>
              <w:jc w:val="center"/>
              <w:rPr>
                <w:sz w:val="16"/>
                <w:szCs w:val="16"/>
              </w:rPr>
            </w:pPr>
            <w:r w:rsidRPr="00610B6B">
              <w:rPr>
                <w:sz w:val="16"/>
                <w:szCs w:val="16"/>
              </w:rPr>
              <w:t>187</w:t>
            </w:r>
          </w:p>
        </w:tc>
        <w:tc>
          <w:tcPr>
            <w:tcW w:w="175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1FB03804" w14:textId="77777777" w:rsidR="00EA1B48" w:rsidRPr="00610B6B" w:rsidRDefault="00EA1B48" w:rsidP="00EA1B48">
            <w:pPr>
              <w:pStyle w:val="NoSpacing"/>
              <w:spacing w:line="276" w:lineRule="auto"/>
              <w:ind w:right="-1"/>
              <w:jc w:val="center"/>
              <w:rPr>
                <w:sz w:val="16"/>
                <w:szCs w:val="16"/>
              </w:rPr>
            </w:pPr>
            <w:r w:rsidRPr="00610B6B">
              <w:rPr>
                <w:sz w:val="16"/>
                <w:szCs w:val="16"/>
              </w:rPr>
              <w:t>163</w:t>
            </w:r>
          </w:p>
        </w:tc>
        <w:tc>
          <w:tcPr>
            <w:tcW w:w="175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661A813" w14:textId="77777777" w:rsidR="00EA1B48" w:rsidRPr="00610B6B" w:rsidRDefault="00EA1B48" w:rsidP="00EA1B48">
            <w:pPr>
              <w:pStyle w:val="NoSpacing"/>
              <w:spacing w:line="276" w:lineRule="auto"/>
              <w:ind w:right="-1"/>
              <w:jc w:val="center"/>
              <w:rPr>
                <w:sz w:val="16"/>
                <w:szCs w:val="16"/>
              </w:rPr>
            </w:pPr>
            <w:r w:rsidRPr="00610B6B">
              <w:rPr>
                <w:sz w:val="16"/>
                <w:szCs w:val="16"/>
              </w:rPr>
              <w:t>259</w:t>
            </w:r>
          </w:p>
        </w:tc>
        <w:tc>
          <w:tcPr>
            <w:tcW w:w="144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2B79CAB4" w14:textId="77777777" w:rsidR="00EA1B48" w:rsidRPr="00610B6B" w:rsidRDefault="00EA1B48" w:rsidP="00EA1B48">
            <w:pPr>
              <w:pStyle w:val="NoSpacing"/>
              <w:spacing w:line="276" w:lineRule="auto"/>
              <w:ind w:right="-1"/>
              <w:jc w:val="center"/>
              <w:rPr>
                <w:sz w:val="16"/>
                <w:szCs w:val="16"/>
              </w:rPr>
            </w:pPr>
            <w:r w:rsidRPr="00610B6B">
              <w:rPr>
                <w:sz w:val="16"/>
                <w:szCs w:val="16"/>
              </w:rPr>
              <w:t>280</w:t>
            </w:r>
          </w:p>
        </w:tc>
        <w:tc>
          <w:tcPr>
            <w:tcW w:w="889"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7A622125" w14:textId="77777777" w:rsidR="00EA1B48" w:rsidRPr="004C2310" w:rsidRDefault="00EA1B48" w:rsidP="00EA1B48">
            <w:pPr>
              <w:pStyle w:val="NoSpacing"/>
              <w:spacing w:line="276" w:lineRule="auto"/>
              <w:ind w:right="-1"/>
              <w:jc w:val="right"/>
              <w:rPr>
                <w:rFonts w:ascii="Arial" w:eastAsia="Times New Roman" w:hAnsi="Arial" w:cs="Arial"/>
                <w:sz w:val="16"/>
                <w:szCs w:val="16"/>
                <w:lang w:eastAsia="en-GB"/>
              </w:rPr>
            </w:pPr>
          </w:p>
        </w:tc>
      </w:tr>
      <w:tr w:rsidR="00EA1B48" w:rsidRPr="00D067B4" w14:paraId="5E23F505" w14:textId="77777777" w:rsidTr="00EA1B48">
        <w:trPr>
          <w:trHeight w:val="154"/>
        </w:trPr>
        <w:tc>
          <w:tcPr>
            <w:tcW w:w="2296"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5A8B0CA6"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Demographics</w:t>
            </w:r>
          </w:p>
        </w:tc>
        <w:tc>
          <w:tcPr>
            <w:tcW w:w="2129" w:type="dxa"/>
            <w:gridSpan w:val="2"/>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23712728"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758"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46F7DDC2"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754"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2E03261B"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441"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49D9B05A"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889"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3F4F3EAB" w14:textId="77777777" w:rsidR="00EA1B48" w:rsidRPr="004C2310" w:rsidRDefault="00EA1B48" w:rsidP="00EA1B48">
            <w:pPr>
              <w:pStyle w:val="NoSpacing"/>
              <w:spacing w:line="276" w:lineRule="auto"/>
              <w:ind w:right="-1"/>
              <w:jc w:val="right"/>
              <w:rPr>
                <w:rFonts w:ascii="Arial" w:eastAsia="Times New Roman" w:hAnsi="Arial" w:cs="Arial"/>
                <w:sz w:val="16"/>
                <w:szCs w:val="16"/>
                <w:lang w:eastAsia="en-GB"/>
              </w:rPr>
            </w:pPr>
          </w:p>
        </w:tc>
      </w:tr>
      <w:tr w:rsidR="00EA1B48" w:rsidRPr="00D067B4" w14:paraId="2F36E1B4" w14:textId="77777777" w:rsidTr="00EA1B48">
        <w:trPr>
          <w:trHeight w:val="166"/>
        </w:trPr>
        <w:tc>
          <w:tcPr>
            <w:tcW w:w="2296" w:type="dxa"/>
            <w:tcBorders>
              <w:top w:val="single" w:sz="8" w:space="0" w:color="000000"/>
              <w:left w:val="nil"/>
              <w:bottom w:val="nil"/>
              <w:right w:val="nil"/>
            </w:tcBorders>
            <w:shd w:val="clear" w:color="auto" w:fill="auto"/>
            <w:tcMar>
              <w:top w:w="15" w:type="dxa"/>
              <w:left w:w="98" w:type="dxa"/>
              <w:bottom w:w="0" w:type="dxa"/>
              <w:right w:w="98" w:type="dxa"/>
            </w:tcMar>
            <w:vAlign w:val="bottom"/>
            <w:hideMark/>
          </w:tcPr>
          <w:p w14:paraId="247BA4EC"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Age years, median [IQR]</w:t>
            </w:r>
          </w:p>
        </w:tc>
        <w:tc>
          <w:tcPr>
            <w:tcW w:w="2129"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672BEF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40.00 [30.00, 47.00]</w:t>
            </w:r>
          </w:p>
        </w:tc>
        <w:tc>
          <w:tcPr>
            <w:tcW w:w="17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B15ADC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55.00 [53.00, 58.00]</w:t>
            </w:r>
          </w:p>
        </w:tc>
        <w:tc>
          <w:tcPr>
            <w:tcW w:w="175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9B96CA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64.00 [62.00, 67.00]</w:t>
            </w:r>
          </w:p>
        </w:tc>
        <w:tc>
          <w:tcPr>
            <w:tcW w:w="14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98A6B7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75.00 [72.00, 79.00]</w:t>
            </w:r>
          </w:p>
        </w:tc>
        <w:tc>
          <w:tcPr>
            <w:tcW w:w="88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E4A3096" w14:textId="77777777" w:rsidR="00EA1B48" w:rsidRDefault="00EA1B48" w:rsidP="00EA1B48">
            <w:pPr>
              <w:pStyle w:val="NoSpacing"/>
              <w:spacing w:line="276" w:lineRule="auto"/>
              <w:ind w:right="-1"/>
              <w:jc w:val="right"/>
              <w:rPr>
                <w:rFonts w:ascii="Calibri" w:hAnsi="Calibri"/>
                <w:color w:val="000000"/>
                <w:sz w:val="16"/>
                <w:szCs w:val="16"/>
              </w:rPr>
            </w:pPr>
            <w:r w:rsidRPr="00FA568F">
              <w:rPr>
                <w:rFonts w:ascii="Calibri" w:hAnsi="Calibri" w:cs="Calibri"/>
                <w:color w:val="000000"/>
                <w:sz w:val="16"/>
                <w:szCs w:val="16"/>
              </w:rPr>
              <w:t>&lt;0.001</w:t>
            </w:r>
          </w:p>
        </w:tc>
      </w:tr>
      <w:tr w:rsidR="00EA1B48" w:rsidRPr="00D067B4" w14:paraId="529A0D63"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677D8FEE"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Male sex, n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5707799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101 (54.0)</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54D1B2A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100 (61.3)</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0BBEE3F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165 (63.7)</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353B6E6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171 (61.1)</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4406C400"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0.213</w:t>
            </w:r>
          </w:p>
        </w:tc>
      </w:tr>
      <w:tr w:rsidR="00EA1B48" w:rsidRPr="00D067B4" w14:paraId="499B72DF"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7B00838D"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 xml:space="preserve">White race, n (%)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5DC3AA5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143 (76.5)</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366A97A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146 (89.6)</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3248EFE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231 (89.9)</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3327818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264 (94.6)</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0D9FE185"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rsidRPr="00D067B4" w14:paraId="5CC5C805"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6B92C0C2"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BMI, median [IQR]</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77F9B3F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23.53 [21.43, 26.23]</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4179A3F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24.59 [21.31, 27.70]</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7294B64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25.35 [22.84, 29.19]</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4E211FA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25.21 [23.01, 27.92]</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67C71D8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rsidRPr="00D067B4" w14:paraId="726E9BF8" w14:textId="77777777" w:rsidTr="00EA1B48">
        <w:trPr>
          <w:trHeight w:val="166"/>
        </w:trPr>
        <w:tc>
          <w:tcPr>
            <w:tcW w:w="2296"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2A975630"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Medical admission, n (%)</w:t>
            </w:r>
          </w:p>
        </w:tc>
        <w:tc>
          <w:tcPr>
            <w:tcW w:w="2129" w:type="dxa"/>
            <w:gridSpan w:val="2"/>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AD2384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135 (72.2)</w:t>
            </w:r>
          </w:p>
        </w:tc>
        <w:tc>
          <w:tcPr>
            <w:tcW w:w="1758"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3DC577D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117 (71.8)</w:t>
            </w:r>
          </w:p>
        </w:tc>
        <w:tc>
          <w:tcPr>
            <w:tcW w:w="175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5B929B7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194 (74.9)</w:t>
            </w:r>
          </w:p>
        </w:tc>
        <w:tc>
          <w:tcPr>
            <w:tcW w:w="1441"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26203F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204 (72.9)</w:t>
            </w:r>
          </w:p>
        </w:tc>
        <w:tc>
          <w:tcPr>
            <w:tcW w:w="889"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53EB9E7"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0.883</w:t>
            </w:r>
          </w:p>
        </w:tc>
      </w:tr>
      <w:tr w:rsidR="00EA1B48" w:rsidRPr="00D067B4" w14:paraId="3A696E6F" w14:textId="77777777" w:rsidTr="00EA1B48">
        <w:trPr>
          <w:trHeight w:val="154"/>
        </w:trPr>
        <w:tc>
          <w:tcPr>
            <w:tcW w:w="2296"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18627D1F"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Comorbidity</w:t>
            </w:r>
          </w:p>
        </w:tc>
        <w:tc>
          <w:tcPr>
            <w:tcW w:w="2129" w:type="dxa"/>
            <w:gridSpan w:val="2"/>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1566C3D7"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758"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2273BDB7"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754"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4D41C835"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441"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6FAA71F7"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889"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78E31354" w14:textId="77777777" w:rsidR="00EA1B48" w:rsidRPr="004C2310" w:rsidRDefault="00EA1B48" w:rsidP="00EA1B48">
            <w:pPr>
              <w:pStyle w:val="NoSpacing"/>
              <w:spacing w:line="276" w:lineRule="auto"/>
              <w:ind w:right="-1"/>
              <w:jc w:val="right"/>
              <w:rPr>
                <w:rFonts w:ascii="Arial" w:eastAsia="Times New Roman" w:hAnsi="Arial" w:cs="Arial"/>
                <w:sz w:val="16"/>
                <w:szCs w:val="16"/>
                <w:lang w:eastAsia="en-GB"/>
              </w:rPr>
            </w:pPr>
          </w:p>
        </w:tc>
      </w:tr>
      <w:tr w:rsidR="00EA1B48" w:rsidRPr="0019794B" w14:paraId="1AC8BBDD" w14:textId="77777777" w:rsidTr="00EA1B48">
        <w:trPr>
          <w:trHeight w:val="166"/>
        </w:trPr>
        <w:tc>
          <w:tcPr>
            <w:tcW w:w="2296" w:type="dxa"/>
            <w:tcBorders>
              <w:top w:val="single" w:sz="8" w:space="0" w:color="000000"/>
              <w:left w:val="nil"/>
              <w:bottom w:val="nil"/>
              <w:right w:val="nil"/>
            </w:tcBorders>
            <w:shd w:val="clear" w:color="auto" w:fill="auto"/>
            <w:tcMar>
              <w:top w:w="15" w:type="dxa"/>
              <w:left w:w="98" w:type="dxa"/>
              <w:bottom w:w="0" w:type="dxa"/>
              <w:right w:w="98" w:type="dxa"/>
            </w:tcMar>
            <w:vAlign w:val="bottom"/>
            <w:hideMark/>
          </w:tcPr>
          <w:p w14:paraId="79BE67F8" w14:textId="79C601A5" w:rsidR="00EA1B48" w:rsidRPr="00217043" w:rsidRDefault="00EA1B48" w:rsidP="00EA1B48">
            <w:pPr>
              <w:pStyle w:val="NoSpacing"/>
              <w:spacing w:line="276" w:lineRule="auto"/>
              <w:ind w:right="-1"/>
              <w:rPr>
                <w:rFonts w:ascii="Arial" w:eastAsia="Times New Roman" w:hAnsi="Arial" w:cs="Arial"/>
                <w:b/>
                <w:sz w:val="16"/>
                <w:szCs w:val="16"/>
                <w:lang w:eastAsia="en-GB"/>
              </w:rPr>
            </w:pPr>
            <w:proofErr w:type="spellStart"/>
            <w:r w:rsidRPr="00217043">
              <w:rPr>
                <w:rFonts w:eastAsiaTheme="minorEastAsia" w:cstheme="minorHAnsi"/>
                <w:b/>
                <w:color w:val="000000" w:themeColor="text1"/>
                <w:kern w:val="24"/>
                <w:sz w:val="16"/>
                <w:szCs w:val="16"/>
                <w:lang w:eastAsia="en-GB"/>
              </w:rPr>
              <w:t>Charlson</w:t>
            </w:r>
            <w:proofErr w:type="spellEnd"/>
            <w:r w:rsidRPr="00217043">
              <w:rPr>
                <w:rFonts w:eastAsiaTheme="minorEastAsia" w:cstheme="minorHAnsi"/>
                <w:b/>
                <w:color w:val="000000" w:themeColor="text1"/>
                <w:kern w:val="24"/>
                <w:sz w:val="16"/>
                <w:szCs w:val="16"/>
                <w:lang w:eastAsia="en-GB"/>
              </w:rPr>
              <w:t xml:space="preserve"> score</w:t>
            </w:r>
            <w:r>
              <w:rPr>
                <w:rFonts w:eastAsiaTheme="minorEastAsia" w:cstheme="minorHAnsi"/>
                <w:b/>
                <w:color w:val="000000" w:themeColor="text1"/>
                <w:kern w:val="24"/>
                <w:sz w:val="16"/>
                <w:szCs w:val="16"/>
                <w:lang w:eastAsia="en-GB"/>
              </w:rPr>
              <w:t xml:space="preserve"> </w:t>
            </w:r>
            <w:r w:rsidRPr="00D24AFA">
              <w:rPr>
                <w:rFonts w:eastAsiaTheme="minorEastAsia" w:cstheme="minorHAnsi"/>
                <w:b/>
                <w:color w:val="000000" w:themeColor="text1"/>
                <w:kern w:val="24"/>
                <w:sz w:val="16"/>
                <w:szCs w:val="16"/>
                <w:lang w:eastAsia="en-GB"/>
              </w:rPr>
              <w:t>*</w:t>
            </w:r>
            <w:r w:rsidRPr="00217043">
              <w:rPr>
                <w:rFonts w:eastAsiaTheme="minorEastAsia" w:cstheme="minorHAnsi"/>
                <w:b/>
                <w:color w:val="000000" w:themeColor="text1"/>
                <w:kern w:val="24"/>
                <w:sz w:val="16"/>
                <w:szCs w:val="16"/>
                <w:lang w:eastAsia="en-GB"/>
              </w:rPr>
              <w:t>, median [IQR]</w:t>
            </w:r>
            <w:r w:rsidRPr="00217043">
              <w:rPr>
                <w:rFonts w:eastAsiaTheme="minorEastAsia" w:cstheme="minorHAnsi"/>
                <w:b/>
                <w:color w:val="000000" w:themeColor="text1"/>
                <w:kern w:val="24"/>
                <w:position w:val="5"/>
                <w:sz w:val="16"/>
                <w:szCs w:val="16"/>
                <w:vertAlign w:val="superscript"/>
                <w:lang w:eastAsia="en-GB"/>
              </w:rPr>
              <w:t xml:space="preserve">  </w:t>
            </w:r>
          </w:p>
        </w:tc>
        <w:tc>
          <w:tcPr>
            <w:tcW w:w="2129"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8A79885" w14:textId="77777777" w:rsidR="00EA1B48" w:rsidRPr="0019794B" w:rsidRDefault="00EA1B48" w:rsidP="00EA1B48">
            <w:pPr>
              <w:pStyle w:val="NoSpacing"/>
              <w:spacing w:line="276" w:lineRule="auto"/>
              <w:ind w:right="-1"/>
              <w:jc w:val="center"/>
              <w:rPr>
                <w:rFonts w:ascii="Calibri" w:hAnsi="Calibri" w:cs="Calibri"/>
                <w:color w:val="000000"/>
                <w:sz w:val="16"/>
                <w:szCs w:val="16"/>
              </w:rPr>
            </w:pPr>
            <w:r w:rsidRPr="0019794B">
              <w:rPr>
                <w:rFonts w:ascii="Calibri" w:hAnsi="Calibri" w:cs="Calibri"/>
                <w:color w:val="000000"/>
                <w:sz w:val="16"/>
                <w:szCs w:val="16"/>
              </w:rPr>
              <w:t>0.00 [0.00, 2.00]</w:t>
            </w:r>
          </w:p>
        </w:tc>
        <w:tc>
          <w:tcPr>
            <w:tcW w:w="17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092F0DE" w14:textId="77777777" w:rsidR="00EA1B48" w:rsidRPr="0019794B" w:rsidRDefault="00EA1B48" w:rsidP="00EA1B48">
            <w:pPr>
              <w:pStyle w:val="NoSpacing"/>
              <w:spacing w:line="276" w:lineRule="auto"/>
              <w:ind w:right="-1"/>
              <w:jc w:val="center"/>
              <w:rPr>
                <w:rFonts w:ascii="Calibri" w:hAnsi="Calibri" w:cs="Calibri"/>
                <w:color w:val="000000"/>
                <w:sz w:val="16"/>
                <w:szCs w:val="16"/>
              </w:rPr>
            </w:pPr>
            <w:r w:rsidRPr="0019794B">
              <w:rPr>
                <w:rFonts w:ascii="Calibri" w:hAnsi="Calibri" w:cs="Calibri"/>
                <w:color w:val="000000"/>
                <w:sz w:val="16"/>
                <w:szCs w:val="16"/>
              </w:rPr>
              <w:t>2.00 [0.00, 3.00]</w:t>
            </w:r>
          </w:p>
        </w:tc>
        <w:tc>
          <w:tcPr>
            <w:tcW w:w="175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02F6A96" w14:textId="77777777" w:rsidR="00EA1B48" w:rsidRPr="0019794B" w:rsidRDefault="00EA1B48" w:rsidP="00EA1B48">
            <w:pPr>
              <w:pStyle w:val="NoSpacing"/>
              <w:spacing w:line="276" w:lineRule="auto"/>
              <w:ind w:right="-1"/>
              <w:jc w:val="center"/>
              <w:rPr>
                <w:rFonts w:ascii="Calibri" w:hAnsi="Calibri" w:cs="Calibri"/>
                <w:color w:val="000000"/>
                <w:sz w:val="16"/>
                <w:szCs w:val="16"/>
              </w:rPr>
            </w:pPr>
            <w:r w:rsidRPr="0019794B">
              <w:rPr>
                <w:rFonts w:ascii="Calibri" w:hAnsi="Calibri" w:cs="Calibri"/>
                <w:color w:val="000000"/>
                <w:sz w:val="16"/>
                <w:szCs w:val="16"/>
              </w:rPr>
              <w:t>2.00 [0.00, 3.00]</w:t>
            </w:r>
          </w:p>
        </w:tc>
        <w:tc>
          <w:tcPr>
            <w:tcW w:w="14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618D2BC" w14:textId="77777777" w:rsidR="00EA1B48" w:rsidRPr="0019794B" w:rsidRDefault="00EA1B48" w:rsidP="00EA1B48">
            <w:pPr>
              <w:pStyle w:val="NoSpacing"/>
              <w:spacing w:line="276" w:lineRule="auto"/>
              <w:ind w:right="-1"/>
              <w:jc w:val="center"/>
              <w:rPr>
                <w:rFonts w:ascii="Calibri" w:hAnsi="Calibri" w:cs="Calibri"/>
                <w:color w:val="000000"/>
                <w:sz w:val="16"/>
                <w:szCs w:val="16"/>
              </w:rPr>
            </w:pPr>
            <w:r w:rsidRPr="0019794B">
              <w:rPr>
                <w:rFonts w:ascii="Calibri" w:hAnsi="Calibri" w:cs="Calibri"/>
                <w:color w:val="000000"/>
                <w:sz w:val="16"/>
                <w:szCs w:val="16"/>
              </w:rPr>
              <w:t>2.00 [1.00, 3.00]</w:t>
            </w:r>
          </w:p>
        </w:tc>
        <w:tc>
          <w:tcPr>
            <w:tcW w:w="88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15952C2" w14:textId="77777777" w:rsidR="00EA1B48" w:rsidRPr="0019794B" w:rsidRDefault="00EA1B48" w:rsidP="00EA1B48">
            <w:pPr>
              <w:pStyle w:val="NoSpacing"/>
              <w:spacing w:line="276" w:lineRule="auto"/>
              <w:ind w:right="-1"/>
              <w:jc w:val="right"/>
              <w:rPr>
                <w:rFonts w:ascii="Calibri" w:hAnsi="Calibri" w:cs="Calibri"/>
                <w:color w:val="000000"/>
                <w:sz w:val="16"/>
                <w:szCs w:val="16"/>
              </w:rPr>
            </w:pPr>
            <w:r w:rsidRPr="0019794B">
              <w:rPr>
                <w:rFonts w:ascii="Calibri" w:hAnsi="Calibri" w:cs="Calibri"/>
                <w:color w:val="000000"/>
                <w:sz w:val="16"/>
                <w:szCs w:val="16"/>
              </w:rPr>
              <w:t>&lt;0.001</w:t>
            </w:r>
          </w:p>
        </w:tc>
      </w:tr>
      <w:tr w:rsidR="00EA1B48" w14:paraId="50B21D6F"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21DBC988"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Cardiovascular, n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07CF1B6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 (12.3)</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2F5A423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32 (19.6)</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34A9FF2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65 (25.1)</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78AD911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90 (32.1)</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35A33196"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14:paraId="79270460"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5C201246"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Respiratory insufficiency, n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5569F74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(5.3)</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5D40FFB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(5.5)</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219EF8E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18 (6.9)</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6ABFA58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 (8.2)</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553F5183"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0.584</w:t>
            </w:r>
          </w:p>
        </w:tc>
      </w:tr>
      <w:tr w:rsidR="00EA1B48" w14:paraId="4DB10810"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68DFC564"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Hypertension, n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6BA48A8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 (12.3)</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2263714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38 (23.3)</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5BFC892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78 (30.1)</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022776E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125 (44.6)</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3F08BFC0"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14:paraId="551CBBAC"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1B8F1A18"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Diabetes, n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5BE8BAB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18 (9.6)</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0A511BC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26 (16.0)</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64A3C52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53 (20.5)</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79CF993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74 (26.4)</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2C37008C"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14:paraId="3F43AAAA"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4A5893E5"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Malignancy, n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432E8CE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38 (20.3)</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6BE1975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51 (31.3)</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4878FC9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75 (29.0)</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647F080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76 (27.1)</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78646A01"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0.100</w:t>
            </w:r>
          </w:p>
        </w:tc>
      </w:tr>
      <w:tr w:rsidR="00EA1B48" w14:paraId="1DCD6A74" w14:textId="77777777" w:rsidTr="00EA1B48">
        <w:trPr>
          <w:trHeight w:val="166"/>
        </w:trPr>
        <w:tc>
          <w:tcPr>
            <w:tcW w:w="2296" w:type="dxa"/>
            <w:tcBorders>
              <w:top w:val="nil"/>
              <w:left w:val="nil"/>
              <w:bottom w:val="nil"/>
              <w:right w:val="nil"/>
            </w:tcBorders>
            <w:shd w:val="clear" w:color="auto" w:fill="auto"/>
            <w:tcMar>
              <w:top w:w="15" w:type="dxa"/>
              <w:left w:w="98" w:type="dxa"/>
              <w:bottom w:w="0" w:type="dxa"/>
              <w:right w:w="98" w:type="dxa"/>
            </w:tcMar>
            <w:vAlign w:val="bottom"/>
            <w:hideMark/>
          </w:tcPr>
          <w:p w14:paraId="21F710CE"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Renal disease, n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1E4C688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15 (8.0)</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7452FDF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28 (17.2)</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2EE7229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39 (15.1)</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7427A7F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44 (15.7)</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306495A3"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0.052</w:t>
            </w:r>
          </w:p>
        </w:tc>
      </w:tr>
      <w:tr w:rsidR="00EA1B48" w14:paraId="5C7C7D76" w14:textId="77777777" w:rsidTr="00EA1B48">
        <w:trPr>
          <w:trHeight w:val="166"/>
        </w:trPr>
        <w:tc>
          <w:tcPr>
            <w:tcW w:w="2296"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6C79AE9E"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Immunocompromised, n (%)</w:t>
            </w:r>
          </w:p>
        </w:tc>
        <w:tc>
          <w:tcPr>
            <w:tcW w:w="2129" w:type="dxa"/>
            <w:gridSpan w:val="2"/>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32CD25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64 (34.2)</w:t>
            </w:r>
          </w:p>
        </w:tc>
        <w:tc>
          <w:tcPr>
            <w:tcW w:w="1758"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398F3A7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54 (33.3)</w:t>
            </w:r>
          </w:p>
        </w:tc>
        <w:tc>
          <w:tcPr>
            <w:tcW w:w="175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46C1AFC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63 (24.3)</w:t>
            </w:r>
          </w:p>
        </w:tc>
        <w:tc>
          <w:tcPr>
            <w:tcW w:w="1441"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F8258D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45 (16.1)</w:t>
            </w:r>
          </w:p>
        </w:tc>
        <w:tc>
          <w:tcPr>
            <w:tcW w:w="889"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697E6C3"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rsidRPr="004C2310" w14:paraId="4BF793E5" w14:textId="77777777" w:rsidTr="00EA1B48">
        <w:trPr>
          <w:trHeight w:val="166"/>
        </w:trPr>
        <w:tc>
          <w:tcPr>
            <w:tcW w:w="2296" w:type="dxa"/>
            <w:tcBorders>
              <w:top w:val="single" w:sz="8" w:space="0" w:color="000000"/>
              <w:left w:val="nil"/>
              <w:bottom w:val="nil"/>
              <w:right w:val="nil"/>
            </w:tcBorders>
            <w:shd w:val="clear" w:color="auto" w:fill="auto"/>
            <w:tcMar>
              <w:top w:w="15" w:type="dxa"/>
              <w:left w:w="98" w:type="dxa"/>
              <w:bottom w:w="0" w:type="dxa"/>
              <w:right w:w="98" w:type="dxa"/>
            </w:tcMar>
            <w:vAlign w:val="bottom"/>
          </w:tcPr>
          <w:p w14:paraId="2EE601AB"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lang w:eastAsia="en-GB"/>
              </w:rPr>
              <w:t>Chronic medication, n (%)</w:t>
            </w:r>
          </w:p>
        </w:tc>
        <w:tc>
          <w:tcPr>
            <w:tcW w:w="2129"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tcPr>
          <w:p w14:paraId="48DAC2E1"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58"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0B730FB4"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54"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582E1753"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441"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7B41A80F"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889"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20D950A5" w14:textId="77777777" w:rsidR="00EA1B48" w:rsidRPr="004C2310" w:rsidRDefault="00EA1B48" w:rsidP="00EA1B48">
            <w:pPr>
              <w:pStyle w:val="NoSpacing"/>
              <w:spacing w:line="276" w:lineRule="auto"/>
              <w:ind w:right="-1"/>
              <w:jc w:val="right"/>
              <w:rPr>
                <w:rFonts w:ascii="Calibri" w:eastAsia="Times New Roman" w:hAnsi="Calibri" w:cs="Calibri"/>
                <w:color w:val="000000"/>
                <w:kern w:val="24"/>
                <w:sz w:val="16"/>
                <w:szCs w:val="16"/>
                <w:lang w:eastAsia="en-GB"/>
              </w:rPr>
            </w:pPr>
          </w:p>
        </w:tc>
      </w:tr>
      <w:tr w:rsidR="00EA1B48" w14:paraId="4A70F87C" w14:textId="77777777" w:rsidTr="00EA1B48">
        <w:trPr>
          <w:trHeight w:val="166"/>
        </w:trPr>
        <w:tc>
          <w:tcPr>
            <w:tcW w:w="2296" w:type="dxa"/>
            <w:tcBorders>
              <w:top w:val="single" w:sz="8" w:space="0" w:color="000000"/>
              <w:left w:val="nil"/>
              <w:bottom w:val="nil"/>
              <w:right w:val="nil"/>
            </w:tcBorders>
            <w:shd w:val="clear" w:color="auto" w:fill="auto"/>
            <w:tcMar>
              <w:top w:w="15" w:type="dxa"/>
              <w:left w:w="98" w:type="dxa"/>
              <w:bottom w:w="0" w:type="dxa"/>
              <w:right w:w="98" w:type="dxa"/>
            </w:tcMar>
            <w:vAlign w:val="bottom"/>
            <w:hideMark/>
          </w:tcPr>
          <w:p w14:paraId="73F19CBE"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Anticoagulants</w:t>
            </w:r>
          </w:p>
        </w:tc>
        <w:tc>
          <w:tcPr>
            <w:tcW w:w="2129"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7171C1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 (8.6)</w:t>
            </w:r>
          </w:p>
        </w:tc>
        <w:tc>
          <w:tcPr>
            <w:tcW w:w="17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C9D439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20 (12.3)</w:t>
            </w:r>
          </w:p>
        </w:tc>
        <w:tc>
          <w:tcPr>
            <w:tcW w:w="175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837029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43 (16.6)</w:t>
            </w:r>
          </w:p>
        </w:tc>
        <w:tc>
          <w:tcPr>
            <w:tcW w:w="14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216C76E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56 (20.1)</w:t>
            </w:r>
          </w:p>
        </w:tc>
        <w:tc>
          <w:tcPr>
            <w:tcW w:w="88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919B63C"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0.005</w:t>
            </w:r>
          </w:p>
        </w:tc>
      </w:tr>
      <w:tr w:rsidR="00EA1B48" w14:paraId="6BC2736D" w14:textId="77777777" w:rsidTr="00EA1B48">
        <w:trPr>
          <w:trHeight w:val="166"/>
        </w:trPr>
        <w:tc>
          <w:tcPr>
            <w:tcW w:w="2296"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6AF97AF8"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Antiplatelet drugs</w:t>
            </w:r>
          </w:p>
        </w:tc>
        <w:tc>
          <w:tcPr>
            <w:tcW w:w="2129" w:type="dxa"/>
            <w:gridSpan w:val="2"/>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7FEF78B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13 (7.6)</w:t>
            </w:r>
          </w:p>
        </w:tc>
        <w:tc>
          <w:tcPr>
            <w:tcW w:w="1758"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0F6479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24 (15.4)</w:t>
            </w:r>
          </w:p>
        </w:tc>
        <w:tc>
          <w:tcPr>
            <w:tcW w:w="175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32445B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 (28.9)</w:t>
            </w:r>
          </w:p>
        </w:tc>
        <w:tc>
          <w:tcPr>
            <w:tcW w:w="1441"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4194491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107 (39.5)</w:t>
            </w:r>
          </w:p>
        </w:tc>
        <w:tc>
          <w:tcPr>
            <w:tcW w:w="889"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70C5B520"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rsidRPr="004C2310" w14:paraId="7AFF6CC5" w14:textId="77777777" w:rsidTr="00EA1B48">
        <w:trPr>
          <w:trHeight w:val="166"/>
        </w:trPr>
        <w:tc>
          <w:tcPr>
            <w:tcW w:w="2296" w:type="dxa"/>
            <w:tcBorders>
              <w:top w:val="single" w:sz="8" w:space="0" w:color="000000"/>
              <w:left w:val="nil"/>
              <w:bottom w:val="single" w:sz="4" w:space="0" w:color="auto"/>
              <w:right w:val="nil"/>
            </w:tcBorders>
            <w:shd w:val="clear" w:color="auto" w:fill="auto"/>
            <w:tcMar>
              <w:top w:w="15" w:type="dxa"/>
              <w:left w:w="108" w:type="dxa"/>
              <w:bottom w:w="0" w:type="dxa"/>
              <w:right w:w="108" w:type="dxa"/>
            </w:tcMar>
            <w:vAlign w:val="bottom"/>
          </w:tcPr>
          <w:p w14:paraId="1DD2FE88"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Site of infection, n (%)</w:t>
            </w:r>
          </w:p>
        </w:tc>
        <w:tc>
          <w:tcPr>
            <w:tcW w:w="2129" w:type="dxa"/>
            <w:gridSpan w:val="2"/>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427B6A78"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58"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13B046E0"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54"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6C9BCB93"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441"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2FDDBC31"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889"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68896BF4" w14:textId="77777777" w:rsidR="00EA1B48" w:rsidRPr="004C2310" w:rsidRDefault="00EA1B48" w:rsidP="00EA1B48">
            <w:pPr>
              <w:pStyle w:val="NoSpacing"/>
              <w:spacing w:line="276" w:lineRule="auto"/>
              <w:ind w:right="-1"/>
              <w:jc w:val="right"/>
              <w:rPr>
                <w:rFonts w:ascii="Calibri" w:eastAsia="Times New Roman" w:hAnsi="Calibri" w:cs="Calibri"/>
                <w:color w:val="000000"/>
                <w:kern w:val="24"/>
                <w:sz w:val="16"/>
                <w:szCs w:val="16"/>
                <w:lang w:eastAsia="en-GB"/>
              </w:rPr>
            </w:pPr>
          </w:p>
        </w:tc>
      </w:tr>
      <w:tr w:rsidR="00EA1B48" w14:paraId="0B4B9330" w14:textId="77777777" w:rsidTr="00EA1B48">
        <w:trPr>
          <w:trHeight w:val="166"/>
        </w:trPr>
        <w:tc>
          <w:tcPr>
            <w:tcW w:w="2296" w:type="dxa"/>
            <w:tcBorders>
              <w:top w:val="single" w:sz="4" w:space="0" w:color="auto"/>
              <w:left w:val="nil"/>
              <w:right w:val="nil"/>
            </w:tcBorders>
            <w:shd w:val="clear" w:color="auto" w:fill="auto"/>
            <w:tcMar>
              <w:top w:w="15" w:type="dxa"/>
              <w:left w:w="108" w:type="dxa"/>
              <w:bottom w:w="0" w:type="dxa"/>
              <w:right w:w="108" w:type="dxa"/>
            </w:tcMar>
            <w:vAlign w:val="bottom"/>
          </w:tcPr>
          <w:p w14:paraId="33FCA872"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Cardiovascular</w:t>
            </w:r>
          </w:p>
        </w:tc>
        <w:tc>
          <w:tcPr>
            <w:tcW w:w="2129" w:type="dxa"/>
            <w:gridSpan w:val="2"/>
            <w:tcBorders>
              <w:top w:val="single" w:sz="4" w:space="0" w:color="auto"/>
              <w:left w:val="nil"/>
              <w:right w:val="nil"/>
            </w:tcBorders>
            <w:shd w:val="clear" w:color="auto" w:fill="auto"/>
            <w:tcMar>
              <w:top w:w="15" w:type="dxa"/>
              <w:left w:w="15" w:type="dxa"/>
              <w:bottom w:w="0" w:type="dxa"/>
              <w:right w:w="15" w:type="dxa"/>
            </w:tcMar>
            <w:vAlign w:val="bottom"/>
          </w:tcPr>
          <w:p w14:paraId="7ED6E00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(5.9)</w:t>
            </w:r>
          </w:p>
        </w:tc>
        <w:tc>
          <w:tcPr>
            <w:tcW w:w="1758" w:type="dxa"/>
            <w:tcBorders>
              <w:top w:val="single" w:sz="4" w:space="0" w:color="auto"/>
              <w:left w:val="nil"/>
              <w:right w:val="nil"/>
            </w:tcBorders>
            <w:shd w:val="clear" w:color="auto" w:fill="auto"/>
            <w:tcMar>
              <w:top w:w="15" w:type="dxa"/>
              <w:left w:w="15" w:type="dxa"/>
              <w:bottom w:w="0" w:type="dxa"/>
              <w:right w:w="15" w:type="dxa"/>
            </w:tcMar>
            <w:vAlign w:val="bottom"/>
          </w:tcPr>
          <w:p w14:paraId="145D326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(2.5)</w:t>
            </w:r>
          </w:p>
        </w:tc>
        <w:tc>
          <w:tcPr>
            <w:tcW w:w="1754" w:type="dxa"/>
            <w:tcBorders>
              <w:top w:val="single" w:sz="4" w:space="0" w:color="auto"/>
              <w:left w:val="nil"/>
              <w:right w:val="nil"/>
            </w:tcBorders>
            <w:shd w:val="clear" w:color="auto" w:fill="auto"/>
            <w:tcMar>
              <w:top w:w="15" w:type="dxa"/>
              <w:left w:w="15" w:type="dxa"/>
              <w:bottom w:w="0" w:type="dxa"/>
              <w:right w:w="15" w:type="dxa"/>
            </w:tcMar>
            <w:vAlign w:val="bottom"/>
          </w:tcPr>
          <w:p w14:paraId="566271C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(4.2)</w:t>
            </w:r>
          </w:p>
        </w:tc>
        <w:tc>
          <w:tcPr>
            <w:tcW w:w="1441" w:type="dxa"/>
            <w:tcBorders>
              <w:top w:val="single" w:sz="4" w:space="0" w:color="auto"/>
              <w:left w:val="nil"/>
              <w:right w:val="nil"/>
            </w:tcBorders>
            <w:shd w:val="clear" w:color="auto" w:fill="auto"/>
            <w:tcMar>
              <w:top w:w="15" w:type="dxa"/>
              <w:left w:w="15" w:type="dxa"/>
              <w:bottom w:w="0" w:type="dxa"/>
              <w:right w:w="15" w:type="dxa"/>
            </w:tcMar>
            <w:vAlign w:val="bottom"/>
          </w:tcPr>
          <w:p w14:paraId="19B4B90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13 (4.6)</w:t>
            </w:r>
          </w:p>
        </w:tc>
        <w:tc>
          <w:tcPr>
            <w:tcW w:w="889" w:type="dxa"/>
            <w:tcBorders>
              <w:top w:val="single" w:sz="4" w:space="0" w:color="auto"/>
              <w:left w:val="nil"/>
              <w:right w:val="nil"/>
            </w:tcBorders>
            <w:shd w:val="clear" w:color="auto" w:fill="auto"/>
            <w:tcMar>
              <w:top w:w="15" w:type="dxa"/>
              <w:left w:w="15" w:type="dxa"/>
              <w:bottom w:w="0" w:type="dxa"/>
              <w:right w:w="15" w:type="dxa"/>
            </w:tcMar>
            <w:vAlign w:val="bottom"/>
          </w:tcPr>
          <w:p w14:paraId="452A8560"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0.474</w:t>
            </w:r>
          </w:p>
        </w:tc>
      </w:tr>
      <w:tr w:rsidR="00EA1B48" w14:paraId="3718448B" w14:textId="77777777" w:rsidTr="00EA1B48">
        <w:trPr>
          <w:trHeight w:val="166"/>
        </w:trPr>
        <w:tc>
          <w:tcPr>
            <w:tcW w:w="2296" w:type="dxa"/>
            <w:tcBorders>
              <w:left w:val="nil"/>
              <w:right w:val="nil"/>
            </w:tcBorders>
            <w:shd w:val="clear" w:color="auto" w:fill="auto"/>
            <w:tcMar>
              <w:top w:w="15" w:type="dxa"/>
              <w:left w:w="108" w:type="dxa"/>
              <w:bottom w:w="0" w:type="dxa"/>
              <w:right w:w="108" w:type="dxa"/>
            </w:tcMar>
            <w:vAlign w:val="bottom"/>
          </w:tcPr>
          <w:p w14:paraId="6D5A4DB6"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Pulmonary</w:t>
            </w:r>
          </w:p>
        </w:tc>
        <w:tc>
          <w:tcPr>
            <w:tcW w:w="2129" w:type="dxa"/>
            <w:gridSpan w:val="2"/>
            <w:tcBorders>
              <w:left w:val="nil"/>
              <w:right w:val="nil"/>
            </w:tcBorders>
            <w:shd w:val="clear" w:color="auto" w:fill="auto"/>
            <w:tcMar>
              <w:top w:w="15" w:type="dxa"/>
              <w:left w:w="15" w:type="dxa"/>
              <w:bottom w:w="0" w:type="dxa"/>
              <w:right w:w="15" w:type="dxa"/>
            </w:tcMar>
            <w:vAlign w:val="bottom"/>
          </w:tcPr>
          <w:p w14:paraId="3C641E9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75 (40.1)</w:t>
            </w:r>
          </w:p>
        </w:tc>
        <w:tc>
          <w:tcPr>
            <w:tcW w:w="1758" w:type="dxa"/>
            <w:tcBorders>
              <w:left w:val="nil"/>
              <w:right w:val="nil"/>
            </w:tcBorders>
            <w:shd w:val="clear" w:color="auto" w:fill="auto"/>
            <w:tcMar>
              <w:top w:w="15" w:type="dxa"/>
              <w:left w:w="15" w:type="dxa"/>
              <w:bottom w:w="0" w:type="dxa"/>
              <w:right w:w="15" w:type="dxa"/>
            </w:tcMar>
            <w:vAlign w:val="bottom"/>
          </w:tcPr>
          <w:p w14:paraId="67F5D72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55 (33.7)</w:t>
            </w:r>
          </w:p>
        </w:tc>
        <w:tc>
          <w:tcPr>
            <w:tcW w:w="1754" w:type="dxa"/>
            <w:tcBorders>
              <w:left w:val="nil"/>
              <w:right w:val="nil"/>
            </w:tcBorders>
            <w:shd w:val="clear" w:color="auto" w:fill="auto"/>
            <w:tcMar>
              <w:top w:w="15" w:type="dxa"/>
              <w:left w:w="15" w:type="dxa"/>
              <w:bottom w:w="0" w:type="dxa"/>
              <w:right w:w="15" w:type="dxa"/>
            </w:tcMar>
            <w:vAlign w:val="bottom"/>
          </w:tcPr>
          <w:p w14:paraId="5D4ACBC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98 (37.8)</w:t>
            </w:r>
          </w:p>
        </w:tc>
        <w:tc>
          <w:tcPr>
            <w:tcW w:w="1441" w:type="dxa"/>
            <w:tcBorders>
              <w:left w:val="nil"/>
              <w:right w:val="nil"/>
            </w:tcBorders>
            <w:shd w:val="clear" w:color="auto" w:fill="auto"/>
            <w:tcMar>
              <w:top w:w="15" w:type="dxa"/>
              <w:left w:w="15" w:type="dxa"/>
              <w:bottom w:w="0" w:type="dxa"/>
              <w:right w:w="15" w:type="dxa"/>
            </w:tcMar>
            <w:vAlign w:val="bottom"/>
          </w:tcPr>
          <w:p w14:paraId="1978736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110 (39.3)</w:t>
            </w:r>
          </w:p>
        </w:tc>
        <w:tc>
          <w:tcPr>
            <w:tcW w:w="889" w:type="dxa"/>
            <w:tcBorders>
              <w:left w:val="nil"/>
              <w:right w:val="nil"/>
            </w:tcBorders>
            <w:shd w:val="clear" w:color="auto" w:fill="auto"/>
            <w:tcMar>
              <w:top w:w="15" w:type="dxa"/>
              <w:left w:w="15" w:type="dxa"/>
              <w:bottom w:w="0" w:type="dxa"/>
              <w:right w:w="15" w:type="dxa"/>
            </w:tcMar>
            <w:vAlign w:val="bottom"/>
          </w:tcPr>
          <w:p w14:paraId="3CEEFACC"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0.614</w:t>
            </w:r>
          </w:p>
        </w:tc>
      </w:tr>
      <w:tr w:rsidR="00EA1B48" w14:paraId="7A351A76" w14:textId="77777777" w:rsidTr="00EA1B48">
        <w:trPr>
          <w:trHeight w:val="166"/>
        </w:trPr>
        <w:tc>
          <w:tcPr>
            <w:tcW w:w="2296" w:type="dxa"/>
            <w:tcBorders>
              <w:left w:val="nil"/>
              <w:right w:val="nil"/>
            </w:tcBorders>
            <w:shd w:val="clear" w:color="auto" w:fill="auto"/>
            <w:tcMar>
              <w:top w:w="15" w:type="dxa"/>
              <w:left w:w="108" w:type="dxa"/>
              <w:bottom w:w="0" w:type="dxa"/>
              <w:right w:w="108" w:type="dxa"/>
            </w:tcMar>
            <w:vAlign w:val="bottom"/>
          </w:tcPr>
          <w:p w14:paraId="390A5992"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Urinary</w:t>
            </w:r>
          </w:p>
        </w:tc>
        <w:tc>
          <w:tcPr>
            <w:tcW w:w="2129" w:type="dxa"/>
            <w:gridSpan w:val="2"/>
            <w:tcBorders>
              <w:left w:val="nil"/>
              <w:right w:val="nil"/>
            </w:tcBorders>
            <w:shd w:val="clear" w:color="auto" w:fill="auto"/>
            <w:tcMar>
              <w:top w:w="15" w:type="dxa"/>
              <w:left w:w="15" w:type="dxa"/>
              <w:bottom w:w="0" w:type="dxa"/>
              <w:right w:w="15" w:type="dxa"/>
            </w:tcMar>
            <w:vAlign w:val="bottom"/>
          </w:tcPr>
          <w:p w14:paraId="5D1AFE0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(5.9)</w:t>
            </w:r>
          </w:p>
        </w:tc>
        <w:tc>
          <w:tcPr>
            <w:tcW w:w="1758" w:type="dxa"/>
            <w:tcBorders>
              <w:left w:val="nil"/>
              <w:right w:val="nil"/>
            </w:tcBorders>
            <w:shd w:val="clear" w:color="auto" w:fill="auto"/>
            <w:tcMar>
              <w:top w:w="15" w:type="dxa"/>
              <w:left w:w="15" w:type="dxa"/>
              <w:bottom w:w="0" w:type="dxa"/>
              <w:right w:w="15" w:type="dxa"/>
            </w:tcMar>
            <w:vAlign w:val="bottom"/>
          </w:tcPr>
          <w:p w14:paraId="6F90DB3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 (3.1)</w:t>
            </w:r>
          </w:p>
        </w:tc>
        <w:tc>
          <w:tcPr>
            <w:tcW w:w="1754" w:type="dxa"/>
            <w:tcBorders>
              <w:left w:val="nil"/>
              <w:right w:val="nil"/>
            </w:tcBorders>
            <w:shd w:val="clear" w:color="auto" w:fill="auto"/>
            <w:tcMar>
              <w:top w:w="15" w:type="dxa"/>
              <w:left w:w="15" w:type="dxa"/>
              <w:bottom w:w="0" w:type="dxa"/>
              <w:right w:w="15" w:type="dxa"/>
            </w:tcMar>
            <w:vAlign w:val="bottom"/>
          </w:tcPr>
          <w:p w14:paraId="2335AF8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19 (7.3)</w:t>
            </w:r>
          </w:p>
        </w:tc>
        <w:tc>
          <w:tcPr>
            <w:tcW w:w="1441" w:type="dxa"/>
            <w:tcBorders>
              <w:left w:val="nil"/>
              <w:right w:val="nil"/>
            </w:tcBorders>
            <w:shd w:val="clear" w:color="auto" w:fill="auto"/>
            <w:tcMar>
              <w:top w:w="15" w:type="dxa"/>
              <w:left w:w="15" w:type="dxa"/>
              <w:bottom w:w="0" w:type="dxa"/>
              <w:right w:w="15" w:type="dxa"/>
            </w:tcMar>
            <w:vAlign w:val="bottom"/>
          </w:tcPr>
          <w:p w14:paraId="5D9CC2C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 (5.7)</w:t>
            </w:r>
          </w:p>
        </w:tc>
        <w:tc>
          <w:tcPr>
            <w:tcW w:w="889" w:type="dxa"/>
            <w:tcBorders>
              <w:left w:val="nil"/>
              <w:right w:val="nil"/>
            </w:tcBorders>
            <w:shd w:val="clear" w:color="auto" w:fill="auto"/>
            <w:tcMar>
              <w:top w:w="15" w:type="dxa"/>
              <w:left w:w="15" w:type="dxa"/>
              <w:bottom w:w="0" w:type="dxa"/>
              <w:right w:w="15" w:type="dxa"/>
            </w:tcMar>
            <w:vAlign w:val="bottom"/>
          </w:tcPr>
          <w:p w14:paraId="61EA7270"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0.337</w:t>
            </w:r>
          </w:p>
        </w:tc>
      </w:tr>
      <w:tr w:rsidR="00EA1B48" w14:paraId="2B0B812E" w14:textId="77777777" w:rsidTr="00EA1B48">
        <w:trPr>
          <w:trHeight w:val="166"/>
        </w:trPr>
        <w:tc>
          <w:tcPr>
            <w:tcW w:w="2296" w:type="dxa"/>
            <w:tcBorders>
              <w:left w:val="nil"/>
              <w:right w:val="nil"/>
            </w:tcBorders>
            <w:shd w:val="clear" w:color="auto" w:fill="auto"/>
            <w:tcMar>
              <w:top w:w="15" w:type="dxa"/>
              <w:left w:w="108" w:type="dxa"/>
              <w:bottom w:w="0" w:type="dxa"/>
              <w:right w:w="108" w:type="dxa"/>
            </w:tcMar>
            <w:vAlign w:val="bottom"/>
          </w:tcPr>
          <w:p w14:paraId="624510A9"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Skin</w:t>
            </w:r>
          </w:p>
        </w:tc>
        <w:tc>
          <w:tcPr>
            <w:tcW w:w="2129" w:type="dxa"/>
            <w:gridSpan w:val="2"/>
            <w:tcBorders>
              <w:left w:val="nil"/>
              <w:right w:val="nil"/>
            </w:tcBorders>
            <w:shd w:val="clear" w:color="auto" w:fill="auto"/>
            <w:tcMar>
              <w:top w:w="15" w:type="dxa"/>
              <w:left w:w="15" w:type="dxa"/>
              <w:bottom w:w="0" w:type="dxa"/>
              <w:right w:w="15" w:type="dxa"/>
            </w:tcMar>
            <w:vAlign w:val="bottom"/>
          </w:tcPr>
          <w:p w14:paraId="0E9CFD8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(5.9)</w:t>
            </w:r>
          </w:p>
        </w:tc>
        <w:tc>
          <w:tcPr>
            <w:tcW w:w="1758" w:type="dxa"/>
            <w:tcBorders>
              <w:left w:val="nil"/>
              <w:right w:val="nil"/>
            </w:tcBorders>
            <w:shd w:val="clear" w:color="auto" w:fill="auto"/>
            <w:tcMar>
              <w:top w:w="15" w:type="dxa"/>
              <w:left w:w="15" w:type="dxa"/>
              <w:bottom w:w="0" w:type="dxa"/>
              <w:right w:w="15" w:type="dxa"/>
            </w:tcMar>
            <w:vAlign w:val="bottom"/>
          </w:tcPr>
          <w:p w14:paraId="37B737F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12 (7.4)</w:t>
            </w:r>
          </w:p>
        </w:tc>
        <w:tc>
          <w:tcPr>
            <w:tcW w:w="1754" w:type="dxa"/>
            <w:tcBorders>
              <w:left w:val="nil"/>
              <w:right w:val="nil"/>
            </w:tcBorders>
            <w:shd w:val="clear" w:color="auto" w:fill="auto"/>
            <w:tcMar>
              <w:top w:w="15" w:type="dxa"/>
              <w:left w:w="15" w:type="dxa"/>
              <w:bottom w:w="0" w:type="dxa"/>
              <w:right w:w="15" w:type="dxa"/>
            </w:tcMar>
            <w:vAlign w:val="bottom"/>
          </w:tcPr>
          <w:p w14:paraId="0AEA548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 (2.3)</w:t>
            </w:r>
          </w:p>
        </w:tc>
        <w:tc>
          <w:tcPr>
            <w:tcW w:w="1441" w:type="dxa"/>
            <w:tcBorders>
              <w:left w:val="nil"/>
              <w:right w:val="nil"/>
            </w:tcBorders>
            <w:shd w:val="clear" w:color="auto" w:fill="auto"/>
            <w:tcMar>
              <w:top w:w="15" w:type="dxa"/>
              <w:left w:w="15" w:type="dxa"/>
              <w:bottom w:w="0" w:type="dxa"/>
              <w:right w:w="15" w:type="dxa"/>
            </w:tcMar>
            <w:vAlign w:val="bottom"/>
          </w:tcPr>
          <w:p w14:paraId="5ABA4E9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(3.2)</w:t>
            </w:r>
          </w:p>
        </w:tc>
        <w:tc>
          <w:tcPr>
            <w:tcW w:w="889" w:type="dxa"/>
            <w:tcBorders>
              <w:left w:val="nil"/>
              <w:right w:val="nil"/>
            </w:tcBorders>
            <w:shd w:val="clear" w:color="auto" w:fill="auto"/>
            <w:tcMar>
              <w:top w:w="15" w:type="dxa"/>
              <w:left w:w="15" w:type="dxa"/>
              <w:bottom w:w="0" w:type="dxa"/>
              <w:right w:w="15" w:type="dxa"/>
            </w:tcMar>
            <w:vAlign w:val="bottom"/>
          </w:tcPr>
          <w:p w14:paraId="38658E29"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0.043</w:t>
            </w:r>
          </w:p>
        </w:tc>
      </w:tr>
      <w:tr w:rsidR="00EA1B48" w14:paraId="67CE17E5" w14:textId="77777777" w:rsidTr="00EA1B48">
        <w:trPr>
          <w:trHeight w:val="166"/>
        </w:trPr>
        <w:tc>
          <w:tcPr>
            <w:tcW w:w="2296" w:type="dxa"/>
            <w:tcBorders>
              <w:left w:val="nil"/>
              <w:right w:val="nil"/>
            </w:tcBorders>
            <w:shd w:val="clear" w:color="auto" w:fill="auto"/>
            <w:tcMar>
              <w:top w:w="15" w:type="dxa"/>
              <w:left w:w="108" w:type="dxa"/>
              <w:bottom w:w="0" w:type="dxa"/>
              <w:right w:w="108" w:type="dxa"/>
            </w:tcMar>
            <w:vAlign w:val="bottom"/>
          </w:tcPr>
          <w:p w14:paraId="736783B8"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Abdominal</w:t>
            </w:r>
          </w:p>
        </w:tc>
        <w:tc>
          <w:tcPr>
            <w:tcW w:w="2129" w:type="dxa"/>
            <w:gridSpan w:val="2"/>
            <w:tcBorders>
              <w:left w:val="nil"/>
              <w:right w:val="nil"/>
            </w:tcBorders>
            <w:shd w:val="clear" w:color="auto" w:fill="auto"/>
            <w:tcMar>
              <w:top w:w="15" w:type="dxa"/>
              <w:left w:w="15" w:type="dxa"/>
              <w:bottom w:w="0" w:type="dxa"/>
              <w:right w:w="15" w:type="dxa"/>
            </w:tcMar>
            <w:vAlign w:val="bottom"/>
          </w:tcPr>
          <w:p w14:paraId="65352B0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 (13.4)</w:t>
            </w:r>
          </w:p>
        </w:tc>
        <w:tc>
          <w:tcPr>
            <w:tcW w:w="1758" w:type="dxa"/>
            <w:tcBorders>
              <w:left w:val="nil"/>
              <w:right w:val="nil"/>
            </w:tcBorders>
            <w:shd w:val="clear" w:color="auto" w:fill="auto"/>
            <w:tcMar>
              <w:top w:w="15" w:type="dxa"/>
              <w:left w:w="15" w:type="dxa"/>
              <w:bottom w:w="0" w:type="dxa"/>
              <w:right w:w="15" w:type="dxa"/>
            </w:tcMar>
            <w:vAlign w:val="bottom"/>
          </w:tcPr>
          <w:p w14:paraId="43C03E5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30 (18.4)</w:t>
            </w:r>
          </w:p>
        </w:tc>
        <w:tc>
          <w:tcPr>
            <w:tcW w:w="1754" w:type="dxa"/>
            <w:tcBorders>
              <w:left w:val="nil"/>
              <w:right w:val="nil"/>
            </w:tcBorders>
            <w:shd w:val="clear" w:color="auto" w:fill="auto"/>
            <w:tcMar>
              <w:top w:w="15" w:type="dxa"/>
              <w:left w:w="15" w:type="dxa"/>
              <w:bottom w:w="0" w:type="dxa"/>
              <w:right w:w="15" w:type="dxa"/>
            </w:tcMar>
            <w:vAlign w:val="bottom"/>
          </w:tcPr>
          <w:p w14:paraId="4124CCE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44 (17.0)</w:t>
            </w:r>
          </w:p>
        </w:tc>
        <w:tc>
          <w:tcPr>
            <w:tcW w:w="1441" w:type="dxa"/>
            <w:tcBorders>
              <w:left w:val="nil"/>
              <w:right w:val="nil"/>
            </w:tcBorders>
            <w:shd w:val="clear" w:color="auto" w:fill="auto"/>
            <w:tcMar>
              <w:top w:w="15" w:type="dxa"/>
              <w:left w:w="15" w:type="dxa"/>
              <w:bottom w:w="0" w:type="dxa"/>
              <w:right w:w="15" w:type="dxa"/>
            </w:tcMar>
            <w:vAlign w:val="bottom"/>
          </w:tcPr>
          <w:p w14:paraId="3BD4807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51 (18.2)</w:t>
            </w:r>
          </w:p>
        </w:tc>
        <w:tc>
          <w:tcPr>
            <w:tcW w:w="889" w:type="dxa"/>
            <w:tcBorders>
              <w:left w:val="nil"/>
              <w:right w:val="nil"/>
            </w:tcBorders>
            <w:shd w:val="clear" w:color="auto" w:fill="auto"/>
            <w:tcMar>
              <w:top w:w="15" w:type="dxa"/>
              <w:left w:w="15" w:type="dxa"/>
              <w:bottom w:w="0" w:type="dxa"/>
              <w:right w:w="15" w:type="dxa"/>
            </w:tcMar>
            <w:vAlign w:val="bottom"/>
          </w:tcPr>
          <w:p w14:paraId="6251664A"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0.518</w:t>
            </w:r>
          </w:p>
        </w:tc>
      </w:tr>
      <w:tr w:rsidR="00EA1B48" w14:paraId="7189DF7C" w14:textId="77777777" w:rsidTr="00EA1B48">
        <w:trPr>
          <w:trHeight w:val="166"/>
        </w:trPr>
        <w:tc>
          <w:tcPr>
            <w:tcW w:w="2296" w:type="dxa"/>
            <w:tcBorders>
              <w:left w:val="nil"/>
              <w:right w:val="nil"/>
            </w:tcBorders>
            <w:shd w:val="clear" w:color="auto" w:fill="auto"/>
            <w:tcMar>
              <w:top w:w="15" w:type="dxa"/>
              <w:left w:w="108" w:type="dxa"/>
              <w:bottom w:w="0" w:type="dxa"/>
              <w:right w:w="108" w:type="dxa"/>
            </w:tcMar>
            <w:vAlign w:val="bottom"/>
          </w:tcPr>
          <w:p w14:paraId="6877A56C"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Central nervous system</w:t>
            </w:r>
          </w:p>
        </w:tc>
        <w:tc>
          <w:tcPr>
            <w:tcW w:w="2129" w:type="dxa"/>
            <w:gridSpan w:val="2"/>
            <w:tcBorders>
              <w:left w:val="nil"/>
              <w:right w:val="nil"/>
            </w:tcBorders>
            <w:shd w:val="clear" w:color="auto" w:fill="auto"/>
            <w:tcMar>
              <w:top w:w="15" w:type="dxa"/>
              <w:left w:w="15" w:type="dxa"/>
              <w:bottom w:w="0" w:type="dxa"/>
              <w:right w:w="15" w:type="dxa"/>
            </w:tcMar>
            <w:vAlign w:val="bottom"/>
          </w:tcPr>
          <w:p w14:paraId="51121C6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 (2.7)</w:t>
            </w:r>
          </w:p>
        </w:tc>
        <w:tc>
          <w:tcPr>
            <w:tcW w:w="1758" w:type="dxa"/>
            <w:tcBorders>
              <w:left w:val="nil"/>
              <w:right w:val="nil"/>
            </w:tcBorders>
            <w:shd w:val="clear" w:color="auto" w:fill="auto"/>
            <w:tcMar>
              <w:top w:w="15" w:type="dxa"/>
              <w:left w:w="15" w:type="dxa"/>
              <w:bottom w:w="0" w:type="dxa"/>
              <w:right w:w="15" w:type="dxa"/>
            </w:tcMar>
            <w:vAlign w:val="bottom"/>
          </w:tcPr>
          <w:p w14:paraId="3ED8015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 (1.2)</w:t>
            </w:r>
          </w:p>
        </w:tc>
        <w:tc>
          <w:tcPr>
            <w:tcW w:w="1754" w:type="dxa"/>
            <w:tcBorders>
              <w:left w:val="nil"/>
              <w:right w:val="nil"/>
            </w:tcBorders>
            <w:shd w:val="clear" w:color="auto" w:fill="auto"/>
            <w:tcMar>
              <w:top w:w="15" w:type="dxa"/>
              <w:left w:w="15" w:type="dxa"/>
              <w:bottom w:w="0" w:type="dxa"/>
              <w:right w:w="15" w:type="dxa"/>
            </w:tcMar>
            <w:vAlign w:val="bottom"/>
          </w:tcPr>
          <w:p w14:paraId="7FB85EB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(3.5)</w:t>
            </w:r>
          </w:p>
        </w:tc>
        <w:tc>
          <w:tcPr>
            <w:tcW w:w="1441" w:type="dxa"/>
            <w:tcBorders>
              <w:left w:val="nil"/>
              <w:right w:val="nil"/>
            </w:tcBorders>
            <w:shd w:val="clear" w:color="auto" w:fill="auto"/>
            <w:tcMar>
              <w:top w:w="15" w:type="dxa"/>
              <w:left w:w="15" w:type="dxa"/>
              <w:bottom w:w="0" w:type="dxa"/>
              <w:right w:w="15" w:type="dxa"/>
            </w:tcMar>
            <w:vAlign w:val="bottom"/>
          </w:tcPr>
          <w:p w14:paraId="5F1672D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 (0.7)</w:t>
            </w:r>
          </w:p>
        </w:tc>
        <w:tc>
          <w:tcPr>
            <w:tcW w:w="889" w:type="dxa"/>
            <w:tcBorders>
              <w:left w:val="nil"/>
              <w:right w:val="nil"/>
            </w:tcBorders>
            <w:shd w:val="clear" w:color="auto" w:fill="auto"/>
            <w:tcMar>
              <w:top w:w="15" w:type="dxa"/>
              <w:left w:w="15" w:type="dxa"/>
              <w:bottom w:w="0" w:type="dxa"/>
              <w:right w:w="15" w:type="dxa"/>
            </w:tcMar>
            <w:vAlign w:val="bottom"/>
          </w:tcPr>
          <w:p w14:paraId="7B406C5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0.107</w:t>
            </w:r>
          </w:p>
        </w:tc>
      </w:tr>
      <w:tr w:rsidR="00EA1B48" w14:paraId="38FC954B" w14:textId="77777777" w:rsidTr="00EA1B48">
        <w:trPr>
          <w:trHeight w:val="166"/>
        </w:trPr>
        <w:tc>
          <w:tcPr>
            <w:tcW w:w="2296" w:type="dxa"/>
            <w:tcBorders>
              <w:left w:val="nil"/>
              <w:right w:val="nil"/>
            </w:tcBorders>
            <w:shd w:val="clear" w:color="auto" w:fill="auto"/>
            <w:tcMar>
              <w:top w:w="15" w:type="dxa"/>
              <w:left w:w="108" w:type="dxa"/>
              <w:bottom w:w="0" w:type="dxa"/>
              <w:right w:w="108" w:type="dxa"/>
            </w:tcMar>
            <w:vAlign w:val="bottom"/>
          </w:tcPr>
          <w:p w14:paraId="514F7EC6" w14:textId="1C385FDD" w:rsidR="00EA1B48" w:rsidRPr="00217043" w:rsidRDefault="00EA1B48" w:rsidP="00EA1B48">
            <w:pPr>
              <w:pStyle w:val="NoSpacing"/>
              <w:spacing w:line="276" w:lineRule="auto"/>
              <w:ind w:right="-1"/>
              <w:rPr>
                <w:rFonts w:eastAsiaTheme="minorEastAsia" w:hAnsi="Calibri"/>
                <w:b/>
                <w:color w:val="000000" w:themeColor="text1"/>
                <w:kern w:val="24"/>
                <w:sz w:val="16"/>
                <w:szCs w:val="16"/>
                <w:vertAlign w:val="superscript"/>
                <w:lang w:eastAsia="en-GB"/>
              </w:rPr>
            </w:pPr>
            <w:r w:rsidRPr="00217043">
              <w:rPr>
                <w:rFonts w:eastAsiaTheme="minorEastAsia" w:cstheme="minorHAnsi"/>
                <w:b/>
                <w:color w:val="000000" w:themeColor="text1"/>
                <w:kern w:val="24"/>
                <w:sz w:val="16"/>
                <w:szCs w:val="16"/>
              </w:rPr>
              <w:t xml:space="preserve">Other infection site </w:t>
            </w:r>
            <w:r w:rsidRPr="00525A9B">
              <w:rPr>
                <w:rFonts w:ascii="Open Sans" w:hAnsi="Open Sans" w:cs="Open Sans"/>
                <w:color w:val="666666"/>
                <w:sz w:val="16"/>
                <w:szCs w:val="16"/>
              </w:rPr>
              <w:t>†</w:t>
            </w:r>
          </w:p>
        </w:tc>
        <w:tc>
          <w:tcPr>
            <w:tcW w:w="2129" w:type="dxa"/>
            <w:gridSpan w:val="2"/>
            <w:tcBorders>
              <w:left w:val="nil"/>
              <w:right w:val="nil"/>
            </w:tcBorders>
            <w:shd w:val="clear" w:color="auto" w:fill="auto"/>
            <w:tcMar>
              <w:top w:w="15" w:type="dxa"/>
              <w:left w:w="15" w:type="dxa"/>
              <w:bottom w:w="0" w:type="dxa"/>
              <w:right w:w="15" w:type="dxa"/>
            </w:tcMar>
            <w:vAlign w:val="bottom"/>
          </w:tcPr>
          <w:p w14:paraId="71BF4CF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 (3.2)</w:t>
            </w:r>
          </w:p>
        </w:tc>
        <w:tc>
          <w:tcPr>
            <w:tcW w:w="1758" w:type="dxa"/>
            <w:tcBorders>
              <w:left w:val="nil"/>
              <w:right w:val="nil"/>
            </w:tcBorders>
            <w:shd w:val="clear" w:color="auto" w:fill="auto"/>
            <w:tcMar>
              <w:top w:w="15" w:type="dxa"/>
              <w:left w:w="15" w:type="dxa"/>
              <w:bottom w:w="0" w:type="dxa"/>
              <w:right w:w="15" w:type="dxa"/>
            </w:tcMar>
            <w:vAlign w:val="bottom"/>
          </w:tcPr>
          <w:p w14:paraId="52F8942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 (4.3)</w:t>
            </w:r>
          </w:p>
        </w:tc>
        <w:tc>
          <w:tcPr>
            <w:tcW w:w="1754" w:type="dxa"/>
            <w:tcBorders>
              <w:left w:val="nil"/>
              <w:right w:val="nil"/>
            </w:tcBorders>
            <w:shd w:val="clear" w:color="auto" w:fill="auto"/>
            <w:tcMar>
              <w:top w:w="15" w:type="dxa"/>
              <w:left w:w="15" w:type="dxa"/>
              <w:bottom w:w="0" w:type="dxa"/>
              <w:right w:w="15" w:type="dxa"/>
            </w:tcMar>
            <w:vAlign w:val="bottom"/>
          </w:tcPr>
          <w:p w14:paraId="255919F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 (6.2)</w:t>
            </w:r>
          </w:p>
        </w:tc>
        <w:tc>
          <w:tcPr>
            <w:tcW w:w="1441" w:type="dxa"/>
            <w:tcBorders>
              <w:left w:val="nil"/>
              <w:right w:val="nil"/>
            </w:tcBorders>
            <w:shd w:val="clear" w:color="auto" w:fill="auto"/>
            <w:tcMar>
              <w:top w:w="15" w:type="dxa"/>
              <w:left w:w="15" w:type="dxa"/>
              <w:bottom w:w="0" w:type="dxa"/>
              <w:right w:w="15" w:type="dxa"/>
            </w:tcMar>
            <w:vAlign w:val="bottom"/>
          </w:tcPr>
          <w:p w14:paraId="6645616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(3.6)</w:t>
            </w:r>
          </w:p>
        </w:tc>
        <w:tc>
          <w:tcPr>
            <w:tcW w:w="889" w:type="dxa"/>
            <w:tcBorders>
              <w:left w:val="nil"/>
              <w:right w:val="nil"/>
            </w:tcBorders>
            <w:shd w:val="clear" w:color="auto" w:fill="auto"/>
            <w:tcMar>
              <w:top w:w="15" w:type="dxa"/>
              <w:left w:w="15" w:type="dxa"/>
              <w:bottom w:w="0" w:type="dxa"/>
              <w:right w:w="15" w:type="dxa"/>
            </w:tcMar>
            <w:vAlign w:val="bottom"/>
          </w:tcPr>
          <w:p w14:paraId="0EB7B738"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0.385</w:t>
            </w:r>
          </w:p>
        </w:tc>
      </w:tr>
      <w:tr w:rsidR="00EA1B48" w14:paraId="2FFC5119" w14:textId="77777777" w:rsidTr="00EA1B48">
        <w:trPr>
          <w:trHeight w:val="166"/>
        </w:trPr>
        <w:tc>
          <w:tcPr>
            <w:tcW w:w="2296" w:type="dxa"/>
            <w:tcBorders>
              <w:left w:val="nil"/>
              <w:bottom w:val="nil"/>
              <w:right w:val="nil"/>
            </w:tcBorders>
            <w:shd w:val="clear" w:color="auto" w:fill="auto"/>
            <w:tcMar>
              <w:top w:w="15" w:type="dxa"/>
              <w:left w:w="108" w:type="dxa"/>
              <w:bottom w:w="0" w:type="dxa"/>
              <w:right w:w="108" w:type="dxa"/>
            </w:tcMar>
            <w:vAlign w:val="bottom"/>
          </w:tcPr>
          <w:p w14:paraId="4CF82FB1" w14:textId="77777777"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Mixed infection</w:t>
            </w:r>
          </w:p>
        </w:tc>
        <w:tc>
          <w:tcPr>
            <w:tcW w:w="2129" w:type="dxa"/>
            <w:gridSpan w:val="2"/>
            <w:tcBorders>
              <w:left w:val="nil"/>
              <w:bottom w:val="nil"/>
              <w:right w:val="nil"/>
            </w:tcBorders>
            <w:shd w:val="clear" w:color="auto" w:fill="auto"/>
            <w:tcMar>
              <w:top w:w="15" w:type="dxa"/>
              <w:left w:w="15" w:type="dxa"/>
              <w:bottom w:w="0" w:type="dxa"/>
              <w:right w:w="15" w:type="dxa"/>
            </w:tcMar>
            <w:vAlign w:val="bottom"/>
          </w:tcPr>
          <w:p w14:paraId="684A842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41 (21.9)</w:t>
            </w:r>
          </w:p>
        </w:tc>
        <w:tc>
          <w:tcPr>
            <w:tcW w:w="1758" w:type="dxa"/>
            <w:tcBorders>
              <w:left w:val="nil"/>
              <w:bottom w:val="nil"/>
              <w:right w:val="nil"/>
            </w:tcBorders>
            <w:shd w:val="clear" w:color="auto" w:fill="auto"/>
            <w:tcMar>
              <w:top w:w="15" w:type="dxa"/>
              <w:left w:w="15" w:type="dxa"/>
              <w:bottom w:w="0" w:type="dxa"/>
              <w:right w:w="15" w:type="dxa"/>
            </w:tcMar>
            <w:vAlign w:val="bottom"/>
          </w:tcPr>
          <w:p w14:paraId="0DBC806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46 (28.2)</w:t>
            </w:r>
          </w:p>
        </w:tc>
        <w:tc>
          <w:tcPr>
            <w:tcW w:w="1754" w:type="dxa"/>
            <w:tcBorders>
              <w:left w:val="nil"/>
              <w:bottom w:val="nil"/>
              <w:right w:val="nil"/>
            </w:tcBorders>
            <w:shd w:val="clear" w:color="auto" w:fill="auto"/>
            <w:tcMar>
              <w:top w:w="15" w:type="dxa"/>
              <w:left w:w="15" w:type="dxa"/>
              <w:bottom w:w="0" w:type="dxa"/>
              <w:right w:w="15" w:type="dxa"/>
            </w:tcMar>
            <w:vAlign w:val="bottom"/>
          </w:tcPr>
          <w:p w14:paraId="13966D5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51 (19.7)</w:t>
            </w:r>
          </w:p>
        </w:tc>
        <w:tc>
          <w:tcPr>
            <w:tcW w:w="1441" w:type="dxa"/>
            <w:tcBorders>
              <w:left w:val="nil"/>
              <w:bottom w:val="nil"/>
              <w:right w:val="nil"/>
            </w:tcBorders>
            <w:shd w:val="clear" w:color="auto" w:fill="auto"/>
            <w:tcMar>
              <w:top w:w="15" w:type="dxa"/>
              <w:left w:w="15" w:type="dxa"/>
              <w:bottom w:w="0" w:type="dxa"/>
              <w:right w:w="15" w:type="dxa"/>
            </w:tcMar>
            <w:vAlign w:val="bottom"/>
          </w:tcPr>
          <w:p w14:paraId="0CECB95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 (25.0)</w:t>
            </w:r>
          </w:p>
        </w:tc>
        <w:tc>
          <w:tcPr>
            <w:tcW w:w="889" w:type="dxa"/>
            <w:tcBorders>
              <w:left w:val="nil"/>
              <w:bottom w:val="nil"/>
              <w:right w:val="nil"/>
            </w:tcBorders>
            <w:shd w:val="clear" w:color="auto" w:fill="auto"/>
            <w:tcMar>
              <w:top w:w="15" w:type="dxa"/>
              <w:left w:w="15" w:type="dxa"/>
              <w:bottom w:w="0" w:type="dxa"/>
              <w:right w:w="15" w:type="dxa"/>
            </w:tcMar>
            <w:vAlign w:val="bottom"/>
          </w:tcPr>
          <w:p w14:paraId="708EC3D9"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0.193</w:t>
            </w:r>
          </w:p>
        </w:tc>
      </w:tr>
      <w:tr w:rsidR="00EA1B48" w14:paraId="4BB18265" w14:textId="77777777" w:rsidTr="00EA1B48">
        <w:trPr>
          <w:trHeight w:val="166"/>
        </w:trPr>
        <w:tc>
          <w:tcPr>
            <w:tcW w:w="2296" w:type="dxa"/>
            <w:tcBorders>
              <w:left w:val="nil"/>
              <w:bottom w:val="nil"/>
              <w:right w:val="nil"/>
            </w:tcBorders>
            <w:shd w:val="clear" w:color="auto" w:fill="auto"/>
            <w:tcMar>
              <w:top w:w="15" w:type="dxa"/>
              <w:left w:w="108" w:type="dxa"/>
              <w:bottom w:w="0" w:type="dxa"/>
              <w:right w:w="108" w:type="dxa"/>
            </w:tcMar>
            <w:vAlign w:val="bottom"/>
          </w:tcPr>
          <w:p w14:paraId="7DBFE9E5" w14:textId="6FF95001" w:rsidR="00EA1B48" w:rsidRPr="00217043" w:rsidRDefault="00EA1B48" w:rsidP="00EA1B48">
            <w:pPr>
              <w:pStyle w:val="NoSpacing"/>
              <w:spacing w:line="276" w:lineRule="auto"/>
              <w:ind w:right="-1"/>
              <w:rPr>
                <w:rFonts w:eastAsiaTheme="minorEastAsia" w:cstheme="minorHAnsi"/>
                <w:b/>
                <w:color w:val="000000" w:themeColor="text1"/>
                <w:kern w:val="24"/>
                <w:sz w:val="16"/>
                <w:szCs w:val="16"/>
              </w:rPr>
            </w:pPr>
            <w:r w:rsidRPr="00217043">
              <w:rPr>
                <w:rFonts w:eastAsiaTheme="minorEastAsia" w:cstheme="minorHAnsi"/>
                <w:b/>
                <w:color w:val="000000" w:themeColor="text1"/>
                <w:kern w:val="24"/>
                <w:sz w:val="16"/>
                <w:szCs w:val="16"/>
              </w:rPr>
              <w:t xml:space="preserve">Unknown site </w:t>
            </w:r>
            <w:r w:rsidRPr="00525A9B">
              <w:rPr>
                <w:rFonts w:ascii="Open Sans" w:hAnsi="Open Sans" w:cs="Open Sans"/>
                <w:color w:val="666666"/>
                <w:sz w:val="16"/>
                <w:szCs w:val="16"/>
              </w:rPr>
              <w:t>‡</w:t>
            </w:r>
          </w:p>
        </w:tc>
        <w:tc>
          <w:tcPr>
            <w:tcW w:w="2129" w:type="dxa"/>
            <w:gridSpan w:val="2"/>
            <w:tcBorders>
              <w:left w:val="nil"/>
              <w:bottom w:val="nil"/>
              <w:right w:val="nil"/>
            </w:tcBorders>
            <w:shd w:val="clear" w:color="auto" w:fill="auto"/>
            <w:tcMar>
              <w:top w:w="15" w:type="dxa"/>
              <w:left w:w="15" w:type="dxa"/>
              <w:bottom w:w="0" w:type="dxa"/>
              <w:right w:w="15" w:type="dxa"/>
            </w:tcMar>
            <w:vAlign w:val="bottom"/>
          </w:tcPr>
          <w:p w14:paraId="467CF0C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(4.8)</w:t>
            </w:r>
          </w:p>
        </w:tc>
        <w:tc>
          <w:tcPr>
            <w:tcW w:w="1758" w:type="dxa"/>
            <w:tcBorders>
              <w:left w:val="nil"/>
              <w:bottom w:val="nil"/>
              <w:right w:val="nil"/>
            </w:tcBorders>
            <w:shd w:val="clear" w:color="auto" w:fill="auto"/>
            <w:tcMar>
              <w:top w:w="15" w:type="dxa"/>
              <w:left w:w="15" w:type="dxa"/>
              <w:bottom w:w="0" w:type="dxa"/>
              <w:right w:w="15" w:type="dxa"/>
            </w:tcMar>
            <w:vAlign w:val="bottom"/>
          </w:tcPr>
          <w:p w14:paraId="422DBC1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 (4.9)</w:t>
            </w:r>
          </w:p>
        </w:tc>
        <w:tc>
          <w:tcPr>
            <w:tcW w:w="1754" w:type="dxa"/>
            <w:tcBorders>
              <w:left w:val="nil"/>
              <w:bottom w:val="nil"/>
              <w:right w:val="nil"/>
            </w:tcBorders>
            <w:shd w:val="clear" w:color="auto" w:fill="auto"/>
            <w:tcMar>
              <w:top w:w="15" w:type="dxa"/>
              <w:left w:w="15" w:type="dxa"/>
              <w:bottom w:w="0" w:type="dxa"/>
              <w:right w:w="15" w:type="dxa"/>
            </w:tcMar>
            <w:vAlign w:val="bottom"/>
          </w:tcPr>
          <w:p w14:paraId="6F948D5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 (3.1)</w:t>
            </w:r>
          </w:p>
        </w:tc>
        <w:tc>
          <w:tcPr>
            <w:tcW w:w="1441" w:type="dxa"/>
            <w:tcBorders>
              <w:left w:val="nil"/>
              <w:bottom w:val="nil"/>
              <w:right w:val="nil"/>
            </w:tcBorders>
            <w:shd w:val="clear" w:color="auto" w:fill="auto"/>
            <w:tcMar>
              <w:top w:w="15" w:type="dxa"/>
              <w:left w:w="15" w:type="dxa"/>
              <w:bottom w:w="0" w:type="dxa"/>
              <w:right w:w="15" w:type="dxa"/>
            </w:tcMar>
            <w:vAlign w:val="bottom"/>
          </w:tcPr>
          <w:p w14:paraId="3100745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 (2.1)</w:t>
            </w:r>
          </w:p>
        </w:tc>
        <w:tc>
          <w:tcPr>
            <w:tcW w:w="889" w:type="dxa"/>
            <w:tcBorders>
              <w:left w:val="nil"/>
              <w:bottom w:val="nil"/>
              <w:right w:val="nil"/>
            </w:tcBorders>
            <w:shd w:val="clear" w:color="auto" w:fill="auto"/>
            <w:tcMar>
              <w:top w:w="15" w:type="dxa"/>
              <w:left w:w="15" w:type="dxa"/>
              <w:bottom w:w="0" w:type="dxa"/>
              <w:right w:w="15" w:type="dxa"/>
            </w:tcMar>
            <w:vAlign w:val="bottom"/>
          </w:tcPr>
          <w:p w14:paraId="797D018D"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0.311</w:t>
            </w:r>
          </w:p>
        </w:tc>
      </w:tr>
      <w:tr w:rsidR="00EA1B48" w:rsidRPr="00D067B4" w14:paraId="75135EA9" w14:textId="77777777" w:rsidTr="00EA1B48">
        <w:trPr>
          <w:trHeight w:val="166"/>
        </w:trPr>
        <w:tc>
          <w:tcPr>
            <w:tcW w:w="4117" w:type="dxa"/>
            <w:gridSpan w:val="2"/>
            <w:tcBorders>
              <w:top w:val="single" w:sz="8" w:space="0" w:color="000000"/>
              <w:left w:val="nil"/>
              <w:bottom w:val="nil"/>
              <w:right w:val="nil"/>
            </w:tcBorders>
            <w:shd w:val="clear" w:color="auto" w:fill="auto"/>
            <w:tcMar>
              <w:top w:w="15" w:type="dxa"/>
              <w:left w:w="108" w:type="dxa"/>
              <w:bottom w:w="0" w:type="dxa"/>
              <w:right w:w="108" w:type="dxa"/>
            </w:tcMar>
            <w:vAlign w:val="bottom"/>
          </w:tcPr>
          <w:p w14:paraId="73E4466A" w14:textId="6DF15633"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lang w:eastAsia="en-GB"/>
              </w:rPr>
              <w:t xml:space="preserve">Causative pathogen primary site of infection </w:t>
            </w:r>
            <w:r w:rsidRPr="00525A9B">
              <w:rPr>
                <w:rFonts w:ascii="Open Sans" w:hAnsi="Open Sans" w:cs="Open Sans"/>
                <w:color w:val="666666"/>
                <w:sz w:val="16"/>
                <w:szCs w:val="16"/>
                <w:lang w:val="en-GB"/>
              </w:rPr>
              <w:t>§</w:t>
            </w:r>
            <w:r w:rsidRPr="00217043">
              <w:rPr>
                <w:rFonts w:eastAsiaTheme="minorEastAsia" w:cstheme="minorHAnsi"/>
                <w:b/>
                <w:color w:val="000000" w:themeColor="text1"/>
                <w:kern w:val="24"/>
                <w:sz w:val="16"/>
                <w:szCs w:val="16"/>
                <w:lang w:eastAsia="en-GB"/>
              </w:rPr>
              <w:t>, n (%)</w:t>
            </w:r>
          </w:p>
        </w:tc>
        <w:tc>
          <w:tcPr>
            <w:tcW w:w="308"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176E35AA"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58"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7A0D769F"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54"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718CB6FB"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441"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3E54B9E3"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889"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536C194C" w14:textId="77777777" w:rsidR="00EA1B48" w:rsidRPr="004C2310" w:rsidRDefault="00EA1B48" w:rsidP="00EA1B48">
            <w:pPr>
              <w:pStyle w:val="NoSpacing"/>
              <w:spacing w:line="276" w:lineRule="auto"/>
              <w:ind w:right="-1"/>
              <w:jc w:val="right"/>
              <w:rPr>
                <w:rFonts w:ascii="Calibri" w:eastAsia="Times New Roman" w:hAnsi="Calibri" w:cs="Calibri"/>
                <w:color w:val="000000"/>
                <w:kern w:val="24"/>
                <w:sz w:val="16"/>
                <w:szCs w:val="16"/>
                <w:lang w:eastAsia="en-GB"/>
              </w:rPr>
            </w:pPr>
          </w:p>
        </w:tc>
      </w:tr>
      <w:tr w:rsidR="00EA1B48" w14:paraId="1AAF0968" w14:textId="77777777" w:rsidTr="00EA1B48">
        <w:trPr>
          <w:trHeight w:val="166"/>
        </w:trPr>
        <w:tc>
          <w:tcPr>
            <w:tcW w:w="2296" w:type="dxa"/>
            <w:tcBorders>
              <w:top w:val="single" w:sz="8" w:space="0" w:color="000000"/>
              <w:left w:val="nil"/>
              <w:bottom w:val="nil"/>
              <w:right w:val="nil"/>
            </w:tcBorders>
            <w:shd w:val="clear" w:color="auto" w:fill="auto"/>
            <w:tcMar>
              <w:top w:w="15" w:type="dxa"/>
              <w:left w:w="108" w:type="dxa"/>
              <w:bottom w:w="0" w:type="dxa"/>
              <w:right w:w="108" w:type="dxa"/>
            </w:tcMar>
            <w:vAlign w:val="bottom"/>
            <w:hideMark/>
          </w:tcPr>
          <w:p w14:paraId="03236260"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Gram-positive bacteria</w:t>
            </w:r>
          </w:p>
        </w:tc>
        <w:tc>
          <w:tcPr>
            <w:tcW w:w="2129"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F819C6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84 (44.9)</w:t>
            </w:r>
          </w:p>
        </w:tc>
        <w:tc>
          <w:tcPr>
            <w:tcW w:w="17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2A5AA0C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69 (42.3)</w:t>
            </w:r>
          </w:p>
        </w:tc>
        <w:tc>
          <w:tcPr>
            <w:tcW w:w="175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1D685B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111 (42.9)</w:t>
            </w:r>
          </w:p>
        </w:tc>
        <w:tc>
          <w:tcPr>
            <w:tcW w:w="14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DD3FF9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111 (39.6)</w:t>
            </w:r>
          </w:p>
        </w:tc>
        <w:tc>
          <w:tcPr>
            <w:tcW w:w="88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9011C7F"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0.714</w:t>
            </w:r>
          </w:p>
        </w:tc>
      </w:tr>
      <w:tr w:rsidR="00EA1B48" w14:paraId="33E3247A" w14:textId="77777777" w:rsidTr="00EA1B48">
        <w:trPr>
          <w:trHeight w:val="166"/>
        </w:trPr>
        <w:tc>
          <w:tcPr>
            <w:tcW w:w="2296" w:type="dxa"/>
            <w:tcBorders>
              <w:top w:val="nil"/>
              <w:left w:val="nil"/>
              <w:bottom w:val="nil"/>
              <w:right w:val="nil"/>
            </w:tcBorders>
            <w:shd w:val="clear" w:color="auto" w:fill="auto"/>
            <w:tcMar>
              <w:top w:w="15" w:type="dxa"/>
              <w:left w:w="108" w:type="dxa"/>
              <w:bottom w:w="0" w:type="dxa"/>
              <w:right w:w="108" w:type="dxa"/>
            </w:tcMar>
            <w:vAlign w:val="bottom"/>
            <w:hideMark/>
          </w:tcPr>
          <w:p w14:paraId="4808A962"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Gram-negative bacteria</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0F56DCD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71 (38.0)</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1262B51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82 (50.3)</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6FCAFC4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120 (46.3)</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593D8C2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122 (43.6)</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2936BC50"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0.116</w:t>
            </w:r>
          </w:p>
        </w:tc>
      </w:tr>
      <w:tr w:rsidR="00EA1B48" w14:paraId="4E2082BD" w14:textId="77777777" w:rsidTr="00EA1B48">
        <w:trPr>
          <w:trHeight w:val="166"/>
        </w:trPr>
        <w:tc>
          <w:tcPr>
            <w:tcW w:w="2296" w:type="dxa"/>
            <w:tcBorders>
              <w:top w:val="nil"/>
              <w:left w:val="nil"/>
              <w:bottom w:val="nil"/>
              <w:right w:val="nil"/>
            </w:tcBorders>
            <w:shd w:val="clear" w:color="auto" w:fill="auto"/>
            <w:tcMar>
              <w:top w:w="15" w:type="dxa"/>
              <w:left w:w="108" w:type="dxa"/>
              <w:bottom w:w="0" w:type="dxa"/>
              <w:right w:w="108" w:type="dxa"/>
            </w:tcMar>
            <w:vAlign w:val="bottom"/>
            <w:hideMark/>
          </w:tcPr>
          <w:p w14:paraId="2BFB26E0"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Fungi</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5D0F2EF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21 (11.2)</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2A88F65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 (14.1)</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6360690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38 (14.7)</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04AA65E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 (8.2)</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1813E40D"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0.094</w:t>
            </w:r>
          </w:p>
        </w:tc>
      </w:tr>
      <w:tr w:rsidR="00EA1B48" w14:paraId="0063923C" w14:textId="77777777" w:rsidTr="00EA1B48">
        <w:trPr>
          <w:trHeight w:val="166"/>
        </w:trPr>
        <w:tc>
          <w:tcPr>
            <w:tcW w:w="2296" w:type="dxa"/>
            <w:tcBorders>
              <w:top w:val="nil"/>
              <w:left w:val="nil"/>
              <w:bottom w:val="nil"/>
              <w:right w:val="nil"/>
            </w:tcBorders>
            <w:shd w:val="clear" w:color="auto" w:fill="auto"/>
            <w:tcMar>
              <w:top w:w="15" w:type="dxa"/>
              <w:left w:w="108" w:type="dxa"/>
              <w:bottom w:w="0" w:type="dxa"/>
              <w:right w:w="108" w:type="dxa"/>
            </w:tcMar>
            <w:vAlign w:val="bottom"/>
            <w:hideMark/>
          </w:tcPr>
          <w:p w14:paraId="50447975"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Virus</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6DF44D7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19 (10.2)</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504C2DB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13 (8.0)</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15827F8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17 (6.6)</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4A64154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(3.2)</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7C91CC9D"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0.022</w:t>
            </w:r>
          </w:p>
        </w:tc>
      </w:tr>
      <w:tr w:rsidR="00EA1B48" w14:paraId="1CA6DCB8" w14:textId="77777777" w:rsidTr="00EA1B48">
        <w:trPr>
          <w:trHeight w:val="166"/>
        </w:trPr>
        <w:tc>
          <w:tcPr>
            <w:tcW w:w="2296" w:type="dxa"/>
            <w:tcBorders>
              <w:top w:val="nil"/>
              <w:left w:val="nil"/>
              <w:bottom w:val="nil"/>
              <w:right w:val="nil"/>
            </w:tcBorders>
            <w:shd w:val="clear" w:color="auto" w:fill="auto"/>
            <w:tcMar>
              <w:top w:w="15" w:type="dxa"/>
              <w:left w:w="108" w:type="dxa"/>
              <w:bottom w:w="0" w:type="dxa"/>
              <w:right w:w="108" w:type="dxa"/>
            </w:tcMar>
            <w:vAlign w:val="bottom"/>
            <w:hideMark/>
          </w:tcPr>
          <w:p w14:paraId="06EDAA31"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Other</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66A6DB9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 (7.5)</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2A43042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(2.5)</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6802B0E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 (2.7)</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4A49168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(3.6)</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70F25B56"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0.040</w:t>
            </w:r>
          </w:p>
        </w:tc>
      </w:tr>
      <w:tr w:rsidR="00EA1B48" w14:paraId="26C61B37" w14:textId="77777777" w:rsidTr="00EA1B48">
        <w:trPr>
          <w:trHeight w:val="166"/>
        </w:trPr>
        <w:tc>
          <w:tcPr>
            <w:tcW w:w="2296"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486E36AA"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Unknown</w:t>
            </w:r>
          </w:p>
        </w:tc>
        <w:tc>
          <w:tcPr>
            <w:tcW w:w="2129" w:type="dxa"/>
            <w:gridSpan w:val="2"/>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4733FDF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 (13.4)</w:t>
            </w:r>
          </w:p>
        </w:tc>
        <w:tc>
          <w:tcPr>
            <w:tcW w:w="1758"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30A296E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21 (12.9)</w:t>
            </w:r>
          </w:p>
        </w:tc>
        <w:tc>
          <w:tcPr>
            <w:tcW w:w="175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688472F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37 (14.3)</w:t>
            </w:r>
          </w:p>
        </w:tc>
        <w:tc>
          <w:tcPr>
            <w:tcW w:w="1441"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3C3B2D0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60 (21.4)</w:t>
            </w:r>
          </w:p>
        </w:tc>
        <w:tc>
          <w:tcPr>
            <w:tcW w:w="889"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453BEB7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0.032</w:t>
            </w:r>
          </w:p>
        </w:tc>
      </w:tr>
      <w:tr w:rsidR="00EA1B48" w:rsidRPr="00D067B4" w14:paraId="675BAA44" w14:textId="77777777" w:rsidTr="00EA1B48">
        <w:trPr>
          <w:trHeight w:val="154"/>
        </w:trPr>
        <w:tc>
          <w:tcPr>
            <w:tcW w:w="10267" w:type="dxa"/>
            <w:gridSpan w:val="7"/>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190EC9AD"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 xml:space="preserve">Disease severity on ICU admission </w:t>
            </w:r>
          </w:p>
        </w:tc>
      </w:tr>
      <w:tr w:rsidR="00EA1B48" w14:paraId="594A5907" w14:textId="77777777" w:rsidTr="00EA1B48">
        <w:trPr>
          <w:trHeight w:val="166"/>
        </w:trPr>
        <w:tc>
          <w:tcPr>
            <w:tcW w:w="2296" w:type="dxa"/>
            <w:tcBorders>
              <w:top w:val="single" w:sz="8" w:space="0" w:color="000000"/>
              <w:left w:val="nil"/>
              <w:bottom w:val="nil"/>
              <w:right w:val="nil"/>
            </w:tcBorders>
            <w:shd w:val="clear" w:color="auto" w:fill="auto"/>
            <w:tcMar>
              <w:top w:w="15" w:type="dxa"/>
              <w:left w:w="108" w:type="dxa"/>
              <w:bottom w:w="0" w:type="dxa"/>
              <w:right w:w="108" w:type="dxa"/>
            </w:tcMar>
            <w:vAlign w:val="bottom"/>
            <w:hideMark/>
          </w:tcPr>
          <w:p w14:paraId="429FEA4A"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APACHE IV APS, median [IQR]</w:t>
            </w:r>
          </w:p>
        </w:tc>
        <w:tc>
          <w:tcPr>
            <w:tcW w:w="2129"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BEBEED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66.00 [49.00, 87.00]</w:t>
            </w:r>
          </w:p>
        </w:tc>
        <w:tc>
          <w:tcPr>
            <w:tcW w:w="17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535FB9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73.00 [56.00, 94.00]</w:t>
            </w:r>
          </w:p>
        </w:tc>
        <w:tc>
          <w:tcPr>
            <w:tcW w:w="175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30232D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67.00 [50.00, 86.50]</w:t>
            </w:r>
          </w:p>
        </w:tc>
        <w:tc>
          <w:tcPr>
            <w:tcW w:w="14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66436B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71.00 [55.00, 87.00]</w:t>
            </w:r>
          </w:p>
        </w:tc>
        <w:tc>
          <w:tcPr>
            <w:tcW w:w="88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D95076A"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0.046</w:t>
            </w:r>
          </w:p>
        </w:tc>
      </w:tr>
      <w:tr w:rsidR="00EA1B48" w14:paraId="341788A9" w14:textId="77777777" w:rsidTr="00EA1B48">
        <w:trPr>
          <w:trHeight w:val="166"/>
        </w:trPr>
        <w:tc>
          <w:tcPr>
            <w:tcW w:w="2296" w:type="dxa"/>
            <w:tcBorders>
              <w:top w:val="nil"/>
              <w:left w:val="nil"/>
              <w:bottom w:val="nil"/>
              <w:right w:val="nil"/>
            </w:tcBorders>
            <w:shd w:val="clear" w:color="auto" w:fill="auto"/>
            <w:tcMar>
              <w:top w:w="15" w:type="dxa"/>
              <w:left w:w="108" w:type="dxa"/>
              <w:bottom w:w="0" w:type="dxa"/>
              <w:right w:w="108" w:type="dxa"/>
            </w:tcMar>
            <w:vAlign w:val="bottom"/>
            <w:hideMark/>
          </w:tcPr>
          <w:p w14:paraId="14465490" w14:textId="3EDFB8BB" w:rsidR="00EA1B48" w:rsidRPr="00217043" w:rsidRDefault="00EA1B48" w:rsidP="00EA1B48">
            <w:pPr>
              <w:pStyle w:val="NoSpacing"/>
              <w:spacing w:line="276" w:lineRule="auto"/>
              <w:ind w:right="-1"/>
              <w:rPr>
                <w:rFonts w:ascii="Arial" w:eastAsia="Times New Roman" w:hAnsi="Arial" w:cs="Arial"/>
                <w:b/>
                <w:sz w:val="16"/>
                <w:szCs w:val="16"/>
                <w:lang w:eastAsia="en-GB"/>
              </w:rPr>
            </w:pPr>
            <w:r>
              <w:rPr>
                <w:rFonts w:eastAsiaTheme="minorEastAsia" w:cstheme="minorHAnsi"/>
                <w:b/>
                <w:color w:val="000000" w:themeColor="text1"/>
                <w:kern w:val="24"/>
                <w:sz w:val="16"/>
                <w:szCs w:val="16"/>
                <w:lang w:eastAsia="en-GB"/>
              </w:rPr>
              <w:t xml:space="preserve">SOFA score </w:t>
            </w:r>
            <w:proofErr w:type="spellStart"/>
            <w:r w:rsidRPr="00525A9B">
              <w:rPr>
                <w:rFonts w:ascii="Open Sans" w:hAnsi="Open Sans" w:cs="Open Sans"/>
                <w:color w:val="666666"/>
                <w:sz w:val="16"/>
                <w:szCs w:val="16"/>
                <w:lang w:val="en-GB"/>
              </w:rPr>
              <w:t>ll</w:t>
            </w:r>
            <w:proofErr w:type="spellEnd"/>
            <w:r w:rsidRPr="00217043">
              <w:rPr>
                <w:rFonts w:eastAsiaTheme="minorEastAsia" w:cstheme="minorHAnsi"/>
                <w:b/>
                <w:color w:val="000000" w:themeColor="text1"/>
                <w:kern w:val="24"/>
                <w:sz w:val="16"/>
                <w:szCs w:val="16"/>
                <w:lang w:eastAsia="en-GB"/>
              </w:rPr>
              <w:t>, median [IQR]</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6926C4D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7.00 [4.00, 9.50]</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0F59821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8.00 [6.00, 10.00]</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77E038A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7.00 [4.00, 9.00]</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6FE9E3B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7.00 [5.75, 9.00]</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7AD0B75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0.066</w:t>
            </w:r>
          </w:p>
        </w:tc>
      </w:tr>
      <w:tr w:rsidR="00EA1B48" w14:paraId="74B724BB" w14:textId="77777777" w:rsidTr="00EA1B48">
        <w:trPr>
          <w:trHeight w:val="166"/>
        </w:trPr>
        <w:tc>
          <w:tcPr>
            <w:tcW w:w="2296" w:type="dxa"/>
            <w:tcBorders>
              <w:top w:val="nil"/>
              <w:left w:val="nil"/>
              <w:right w:val="nil"/>
            </w:tcBorders>
            <w:shd w:val="clear" w:color="auto" w:fill="auto"/>
            <w:tcMar>
              <w:top w:w="15" w:type="dxa"/>
              <w:left w:w="108" w:type="dxa"/>
              <w:bottom w:w="0" w:type="dxa"/>
              <w:right w:w="108" w:type="dxa"/>
            </w:tcMar>
            <w:vAlign w:val="bottom"/>
            <w:hideMark/>
          </w:tcPr>
          <w:p w14:paraId="05E28A73"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Shock, n (%)</w:t>
            </w:r>
          </w:p>
        </w:tc>
        <w:tc>
          <w:tcPr>
            <w:tcW w:w="2129" w:type="dxa"/>
            <w:gridSpan w:val="2"/>
            <w:tcBorders>
              <w:top w:val="nil"/>
              <w:left w:val="nil"/>
              <w:right w:val="nil"/>
            </w:tcBorders>
            <w:shd w:val="clear" w:color="auto" w:fill="auto"/>
            <w:tcMar>
              <w:top w:w="15" w:type="dxa"/>
              <w:left w:w="15" w:type="dxa"/>
              <w:bottom w:w="0" w:type="dxa"/>
              <w:right w:w="15" w:type="dxa"/>
            </w:tcMar>
            <w:vAlign w:val="bottom"/>
            <w:hideMark/>
          </w:tcPr>
          <w:p w14:paraId="5EE6031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38 (20.3)</w:t>
            </w:r>
          </w:p>
        </w:tc>
        <w:tc>
          <w:tcPr>
            <w:tcW w:w="1758" w:type="dxa"/>
            <w:tcBorders>
              <w:top w:val="nil"/>
              <w:left w:val="nil"/>
              <w:right w:val="nil"/>
            </w:tcBorders>
            <w:shd w:val="clear" w:color="auto" w:fill="auto"/>
            <w:tcMar>
              <w:top w:w="15" w:type="dxa"/>
              <w:left w:w="15" w:type="dxa"/>
              <w:bottom w:w="0" w:type="dxa"/>
              <w:right w:w="15" w:type="dxa"/>
            </w:tcMar>
            <w:vAlign w:val="bottom"/>
            <w:hideMark/>
          </w:tcPr>
          <w:p w14:paraId="391174B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52 (31.9)</w:t>
            </w:r>
          </w:p>
        </w:tc>
        <w:tc>
          <w:tcPr>
            <w:tcW w:w="1754" w:type="dxa"/>
            <w:tcBorders>
              <w:top w:val="nil"/>
              <w:left w:val="nil"/>
              <w:right w:val="nil"/>
            </w:tcBorders>
            <w:shd w:val="clear" w:color="auto" w:fill="auto"/>
            <w:tcMar>
              <w:top w:w="15" w:type="dxa"/>
              <w:left w:w="15" w:type="dxa"/>
              <w:bottom w:w="0" w:type="dxa"/>
              <w:right w:w="15" w:type="dxa"/>
            </w:tcMar>
            <w:vAlign w:val="bottom"/>
            <w:hideMark/>
          </w:tcPr>
          <w:p w14:paraId="6DB7E89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62 (23.9)</w:t>
            </w:r>
          </w:p>
        </w:tc>
        <w:tc>
          <w:tcPr>
            <w:tcW w:w="1441" w:type="dxa"/>
            <w:tcBorders>
              <w:top w:val="nil"/>
              <w:left w:val="nil"/>
              <w:right w:val="nil"/>
            </w:tcBorders>
            <w:shd w:val="clear" w:color="auto" w:fill="auto"/>
            <w:tcMar>
              <w:top w:w="15" w:type="dxa"/>
              <w:left w:w="15" w:type="dxa"/>
              <w:bottom w:w="0" w:type="dxa"/>
              <w:right w:w="15" w:type="dxa"/>
            </w:tcMar>
            <w:vAlign w:val="bottom"/>
            <w:hideMark/>
          </w:tcPr>
          <w:p w14:paraId="4362238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98 (35.0)</w:t>
            </w:r>
          </w:p>
        </w:tc>
        <w:tc>
          <w:tcPr>
            <w:tcW w:w="889" w:type="dxa"/>
            <w:tcBorders>
              <w:top w:val="nil"/>
              <w:left w:val="nil"/>
              <w:right w:val="nil"/>
            </w:tcBorders>
            <w:shd w:val="clear" w:color="auto" w:fill="auto"/>
            <w:tcMar>
              <w:top w:w="15" w:type="dxa"/>
              <w:left w:w="15" w:type="dxa"/>
              <w:bottom w:w="0" w:type="dxa"/>
              <w:right w:w="15" w:type="dxa"/>
            </w:tcMar>
            <w:vAlign w:val="bottom"/>
            <w:hideMark/>
          </w:tcPr>
          <w:p w14:paraId="26FA8B1A"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0.001</w:t>
            </w:r>
          </w:p>
        </w:tc>
      </w:tr>
      <w:tr w:rsidR="00EA1B48" w14:paraId="1B35BC9A" w14:textId="77777777" w:rsidTr="00EA1B48">
        <w:trPr>
          <w:trHeight w:val="166"/>
        </w:trPr>
        <w:tc>
          <w:tcPr>
            <w:tcW w:w="2296" w:type="dxa"/>
            <w:tcBorders>
              <w:top w:val="nil"/>
              <w:left w:val="nil"/>
              <w:bottom w:val="nil"/>
              <w:right w:val="nil"/>
            </w:tcBorders>
            <w:shd w:val="clear" w:color="auto" w:fill="auto"/>
            <w:tcMar>
              <w:top w:w="15" w:type="dxa"/>
              <w:left w:w="108" w:type="dxa"/>
              <w:bottom w:w="0" w:type="dxa"/>
              <w:right w:w="108" w:type="dxa"/>
            </w:tcMar>
            <w:vAlign w:val="bottom"/>
            <w:hideMark/>
          </w:tcPr>
          <w:p w14:paraId="3109144B"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ARDS, n (%)</w:t>
            </w:r>
          </w:p>
        </w:tc>
        <w:tc>
          <w:tcPr>
            <w:tcW w:w="2129"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445C4C8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54 (28.9)</w:t>
            </w:r>
          </w:p>
        </w:tc>
        <w:tc>
          <w:tcPr>
            <w:tcW w:w="1758" w:type="dxa"/>
            <w:tcBorders>
              <w:top w:val="nil"/>
              <w:left w:val="nil"/>
              <w:bottom w:val="nil"/>
              <w:right w:val="nil"/>
            </w:tcBorders>
            <w:shd w:val="clear" w:color="auto" w:fill="auto"/>
            <w:tcMar>
              <w:top w:w="15" w:type="dxa"/>
              <w:left w:w="15" w:type="dxa"/>
              <w:bottom w:w="0" w:type="dxa"/>
              <w:right w:w="15" w:type="dxa"/>
            </w:tcMar>
            <w:vAlign w:val="bottom"/>
            <w:hideMark/>
          </w:tcPr>
          <w:p w14:paraId="23F185C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50 (30.7)</w:t>
            </w:r>
          </w:p>
        </w:tc>
        <w:tc>
          <w:tcPr>
            <w:tcW w:w="1754" w:type="dxa"/>
            <w:tcBorders>
              <w:top w:val="nil"/>
              <w:left w:val="nil"/>
              <w:bottom w:val="nil"/>
              <w:right w:val="nil"/>
            </w:tcBorders>
            <w:shd w:val="clear" w:color="auto" w:fill="auto"/>
            <w:tcMar>
              <w:top w:w="15" w:type="dxa"/>
              <w:left w:w="15" w:type="dxa"/>
              <w:bottom w:w="0" w:type="dxa"/>
              <w:right w:w="15" w:type="dxa"/>
            </w:tcMar>
            <w:vAlign w:val="bottom"/>
            <w:hideMark/>
          </w:tcPr>
          <w:p w14:paraId="03A5105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68 (26.3)</w:t>
            </w:r>
          </w:p>
        </w:tc>
        <w:tc>
          <w:tcPr>
            <w:tcW w:w="1441" w:type="dxa"/>
            <w:tcBorders>
              <w:top w:val="nil"/>
              <w:left w:val="nil"/>
              <w:bottom w:val="nil"/>
              <w:right w:val="nil"/>
            </w:tcBorders>
            <w:shd w:val="clear" w:color="auto" w:fill="auto"/>
            <w:tcMar>
              <w:top w:w="15" w:type="dxa"/>
              <w:left w:w="15" w:type="dxa"/>
              <w:bottom w:w="0" w:type="dxa"/>
              <w:right w:w="15" w:type="dxa"/>
            </w:tcMar>
            <w:vAlign w:val="bottom"/>
            <w:hideMark/>
          </w:tcPr>
          <w:p w14:paraId="6E716BB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87 (31.1)</w:t>
            </w:r>
          </w:p>
        </w:tc>
        <w:tc>
          <w:tcPr>
            <w:tcW w:w="889" w:type="dxa"/>
            <w:tcBorders>
              <w:top w:val="nil"/>
              <w:left w:val="nil"/>
              <w:bottom w:val="nil"/>
              <w:right w:val="nil"/>
            </w:tcBorders>
            <w:shd w:val="clear" w:color="auto" w:fill="auto"/>
            <w:tcMar>
              <w:top w:w="15" w:type="dxa"/>
              <w:left w:w="15" w:type="dxa"/>
              <w:bottom w:w="0" w:type="dxa"/>
              <w:right w:w="15" w:type="dxa"/>
            </w:tcMar>
            <w:vAlign w:val="bottom"/>
            <w:hideMark/>
          </w:tcPr>
          <w:p w14:paraId="103D5014"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0.628</w:t>
            </w:r>
          </w:p>
        </w:tc>
      </w:tr>
      <w:tr w:rsidR="00EA1B48" w14:paraId="750D3CAA" w14:textId="77777777" w:rsidTr="00EA1B48">
        <w:trPr>
          <w:trHeight w:val="166"/>
        </w:trPr>
        <w:tc>
          <w:tcPr>
            <w:tcW w:w="2296" w:type="dxa"/>
            <w:tcBorders>
              <w:top w:val="nil"/>
              <w:left w:val="nil"/>
              <w:bottom w:val="single" w:sz="4" w:space="0" w:color="auto"/>
              <w:right w:val="nil"/>
            </w:tcBorders>
            <w:shd w:val="clear" w:color="auto" w:fill="auto"/>
            <w:tcMar>
              <w:top w:w="15" w:type="dxa"/>
              <w:left w:w="108" w:type="dxa"/>
              <w:bottom w:w="0" w:type="dxa"/>
              <w:right w:w="108" w:type="dxa"/>
            </w:tcMar>
            <w:vAlign w:val="bottom"/>
            <w:hideMark/>
          </w:tcPr>
          <w:p w14:paraId="77910F4C"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Acute kidney injury, n (%)</w:t>
            </w:r>
          </w:p>
        </w:tc>
        <w:tc>
          <w:tcPr>
            <w:tcW w:w="2129" w:type="dxa"/>
            <w:gridSpan w:val="2"/>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1304CF0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57 (30.5)</w:t>
            </w:r>
          </w:p>
        </w:tc>
        <w:tc>
          <w:tcPr>
            <w:tcW w:w="1758"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3A86C8C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69 (42.3)</w:t>
            </w:r>
          </w:p>
        </w:tc>
        <w:tc>
          <w:tcPr>
            <w:tcW w:w="1754"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5FD0A16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91 (35.1)</w:t>
            </w:r>
          </w:p>
        </w:tc>
        <w:tc>
          <w:tcPr>
            <w:tcW w:w="1441"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61CDC27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134 (47.9)</w:t>
            </w:r>
          </w:p>
        </w:tc>
        <w:tc>
          <w:tcPr>
            <w:tcW w:w="889"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DAA3057"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0.001</w:t>
            </w:r>
          </w:p>
        </w:tc>
      </w:tr>
    </w:tbl>
    <w:p w14:paraId="572F568C" w14:textId="77777777" w:rsidR="00EA1B48" w:rsidRDefault="00EA1B48" w:rsidP="00EA1B48">
      <w:pPr>
        <w:rPr>
          <w:rFonts w:cstheme="minorHAnsi"/>
          <w:sz w:val="16"/>
          <w:szCs w:val="16"/>
          <w:lang w:val="en-GB"/>
        </w:rPr>
      </w:pPr>
      <w:r w:rsidRPr="00525A9B">
        <w:rPr>
          <w:rFonts w:cstheme="minorHAnsi"/>
          <w:sz w:val="16"/>
          <w:szCs w:val="16"/>
          <w:lang w:val="en-GB"/>
        </w:rPr>
        <w:t>Abbreviations: BMI: Body Mass Index, APACHE IV APS: Acute Physiology and Chronic Health Evaluation IV Acute Physiolog</w:t>
      </w:r>
      <w:r w:rsidRPr="00D24AFA">
        <w:rPr>
          <w:rFonts w:cstheme="minorHAnsi"/>
          <w:sz w:val="16"/>
          <w:szCs w:val="16"/>
          <w:lang w:val="en-GB"/>
        </w:rPr>
        <w:t xml:space="preserve">y score, SOFA: Sequential Organ </w:t>
      </w:r>
      <w:r w:rsidRPr="00525A9B">
        <w:rPr>
          <w:rFonts w:cstheme="minorHAnsi"/>
          <w:sz w:val="16"/>
          <w:szCs w:val="16"/>
          <w:lang w:val="en-GB"/>
        </w:rPr>
        <w:t xml:space="preserve">Failure Score, ARDS: acute respiratory distress syndrome. </w:t>
      </w:r>
      <w:r>
        <w:rPr>
          <w:rFonts w:cstheme="minorHAnsi"/>
          <w:sz w:val="16"/>
          <w:szCs w:val="16"/>
          <w:lang w:val="en-GB"/>
        </w:rPr>
        <w:br/>
      </w:r>
      <w:r w:rsidRPr="00525A9B">
        <w:rPr>
          <w:rFonts w:cstheme="minorHAnsi"/>
          <w:sz w:val="16"/>
          <w:szCs w:val="16"/>
          <w:lang w:val="en-GB"/>
        </w:rPr>
        <w:t>*</w:t>
      </w:r>
      <w:r w:rsidRPr="00525A9B">
        <w:rPr>
          <w:rFonts w:cstheme="minorHAnsi"/>
          <w:sz w:val="16"/>
          <w:szCs w:val="16"/>
          <w:vertAlign w:val="superscript"/>
          <w:lang w:val="en-GB"/>
        </w:rPr>
        <w:t xml:space="preserve"> </w:t>
      </w:r>
      <w:r w:rsidRPr="00525A9B">
        <w:rPr>
          <w:rFonts w:cstheme="minorHAnsi"/>
          <w:sz w:val="16"/>
          <w:szCs w:val="16"/>
          <w:lang w:val="en-GB"/>
        </w:rPr>
        <w:t xml:space="preserve"> The </w:t>
      </w:r>
      <w:proofErr w:type="spellStart"/>
      <w:r w:rsidRPr="00525A9B">
        <w:rPr>
          <w:rFonts w:cstheme="minorHAnsi"/>
          <w:sz w:val="16"/>
          <w:szCs w:val="16"/>
          <w:lang w:val="en-GB"/>
        </w:rPr>
        <w:t>Charlson</w:t>
      </w:r>
      <w:proofErr w:type="spellEnd"/>
      <w:r w:rsidRPr="00525A9B">
        <w:rPr>
          <w:rFonts w:cstheme="minorHAnsi"/>
          <w:sz w:val="16"/>
          <w:szCs w:val="16"/>
          <w:lang w:val="en-GB"/>
        </w:rPr>
        <w:t xml:space="preserve"> score was calcu</w:t>
      </w:r>
      <w:r w:rsidRPr="00D24AFA">
        <w:rPr>
          <w:rFonts w:cstheme="minorHAnsi"/>
          <w:sz w:val="16"/>
          <w:szCs w:val="16"/>
          <w:lang w:val="en-GB"/>
        </w:rPr>
        <w:t>lated without the age component</w:t>
      </w:r>
      <w:r w:rsidRPr="00D24AFA">
        <w:rPr>
          <w:rFonts w:cstheme="minorHAnsi"/>
          <w:sz w:val="16"/>
          <w:szCs w:val="16"/>
          <w:lang w:val="en-GB"/>
        </w:rPr>
        <w:br/>
      </w:r>
      <w:r w:rsidRPr="00525A9B">
        <w:rPr>
          <w:rFonts w:ascii="Open Sans" w:hAnsi="Open Sans" w:cs="Open Sans"/>
          <w:color w:val="666666"/>
          <w:sz w:val="16"/>
          <w:szCs w:val="16"/>
          <w:lang w:val="en-GB"/>
        </w:rPr>
        <w:t>†</w:t>
      </w:r>
      <w:r w:rsidRPr="00525A9B">
        <w:rPr>
          <w:rFonts w:cstheme="minorHAnsi"/>
          <w:sz w:val="16"/>
          <w:szCs w:val="16"/>
          <w:lang w:val="en-GB"/>
        </w:rPr>
        <w:t xml:space="preserve">  Other infection sites consisted of infections of bones and joints, the reproductive tract, mediastinum, the ear, throat or mouth. </w:t>
      </w:r>
      <w:r w:rsidRPr="00D24AFA">
        <w:rPr>
          <w:rFonts w:cstheme="minorHAnsi"/>
          <w:sz w:val="16"/>
          <w:szCs w:val="16"/>
          <w:lang w:val="en-GB"/>
        </w:rPr>
        <w:br/>
      </w:r>
      <w:r w:rsidRPr="00525A9B">
        <w:rPr>
          <w:rFonts w:ascii="Open Sans" w:hAnsi="Open Sans" w:cs="Open Sans"/>
          <w:color w:val="666666"/>
          <w:sz w:val="16"/>
          <w:szCs w:val="16"/>
          <w:lang w:val="en-GB"/>
        </w:rPr>
        <w:t>‡</w:t>
      </w:r>
      <w:r w:rsidRPr="00525A9B">
        <w:rPr>
          <w:rFonts w:cstheme="minorHAnsi"/>
          <w:sz w:val="16"/>
          <w:szCs w:val="16"/>
          <w:lang w:val="en-GB"/>
        </w:rPr>
        <w:t xml:space="preserve">  Unknown site of infection consisted of infections of unknown source, systemic viral infe</w:t>
      </w:r>
      <w:r>
        <w:rPr>
          <w:rFonts w:cstheme="minorHAnsi"/>
          <w:sz w:val="16"/>
          <w:szCs w:val="16"/>
          <w:lang w:val="en-GB"/>
        </w:rPr>
        <w:t xml:space="preserve">ctions, and primary </w:t>
      </w:r>
      <w:proofErr w:type="spellStart"/>
      <w:r>
        <w:rPr>
          <w:rFonts w:cstheme="minorHAnsi"/>
          <w:sz w:val="16"/>
          <w:szCs w:val="16"/>
          <w:lang w:val="en-GB"/>
        </w:rPr>
        <w:t>bacteremia</w:t>
      </w:r>
      <w:proofErr w:type="spellEnd"/>
      <w:r>
        <w:rPr>
          <w:rFonts w:cstheme="minorHAnsi"/>
          <w:sz w:val="16"/>
          <w:szCs w:val="16"/>
          <w:lang w:val="en-GB"/>
        </w:rPr>
        <w:t>.</w:t>
      </w:r>
      <w:r w:rsidRPr="00D24AFA">
        <w:rPr>
          <w:rFonts w:cstheme="minorHAnsi"/>
          <w:sz w:val="16"/>
          <w:szCs w:val="16"/>
          <w:lang w:val="en-GB"/>
        </w:rPr>
        <w:br/>
      </w:r>
      <w:r w:rsidRPr="00525A9B">
        <w:rPr>
          <w:rFonts w:ascii="Open Sans" w:hAnsi="Open Sans" w:cs="Open Sans"/>
          <w:color w:val="666666"/>
          <w:sz w:val="16"/>
          <w:szCs w:val="16"/>
          <w:lang w:val="en-GB"/>
        </w:rPr>
        <w:t>§</w:t>
      </w:r>
      <w:r w:rsidRPr="00525A9B">
        <w:rPr>
          <w:rFonts w:cstheme="minorHAnsi"/>
          <w:sz w:val="16"/>
          <w:szCs w:val="16"/>
          <w:lang w:val="en-GB"/>
        </w:rPr>
        <w:t xml:space="preserve"> Causative organisms of the primary site of infection do not add up to 100% as some patients suffered from multiple </w:t>
      </w:r>
      <w:r w:rsidRPr="00D24AFA">
        <w:rPr>
          <w:rFonts w:cstheme="minorHAnsi"/>
          <w:sz w:val="16"/>
          <w:szCs w:val="16"/>
          <w:lang w:val="en-GB"/>
        </w:rPr>
        <w:t>pathogens at the primary</w:t>
      </w:r>
      <w:r>
        <w:rPr>
          <w:rFonts w:cstheme="minorHAnsi"/>
          <w:sz w:val="16"/>
          <w:szCs w:val="16"/>
          <w:lang w:val="en-GB"/>
        </w:rPr>
        <w:t xml:space="preserve"> </w:t>
      </w:r>
      <w:r w:rsidRPr="00D24AFA">
        <w:rPr>
          <w:rFonts w:cstheme="minorHAnsi"/>
          <w:sz w:val="16"/>
          <w:szCs w:val="16"/>
          <w:lang w:val="en-GB"/>
        </w:rPr>
        <w:t xml:space="preserve">site. </w:t>
      </w:r>
      <w:r w:rsidRPr="00D24AFA">
        <w:rPr>
          <w:rFonts w:cstheme="minorHAnsi"/>
          <w:sz w:val="16"/>
          <w:szCs w:val="16"/>
          <w:lang w:val="en-GB"/>
        </w:rPr>
        <w:br/>
      </w:r>
      <w:proofErr w:type="spellStart"/>
      <w:r w:rsidRPr="00525A9B">
        <w:rPr>
          <w:rFonts w:ascii="Open Sans" w:hAnsi="Open Sans" w:cs="Open Sans"/>
          <w:color w:val="666666"/>
          <w:sz w:val="16"/>
          <w:szCs w:val="16"/>
          <w:lang w:val="en-GB"/>
        </w:rPr>
        <w:t>ll</w:t>
      </w:r>
      <w:proofErr w:type="spellEnd"/>
      <w:r w:rsidRPr="00525A9B">
        <w:rPr>
          <w:rFonts w:cstheme="minorHAnsi"/>
          <w:sz w:val="16"/>
          <w:szCs w:val="16"/>
          <w:vertAlign w:val="superscript"/>
          <w:lang w:val="en-GB"/>
        </w:rPr>
        <w:t xml:space="preserve"> </w:t>
      </w:r>
      <w:r w:rsidRPr="00525A9B">
        <w:rPr>
          <w:rFonts w:cstheme="minorHAnsi"/>
          <w:sz w:val="16"/>
          <w:szCs w:val="16"/>
          <w:lang w:val="en-GB"/>
        </w:rPr>
        <w:t xml:space="preserve"> The SOFA score was calculated without the Central Nervous System component</w:t>
      </w:r>
    </w:p>
    <w:p w14:paraId="6EA90BED" w14:textId="2E543FA4" w:rsidR="00EA1B48" w:rsidRDefault="00C2546F" w:rsidP="00C2546F">
      <w:pPr>
        <w:spacing w:after="200" w:line="276" w:lineRule="auto"/>
        <w:rPr>
          <w:rFonts w:cstheme="minorHAnsi"/>
          <w:color w:val="1F497D" w:themeColor="text2"/>
          <w:sz w:val="18"/>
          <w:szCs w:val="18"/>
          <w:lang w:val="en-GB"/>
        </w:rPr>
      </w:pPr>
      <w:r>
        <w:rPr>
          <w:rFonts w:cstheme="minorHAnsi"/>
          <w:sz w:val="16"/>
          <w:szCs w:val="16"/>
          <w:lang w:val="en-GB"/>
        </w:rPr>
        <w:br w:type="page"/>
      </w:r>
      <w:r w:rsidR="000957F4">
        <w:rPr>
          <w:rFonts w:cstheme="minorHAnsi"/>
          <w:color w:val="1F497D" w:themeColor="text2"/>
          <w:sz w:val="18"/>
          <w:szCs w:val="18"/>
          <w:lang w:val="en-GB"/>
        </w:rPr>
        <w:lastRenderedPageBreak/>
        <w:t>Supplementary</w:t>
      </w:r>
      <w:r w:rsidR="00F96867">
        <w:rPr>
          <w:color w:val="1F497D" w:themeColor="text2"/>
          <w:sz w:val="18"/>
          <w:szCs w:val="18"/>
          <w:lang w:val="en-US"/>
        </w:rPr>
        <w:t xml:space="preserve"> </w:t>
      </w:r>
      <w:r w:rsidR="0047428B">
        <w:rPr>
          <w:color w:val="1F497D" w:themeColor="text2"/>
          <w:sz w:val="18"/>
          <w:szCs w:val="18"/>
          <w:lang w:val="en-US"/>
        </w:rPr>
        <w:t>Table S</w:t>
      </w:r>
      <w:r w:rsidR="00BA05CC">
        <w:rPr>
          <w:color w:val="1F497D" w:themeColor="text2"/>
          <w:sz w:val="18"/>
          <w:szCs w:val="18"/>
          <w:lang w:val="en-US"/>
        </w:rPr>
        <w:t>3</w:t>
      </w:r>
      <w:r w:rsidR="00217043" w:rsidRPr="00217043">
        <w:rPr>
          <w:color w:val="1F497D" w:themeColor="text2"/>
          <w:sz w:val="18"/>
          <w:szCs w:val="18"/>
          <w:lang w:val="en-US"/>
        </w:rPr>
        <w:t xml:space="preserve">: </w:t>
      </w:r>
      <w:r w:rsidR="00217043" w:rsidRPr="00217043">
        <w:rPr>
          <w:rFonts w:cstheme="minorHAnsi"/>
          <w:color w:val="1F497D" w:themeColor="text2"/>
          <w:sz w:val="18"/>
          <w:szCs w:val="18"/>
          <w:lang w:val="en-GB"/>
        </w:rPr>
        <w:t>Clinical outcomes of critically ill sepsis patients stratified by age decades (host response biomarker cohort)</w:t>
      </w:r>
    </w:p>
    <w:tbl>
      <w:tblPr>
        <w:tblpPr w:leftFromText="180" w:rightFromText="180" w:vertAnchor="text" w:tblpY="107"/>
        <w:tblW w:w="9205" w:type="dxa"/>
        <w:tblCellMar>
          <w:left w:w="0" w:type="dxa"/>
          <w:right w:w="0" w:type="dxa"/>
        </w:tblCellMar>
        <w:tblLook w:val="04A0" w:firstRow="1" w:lastRow="0" w:firstColumn="1" w:lastColumn="0" w:noHBand="0" w:noVBand="1"/>
      </w:tblPr>
      <w:tblGrid>
        <w:gridCol w:w="1865"/>
        <w:gridCol w:w="1637"/>
        <w:gridCol w:w="1741"/>
        <w:gridCol w:w="1637"/>
        <w:gridCol w:w="1561"/>
        <w:gridCol w:w="764"/>
      </w:tblGrid>
      <w:tr w:rsidR="00EA1B48" w:rsidRPr="00217043" w14:paraId="7DAA332E" w14:textId="77777777" w:rsidTr="00EA1B48">
        <w:trPr>
          <w:trHeight w:val="345"/>
        </w:trPr>
        <w:tc>
          <w:tcPr>
            <w:tcW w:w="1865" w:type="dxa"/>
            <w:tcBorders>
              <w:top w:val="nil"/>
              <w:left w:val="nil"/>
              <w:bottom w:val="nil"/>
              <w:right w:val="nil"/>
            </w:tcBorders>
            <w:shd w:val="clear" w:color="auto" w:fill="auto"/>
            <w:tcMar>
              <w:top w:w="15" w:type="dxa"/>
              <w:left w:w="108" w:type="dxa"/>
              <w:bottom w:w="0" w:type="dxa"/>
              <w:right w:w="108" w:type="dxa"/>
            </w:tcMar>
            <w:hideMark/>
          </w:tcPr>
          <w:p w14:paraId="3F5F1D5A" w14:textId="66DD9B5A" w:rsidR="00EA1B48" w:rsidRPr="00A8105E" w:rsidRDefault="00EA1B48" w:rsidP="00EA1B48">
            <w:pPr>
              <w:pStyle w:val="NoSpacing"/>
              <w:spacing w:line="276" w:lineRule="auto"/>
              <w:ind w:right="-1"/>
              <w:rPr>
                <w:rFonts w:ascii="Arial" w:eastAsia="Times New Roman" w:hAnsi="Arial" w:cs="Arial"/>
                <w:sz w:val="16"/>
                <w:szCs w:val="16"/>
                <w:lang w:eastAsia="en-GB"/>
              </w:rPr>
            </w:pPr>
          </w:p>
        </w:tc>
        <w:tc>
          <w:tcPr>
            <w:tcW w:w="1637"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3EF5CD8D"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lang w:val="en-GB"/>
              </w:rPr>
              <w:t>&lt;50 years</w:t>
            </w:r>
          </w:p>
        </w:tc>
        <w:tc>
          <w:tcPr>
            <w:tcW w:w="1741"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76DB7B7A"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≥50 - &lt;60 years</w:t>
            </w:r>
          </w:p>
        </w:tc>
        <w:tc>
          <w:tcPr>
            <w:tcW w:w="1637"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5D1CEEAE"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≥60 - &lt;70 years</w:t>
            </w:r>
          </w:p>
        </w:tc>
        <w:tc>
          <w:tcPr>
            <w:tcW w:w="1561"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39FD70B0"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w:t>
            </w:r>
            <w:r w:rsidRPr="00217043">
              <w:rPr>
                <w:rFonts w:eastAsia="Times New Roman" w:cstheme="minorHAnsi"/>
                <w:b/>
                <w:color w:val="000000" w:themeColor="text1"/>
                <w:kern w:val="24"/>
                <w:sz w:val="16"/>
                <w:szCs w:val="16"/>
                <w:lang w:eastAsia="en-GB"/>
              </w:rPr>
              <w:t>70 years</w:t>
            </w:r>
          </w:p>
        </w:tc>
        <w:tc>
          <w:tcPr>
            <w:tcW w:w="764"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4AD8E3DB" w14:textId="77777777" w:rsidR="00EA1B48" w:rsidRPr="00217043" w:rsidRDefault="00EA1B48" w:rsidP="00EA1B48">
            <w:pPr>
              <w:pStyle w:val="NoSpacing"/>
              <w:spacing w:line="276" w:lineRule="auto"/>
              <w:ind w:right="-1"/>
              <w:jc w:val="right"/>
              <w:rPr>
                <w:rFonts w:ascii="Arial" w:eastAsia="Times New Roman" w:hAnsi="Arial" w:cs="Arial"/>
                <w:b/>
                <w:sz w:val="16"/>
                <w:szCs w:val="16"/>
                <w:lang w:eastAsia="en-GB"/>
              </w:rPr>
            </w:pPr>
            <w:r w:rsidRPr="00217043">
              <w:rPr>
                <w:rFonts w:eastAsiaTheme="minorEastAsia" w:hAnsi="Calibri"/>
                <w:b/>
                <w:color w:val="000000" w:themeColor="text1"/>
                <w:kern w:val="24"/>
                <w:sz w:val="16"/>
                <w:szCs w:val="16"/>
                <w:lang w:eastAsia="en-GB"/>
              </w:rPr>
              <w:t>p-value</w:t>
            </w:r>
          </w:p>
        </w:tc>
      </w:tr>
      <w:tr w:rsidR="00EA1B48" w:rsidRPr="00A8105E" w14:paraId="71064E5C" w14:textId="77777777" w:rsidTr="00EA1B48">
        <w:trPr>
          <w:trHeight w:val="184"/>
        </w:trPr>
        <w:tc>
          <w:tcPr>
            <w:tcW w:w="186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057A57C3" w14:textId="6484C0AB" w:rsidR="00EA1B48" w:rsidRPr="00A8105E" w:rsidRDefault="00EA1B48" w:rsidP="00EA1B48">
            <w:pPr>
              <w:pStyle w:val="NoSpacing"/>
              <w:spacing w:line="276" w:lineRule="auto"/>
              <w:ind w:right="-1"/>
              <w:rPr>
                <w:rFonts w:ascii="Arial" w:eastAsia="Times New Roman" w:hAnsi="Arial" w:cs="Arial"/>
                <w:sz w:val="16"/>
                <w:szCs w:val="16"/>
                <w:lang w:eastAsia="en-GB"/>
              </w:rPr>
            </w:pPr>
            <w:r w:rsidRPr="0066082B">
              <w:rPr>
                <w:rFonts w:cstheme="minorHAnsi"/>
                <w:sz w:val="16"/>
                <w:szCs w:val="16"/>
              </w:rPr>
              <w:t>n</w:t>
            </w:r>
          </w:p>
        </w:tc>
        <w:tc>
          <w:tcPr>
            <w:tcW w:w="163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185849E" w14:textId="77777777" w:rsidR="00EA1B48" w:rsidRPr="00CC27EF" w:rsidRDefault="00EA1B48" w:rsidP="00EA1B48">
            <w:pPr>
              <w:pStyle w:val="NoSpacing"/>
              <w:spacing w:line="276" w:lineRule="auto"/>
              <w:ind w:right="-1"/>
              <w:jc w:val="center"/>
              <w:rPr>
                <w:rFonts w:ascii="Arial" w:eastAsia="Times New Roman" w:hAnsi="Arial" w:cs="Arial"/>
                <w:sz w:val="16"/>
                <w:szCs w:val="16"/>
                <w:lang w:eastAsia="en-GB"/>
              </w:rPr>
            </w:pPr>
            <w:r w:rsidRPr="00CC27EF">
              <w:rPr>
                <w:rFonts w:ascii="Calibri" w:hAnsi="Calibri" w:cs="Calibri"/>
                <w:color w:val="000000"/>
                <w:sz w:val="16"/>
                <w:szCs w:val="16"/>
              </w:rPr>
              <w:t>187</w:t>
            </w:r>
          </w:p>
        </w:tc>
        <w:tc>
          <w:tcPr>
            <w:tcW w:w="174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A3D84C1" w14:textId="77777777" w:rsidR="00EA1B48" w:rsidRPr="00CC27EF" w:rsidRDefault="00EA1B48" w:rsidP="00EA1B48">
            <w:pPr>
              <w:pStyle w:val="NoSpacing"/>
              <w:spacing w:line="276" w:lineRule="auto"/>
              <w:ind w:right="-1"/>
              <w:jc w:val="center"/>
              <w:rPr>
                <w:rFonts w:ascii="Arial" w:eastAsia="Times New Roman" w:hAnsi="Arial" w:cs="Arial"/>
                <w:sz w:val="16"/>
                <w:szCs w:val="16"/>
                <w:lang w:eastAsia="en-GB"/>
              </w:rPr>
            </w:pPr>
            <w:r w:rsidRPr="00CC27EF">
              <w:rPr>
                <w:rFonts w:ascii="Calibri" w:hAnsi="Calibri" w:cs="Calibri"/>
                <w:color w:val="000000"/>
                <w:sz w:val="16"/>
                <w:szCs w:val="16"/>
              </w:rPr>
              <w:t>163</w:t>
            </w:r>
          </w:p>
        </w:tc>
        <w:tc>
          <w:tcPr>
            <w:tcW w:w="163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651AB468" w14:textId="77777777" w:rsidR="00EA1B48" w:rsidRPr="00CC27EF" w:rsidRDefault="00EA1B48" w:rsidP="00EA1B48">
            <w:pPr>
              <w:pStyle w:val="NoSpacing"/>
              <w:spacing w:line="276" w:lineRule="auto"/>
              <w:ind w:right="-1"/>
              <w:jc w:val="center"/>
              <w:rPr>
                <w:rFonts w:ascii="Arial" w:eastAsia="Times New Roman" w:hAnsi="Arial" w:cs="Arial"/>
                <w:sz w:val="16"/>
                <w:szCs w:val="16"/>
                <w:lang w:eastAsia="en-GB"/>
              </w:rPr>
            </w:pPr>
            <w:r w:rsidRPr="00CC27EF">
              <w:rPr>
                <w:rFonts w:ascii="Calibri" w:hAnsi="Calibri" w:cs="Calibri"/>
                <w:color w:val="000000"/>
                <w:sz w:val="16"/>
                <w:szCs w:val="16"/>
              </w:rPr>
              <w:t>259</w:t>
            </w:r>
          </w:p>
        </w:tc>
        <w:tc>
          <w:tcPr>
            <w:tcW w:w="156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C87E0E2" w14:textId="77777777" w:rsidR="00EA1B48" w:rsidRPr="00CC27EF" w:rsidRDefault="00EA1B48" w:rsidP="00EA1B48">
            <w:pPr>
              <w:pStyle w:val="NoSpacing"/>
              <w:spacing w:line="276" w:lineRule="auto"/>
              <w:ind w:right="-1"/>
              <w:jc w:val="center"/>
              <w:rPr>
                <w:rFonts w:ascii="Arial" w:eastAsia="Times New Roman" w:hAnsi="Arial" w:cs="Arial"/>
                <w:sz w:val="16"/>
                <w:szCs w:val="16"/>
                <w:lang w:eastAsia="en-GB"/>
              </w:rPr>
            </w:pPr>
            <w:r w:rsidRPr="00CC27EF">
              <w:rPr>
                <w:rFonts w:ascii="Calibri" w:hAnsi="Calibri" w:cs="Calibri"/>
                <w:color w:val="000000"/>
                <w:sz w:val="16"/>
                <w:szCs w:val="16"/>
              </w:rPr>
              <w:t>280</w:t>
            </w:r>
          </w:p>
        </w:tc>
        <w:tc>
          <w:tcPr>
            <w:tcW w:w="76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13CB158C" w14:textId="77777777" w:rsidR="00EA1B48" w:rsidRPr="00A8105E" w:rsidRDefault="00EA1B48" w:rsidP="00EA1B48">
            <w:pPr>
              <w:pStyle w:val="NoSpacing"/>
              <w:spacing w:line="276" w:lineRule="auto"/>
              <w:ind w:right="-1"/>
              <w:jc w:val="right"/>
              <w:rPr>
                <w:rFonts w:ascii="Arial" w:eastAsia="Times New Roman" w:hAnsi="Arial" w:cs="Arial"/>
                <w:sz w:val="16"/>
                <w:szCs w:val="16"/>
                <w:lang w:eastAsia="en-GB"/>
              </w:rPr>
            </w:pPr>
            <w:r w:rsidRPr="00A8105E">
              <w:rPr>
                <w:rFonts w:eastAsia="Times New Roman" w:hAnsi="Calibri" w:cs="Calibri"/>
                <w:color w:val="000000" w:themeColor="text1"/>
                <w:kern w:val="24"/>
                <w:sz w:val="16"/>
                <w:szCs w:val="16"/>
                <w:lang w:eastAsia="en-GB"/>
              </w:rPr>
              <w:t> </w:t>
            </w:r>
          </w:p>
        </w:tc>
      </w:tr>
      <w:tr w:rsidR="00EA1B48" w:rsidRPr="00A8105E" w14:paraId="3A4CC584" w14:textId="77777777" w:rsidTr="00EA1B48">
        <w:trPr>
          <w:trHeight w:val="171"/>
        </w:trPr>
        <w:tc>
          <w:tcPr>
            <w:tcW w:w="8441" w:type="dxa"/>
            <w:gridSpan w:val="5"/>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14:paraId="19F90999" w14:textId="5DC8B0C5"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ICU-acquired complications, n (%)</w:t>
            </w:r>
          </w:p>
        </w:tc>
        <w:tc>
          <w:tcPr>
            <w:tcW w:w="7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01F1F4E6" w14:textId="77777777" w:rsidR="00EA1B48" w:rsidRPr="00A8105E" w:rsidRDefault="00EA1B48" w:rsidP="00EA1B48">
            <w:pPr>
              <w:pStyle w:val="NoSpacing"/>
              <w:spacing w:line="276" w:lineRule="auto"/>
              <w:ind w:right="-1"/>
              <w:jc w:val="right"/>
              <w:rPr>
                <w:rFonts w:ascii="Arial" w:eastAsia="Times New Roman" w:hAnsi="Arial" w:cs="Arial"/>
                <w:sz w:val="16"/>
                <w:szCs w:val="16"/>
                <w:lang w:eastAsia="en-GB"/>
              </w:rPr>
            </w:pPr>
            <w:r w:rsidRPr="00A8105E">
              <w:rPr>
                <w:rFonts w:eastAsia="Times New Roman" w:hAnsi="Calibri" w:cs="Calibri"/>
                <w:color w:val="000000" w:themeColor="text1"/>
                <w:kern w:val="24"/>
                <w:sz w:val="16"/>
                <w:szCs w:val="16"/>
                <w:lang w:eastAsia="en-GB"/>
              </w:rPr>
              <w:t> </w:t>
            </w:r>
          </w:p>
        </w:tc>
      </w:tr>
      <w:tr w:rsidR="00EA1B48" w14:paraId="37FC141B" w14:textId="77777777" w:rsidTr="00EA1B48">
        <w:trPr>
          <w:trHeight w:val="184"/>
        </w:trPr>
        <w:tc>
          <w:tcPr>
            <w:tcW w:w="186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2E422802" w14:textId="60033B9E"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Shock</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B05910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29 (15.5)</w:t>
            </w:r>
          </w:p>
        </w:tc>
        <w:tc>
          <w:tcPr>
            <w:tcW w:w="17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F9A354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26 (16.0)</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9FBB0C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55 (21.2)</w:t>
            </w:r>
          </w:p>
        </w:tc>
        <w:tc>
          <w:tcPr>
            <w:tcW w:w="156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7BA7C8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44 (15.7)</w:t>
            </w:r>
          </w:p>
        </w:tc>
        <w:tc>
          <w:tcPr>
            <w:tcW w:w="76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848B2B2"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0.270</w:t>
            </w:r>
          </w:p>
        </w:tc>
      </w:tr>
      <w:tr w:rsidR="00EA1B48" w14:paraId="112F456A"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5C9C278C" w14:textId="2D3E16AE"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ARDS</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6DA61A9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(4.8)</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1857394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(6.1)</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653CF63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(4.2)</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6EBF6AC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 (5.0)</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406F8432"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0.857</w:t>
            </w:r>
          </w:p>
        </w:tc>
      </w:tr>
      <w:tr w:rsidR="00EA1B48" w14:paraId="376252C2"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5D869F6A" w14:textId="01A3CE56"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Acute kidney injury</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109E904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 (7.5)</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2E11EDC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(6.1)</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00DBBA0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35 (13.5)</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087D0E2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19 (6.8)</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409536C1"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0.015</w:t>
            </w:r>
          </w:p>
        </w:tc>
      </w:tr>
      <w:tr w:rsidR="00EA1B48" w14:paraId="07C2C67F" w14:textId="77777777" w:rsidTr="00EA1B48">
        <w:trPr>
          <w:trHeight w:val="184"/>
        </w:trPr>
        <w:tc>
          <w:tcPr>
            <w:tcW w:w="186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520DA6F4" w14:textId="286AF78A"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ICU-acquired infections </w:t>
            </w:r>
          </w:p>
        </w:tc>
        <w:tc>
          <w:tcPr>
            <w:tcW w:w="1637"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70CACD9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20 (10.7)</w:t>
            </w:r>
          </w:p>
        </w:tc>
        <w:tc>
          <w:tcPr>
            <w:tcW w:w="1741"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F3EB3E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21 (12.9)</w:t>
            </w:r>
          </w:p>
        </w:tc>
        <w:tc>
          <w:tcPr>
            <w:tcW w:w="1637"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387D99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28 (10.8)</w:t>
            </w:r>
          </w:p>
        </w:tc>
        <w:tc>
          <w:tcPr>
            <w:tcW w:w="1561"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5DB4472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33 (11.8)</w:t>
            </w:r>
          </w:p>
        </w:tc>
        <w:tc>
          <w:tcPr>
            <w:tcW w:w="76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681BA62C"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0.903</w:t>
            </w:r>
          </w:p>
        </w:tc>
      </w:tr>
      <w:tr w:rsidR="00EA1B48" w:rsidRPr="00D067B4" w14:paraId="4943C0D0" w14:textId="77777777" w:rsidTr="00EA1B48">
        <w:trPr>
          <w:trHeight w:val="171"/>
        </w:trPr>
        <w:tc>
          <w:tcPr>
            <w:tcW w:w="9205" w:type="dxa"/>
            <w:gridSpan w:val="6"/>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14:paraId="5645A7D0" w14:textId="6A5B653E"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C2546F">
              <w:rPr>
                <w:rFonts w:cstheme="minorHAnsi"/>
                <w:b/>
                <w:sz w:val="16"/>
                <w:szCs w:val="16"/>
                <w:lang w:val="en-GB"/>
              </w:rPr>
              <w:t>Length of stay, median [IQR]</w:t>
            </w:r>
          </w:p>
        </w:tc>
      </w:tr>
      <w:tr w:rsidR="00EA1B48" w14:paraId="28D65D04" w14:textId="77777777" w:rsidTr="00EA1B48">
        <w:trPr>
          <w:trHeight w:val="184"/>
        </w:trPr>
        <w:tc>
          <w:tcPr>
            <w:tcW w:w="186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4748B4C4" w14:textId="4FBDFA33" w:rsidR="00EA1B48" w:rsidRPr="001E29C1" w:rsidRDefault="00D21BCC" w:rsidP="00EA1B48">
            <w:pPr>
              <w:pStyle w:val="NoSpacing"/>
              <w:spacing w:line="276" w:lineRule="auto"/>
              <w:ind w:right="-1"/>
              <w:rPr>
                <w:rFonts w:ascii="Arial" w:eastAsia="Times New Roman" w:hAnsi="Arial" w:cs="Arial"/>
                <w:b/>
                <w:sz w:val="16"/>
                <w:szCs w:val="16"/>
                <w:vertAlign w:val="superscript"/>
                <w:lang w:eastAsia="en-GB"/>
              </w:rPr>
            </w:pPr>
            <w:r>
              <w:rPr>
                <w:rFonts w:cstheme="minorHAnsi"/>
                <w:b/>
                <w:sz w:val="16"/>
                <w:szCs w:val="16"/>
              </w:rPr>
              <w:t>ICU stay, days *</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B4BAEC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4.19 [1.73, 10.50]</w:t>
            </w:r>
          </w:p>
        </w:tc>
        <w:tc>
          <w:tcPr>
            <w:tcW w:w="17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17DC20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6.05 [2.82, 10.97]</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089019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4.85 [2.06, 9.79]</w:t>
            </w:r>
          </w:p>
        </w:tc>
        <w:tc>
          <w:tcPr>
            <w:tcW w:w="156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30F24D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4.82 [2.25, 9.51]</w:t>
            </w:r>
          </w:p>
        </w:tc>
        <w:tc>
          <w:tcPr>
            <w:tcW w:w="76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7065421"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0.221</w:t>
            </w:r>
          </w:p>
        </w:tc>
      </w:tr>
      <w:tr w:rsidR="00EA1B48" w14:paraId="4EEE0856"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42BB32ED" w14:textId="322A6AB6" w:rsidR="00EA1B48" w:rsidRPr="001E29C1" w:rsidRDefault="00EA1B48" w:rsidP="00EA1B48">
            <w:pPr>
              <w:pStyle w:val="NoSpacing"/>
              <w:spacing w:line="276" w:lineRule="auto"/>
              <w:ind w:right="-1"/>
              <w:rPr>
                <w:rFonts w:ascii="Arial" w:eastAsia="Times New Roman" w:hAnsi="Arial" w:cs="Arial"/>
                <w:b/>
                <w:sz w:val="16"/>
                <w:szCs w:val="16"/>
                <w:vertAlign w:val="superscript"/>
                <w:lang w:eastAsia="en-GB"/>
              </w:rPr>
            </w:pPr>
            <w:r w:rsidRPr="0066082B">
              <w:rPr>
                <w:rFonts w:cstheme="minorHAnsi"/>
                <w:b/>
                <w:sz w:val="16"/>
                <w:szCs w:val="16"/>
              </w:rPr>
              <w:t>Hospital stay, days †</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229D8B1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24.35 [9.75, 45.52]</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10ED8E6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26.30 [13.39, 43.37]</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047DD7B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22.14 [13.53, 47.21]</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6AC98BC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20.27 [12.06, 35.96]</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51052F22"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0.419</w:t>
            </w:r>
          </w:p>
        </w:tc>
      </w:tr>
      <w:tr w:rsidR="00EA1B48" w:rsidRPr="00A8105E" w14:paraId="7E02227D" w14:textId="77777777" w:rsidTr="00EA1B48">
        <w:trPr>
          <w:trHeight w:val="171"/>
        </w:trPr>
        <w:tc>
          <w:tcPr>
            <w:tcW w:w="186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14:paraId="1CC2B50B" w14:textId="32593A7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Mortality, n (%)</w:t>
            </w:r>
          </w:p>
        </w:tc>
        <w:tc>
          <w:tcPr>
            <w:tcW w:w="1637"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74A82CC0" w14:textId="77777777" w:rsidR="00EA1B48" w:rsidRPr="00A8105E" w:rsidRDefault="00EA1B48" w:rsidP="00EA1B48">
            <w:pPr>
              <w:pStyle w:val="NoSpacing"/>
              <w:spacing w:line="276" w:lineRule="auto"/>
              <w:ind w:right="-1"/>
              <w:jc w:val="center"/>
              <w:rPr>
                <w:rFonts w:ascii="Arial" w:eastAsia="Times New Roman" w:hAnsi="Arial" w:cs="Arial"/>
                <w:sz w:val="16"/>
                <w:szCs w:val="16"/>
                <w:lang w:eastAsia="en-GB"/>
              </w:rPr>
            </w:pPr>
          </w:p>
        </w:tc>
        <w:tc>
          <w:tcPr>
            <w:tcW w:w="1741"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72C9C612" w14:textId="77777777" w:rsidR="00EA1B48" w:rsidRPr="00A8105E" w:rsidRDefault="00EA1B48" w:rsidP="00EA1B48">
            <w:pPr>
              <w:pStyle w:val="NoSpacing"/>
              <w:spacing w:line="276" w:lineRule="auto"/>
              <w:ind w:right="-1"/>
              <w:jc w:val="center"/>
              <w:rPr>
                <w:rFonts w:ascii="Arial" w:eastAsia="Times New Roman" w:hAnsi="Arial" w:cs="Arial"/>
                <w:sz w:val="16"/>
                <w:szCs w:val="16"/>
                <w:lang w:eastAsia="en-GB"/>
              </w:rPr>
            </w:pPr>
          </w:p>
        </w:tc>
        <w:tc>
          <w:tcPr>
            <w:tcW w:w="1637"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41C0985A" w14:textId="77777777" w:rsidR="00EA1B48" w:rsidRPr="00A8105E" w:rsidRDefault="00EA1B48" w:rsidP="00EA1B48">
            <w:pPr>
              <w:pStyle w:val="NoSpacing"/>
              <w:spacing w:line="276" w:lineRule="auto"/>
              <w:ind w:right="-1"/>
              <w:jc w:val="center"/>
              <w:rPr>
                <w:rFonts w:ascii="Arial" w:eastAsia="Times New Roman" w:hAnsi="Arial" w:cs="Arial"/>
                <w:sz w:val="16"/>
                <w:szCs w:val="16"/>
                <w:lang w:eastAsia="en-GB"/>
              </w:rPr>
            </w:pPr>
          </w:p>
        </w:tc>
        <w:tc>
          <w:tcPr>
            <w:tcW w:w="1561"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14A17942" w14:textId="77777777" w:rsidR="00EA1B48" w:rsidRPr="00A8105E" w:rsidRDefault="00EA1B48" w:rsidP="00EA1B48">
            <w:pPr>
              <w:pStyle w:val="NoSpacing"/>
              <w:spacing w:line="276" w:lineRule="auto"/>
              <w:ind w:right="-1"/>
              <w:jc w:val="center"/>
              <w:rPr>
                <w:rFonts w:ascii="Arial" w:eastAsia="Times New Roman" w:hAnsi="Arial" w:cs="Arial"/>
                <w:sz w:val="16"/>
                <w:szCs w:val="16"/>
                <w:lang w:eastAsia="en-GB"/>
              </w:rPr>
            </w:pPr>
          </w:p>
        </w:tc>
        <w:tc>
          <w:tcPr>
            <w:tcW w:w="76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11B5942C" w14:textId="77777777" w:rsidR="00EA1B48" w:rsidRPr="00A8105E" w:rsidRDefault="00EA1B48" w:rsidP="00EA1B48">
            <w:pPr>
              <w:pStyle w:val="NoSpacing"/>
              <w:spacing w:line="276" w:lineRule="auto"/>
              <w:ind w:right="-1"/>
              <w:jc w:val="right"/>
              <w:rPr>
                <w:rFonts w:ascii="Arial" w:eastAsia="Times New Roman" w:hAnsi="Arial" w:cs="Arial"/>
                <w:sz w:val="16"/>
                <w:szCs w:val="16"/>
                <w:lang w:eastAsia="en-GB"/>
              </w:rPr>
            </w:pPr>
            <w:r w:rsidRPr="00A8105E">
              <w:rPr>
                <w:rFonts w:eastAsia="Times New Roman" w:hAnsi="Calibri" w:cs="Calibri"/>
                <w:color w:val="000000" w:themeColor="text1"/>
                <w:kern w:val="24"/>
                <w:sz w:val="16"/>
                <w:szCs w:val="16"/>
                <w:lang w:eastAsia="en-GB"/>
              </w:rPr>
              <w:t> </w:t>
            </w:r>
          </w:p>
        </w:tc>
      </w:tr>
      <w:tr w:rsidR="00EA1B48" w14:paraId="5BB4D871" w14:textId="77777777" w:rsidTr="00EA1B48">
        <w:trPr>
          <w:trHeight w:val="184"/>
        </w:trPr>
        <w:tc>
          <w:tcPr>
            <w:tcW w:w="186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32F212B1" w14:textId="0D82FAA9"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ICU </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BC3DEC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27 (14.4)</w:t>
            </w:r>
          </w:p>
        </w:tc>
        <w:tc>
          <w:tcPr>
            <w:tcW w:w="17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4454C6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39 (23.9)</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219117C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45 (17.4)</w:t>
            </w:r>
          </w:p>
        </w:tc>
        <w:tc>
          <w:tcPr>
            <w:tcW w:w="156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6494F8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73 (26.1)</w:t>
            </w:r>
          </w:p>
        </w:tc>
        <w:tc>
          <w:tcPr>
            <w:tcW w:w="76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57DF1DF"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olor w:val="000000"/>
                <w:sz w:val="16"/>
                <w:szCs w:val="16"/>
              </w:rPr>
              <w:t>0.007</w:t>
            </w:r>
          </w:p>
        </w:tc>
      </w:tr>
      <w:tr w:rsidR="00EA1B48" w14:paraId="50EB1B99"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43E05E7D" w14:textId="71C92EFE"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Hospital  </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1195A96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40 (21.4)</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359136B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56 (34.4)</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1EEC602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77 (29.8)</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6D31539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113 (40.4)</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1860B421"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olor w:val="000000"/>
                <w:sz w:val="16"/>
                <w:szCs w:val="16"/>
              </w:rPr>
              <w:t>&lt;0.001</w:t>
            </w:r>
          </w:p>
        </w:tc>
      </w:tr>
      <w:tr w:rsidR="00EA1B48" w14:paraId="447524A2"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668E8C9A" w14:textId="3CBE38B2"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Day 30 </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05B4EFD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36 (19.3)</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096233F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51 (31.3)</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1771812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58 (22.5)</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78745B8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109 (38.9)</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22E84A3F"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olor w:val="000000"/>
                <w:sz w:val="16"/>
                <w:szCs w:val="16"/>
              </w:rPr>
              <w:t>&lt;0.001</w:t>
            </w:r>
          </w:p>
        </w:tc>
      </w:tr>
      <w:tr w:rsidR="00EA1B48" w14:paraId="1CBD4AF9"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5D0B3B35" w14:textId="3C8B09A2"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Day 60 </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12EB50B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49 (26.2)</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6884955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57 (35.0)</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4161CCB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78 (30.2)</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5FF6BB4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127 (45.4)</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177C75B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olor w:val="000000"/>
                <w:sz w:val="16"/>
                <w:szCs w:val="16"/>
              </w:rPr>
              <w:t>&lt;0.001</w:t>
            </w:r>
          </w:p>
        </w:tc>
      </w:tr>
      <w:tr w:rsidR="00EA1B48" w14:paraId="6FD0F73A" w14:textId="77777777" w:rsidTr="00EA1B48">
        <w:trPr>
          <w:trHeight w:val="184"/>
        </w:trPr>
        <w:tc>
          <w:tcPr>
            <w:tcW w:w="1865" w:type="dxa"/>
            <w:tcBorders>
              <w:top w:val="nil"/>
              <w:left w:val="nil"/>
              <w:bottom w:val="single" w:sz="4" w:space="0" w:color="auto"/>
              <w:right w:val="nil"/>
            </w:tcBorders>
            <w:shd w:val="clear" w:color="auto" w:fill="auto"/>
            <w:tcMar>
              <w:top w:w="15" w:type="dxa"/>
              <w:left w:w="108" w:type="dxa"/>
              <w:bottom w:w="0" w:type="dxa"/>
              <w:right w:w="108" w:type="dxa"/>
            </w:tcMar>
            <w:hideMark/>
          </w:tcPr>
          <w:p w14:paraId="24F1E33D" w14:textId="611BDE7F"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Day 90 </w:t>
            </w:r>
          </w:p>
        </w:tc>
        <w:tc>
          <w:tcPr>
            <w:tcW w:w="1637"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6EA7582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55 (29.4)</w:t>
            </w:r>
          </w:p>
        </w:tc>
        <w:tc>
          <w:tcPr>
            <w:tcW w:w="1741"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4EDA47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65 (39.9)</w:t>
            </w:r>
          </w:p>
        </w:tc>
        <w:tc>
          <w:tcPr>
            <w:tcW w:w="1637"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4BCB2A0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88 (34.1)</w:t>
            </w:r>
          </w:p>
        </w:tc>
        <w:tc>
          <w:tcPr>
            <w:tcW w:w="1561"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4C18C66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olor w:val="000000"/>
                <w:sz w:val="16"/>
                <w:szCs w:val="16"/>
              </w:rPr>
              <w:t>137 (48.9)</w:t>
            </w:r>
          </w:p>
        </w:tc>
        <w:tc>
          <w:tcPr>
            <w:tcW w:w="764"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6D805886"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olor w:val="000000"/>
                <w:sz w:val="16"/>
                <w:szCs w:val="16"/>
              </w:rPr>
              <w:t>&lt;0.001</w:t>
            </w:r>
          </w:p>
        </w:tc>
      </w:tr>
      <w:tr w:rsidR="00EA1B48" w:rsidRPr="00D067B4" w14:paraId="3CBAA9DD" w14:textId="77777777" w:rsidTr="00EA1B48">
        <w:trPr>
          <w:trHeight w:val="184"/>
        </w:trPr>
        <w:tc>
          <w:tcPr>
            <w:tcW w:w="9205" w:type="dxa"/>
            <w:gridSpan w:val="6"/>
            <w:tcBorders>
              <w:top w:val="single" w:sz="4" w:space="0" w:color="auto"/>
              <w:left w:val="nil"/>
              <w:right w:val="nil"/>
            </w:tcBorders>
            <w:shd w:val="clear" w:color="auto" w:fill="auto"/>
            <w:tcMar>
              <w:top w:w="15" w:type="dxa"/>
              <w:left w:w="108" w:type="dxa"/>
              <w:bottom w:w="0" w:type="dxa"/>
              <w:right w:w="108" w:type="dxa"/>
            </w:tcMar>
          </w:tcPr>
          <w:p w14:paraId="63776222" w14:textId="77777777" w:rsidR="00EA1B48" w:rsidRPr="00C2546F" w:rsidRDefault="00EA1B48" w:rsidP="00EA1B48">
            <w:pPr>
              <w:spacing w:after="0" w:line="240" w:lineRule="auto"/>
              <w:rPr>
                <w:rFonts w:cstheme="minorHAnsi"/>
                <w:sz w:val="16"/>
                <w:szCs w:val="16"/>
                <w:lang w:val="en-GB"/>
              </w:rPr>
            </w:pPr>
            <w:r w:rsidRPr="00C2546F">
              <w:rPr>
                <w:rFonts w:cstheme="minorHAnsi"/>
                <w:sz w:val="16"/>
                <w:szCs w:val="16"/>
                <w:lang w:val="en-GB"/>
              </w:rPr>
              <w:t>Abbreviations: ARDS: acute respiratory distress syndrome, ICU: intensive care.</w:t>
            </w:r>
            <w:r w:rsidRPr="00C2546F">
              <w:rPr>
                <w:rFonts w:cstheme="minorHAnsi"/>
                <w:sz w:val="16"/>
                <w:szCs w:val="16"/>
                <w:lang w:val="en-GB"/>
              </w:rPr>
              <w:br/>
              <w:t>* Length of ICU stay was only calculated in those who survived the entire ICU admission</w:t>
            </w:r>
          </w:p>
          <w:p w14:paraId="31023511" w14:textId="75FCA4FD" w:rsidR="00EA1B48" w:rsidRPr="00E5263B" w:rsidRDefault="00EA1B48" w:rsidP="00EA1B48">
            <w:pPr>
              <w:spacing w:line="276" w:lineRule="auto"/>
              <w:ind w:right="-1"/>
              <w:rPr>
                <w:rFonts w:ascii="Calibri" w:hAnsi="Calibri"/>
                <w:color w:val="000000"/>
                <w:sz w:val="16"/>
                <w:szCs w:val="16"/>
                <w:lang w:val="en-GB"/>
              </w:rPr>
            </w:pPr>
            <w:r w:rsidRPr="00C2546F">
              <w:rPr>
                <w:rFonts w:cstheme="minorHAnsi"/>
                <w:sz w:val="16"/>
                <w:szCs w:val="16"/>
                <w:lang w:val="en-GB"/>
              </w:rPr>
              <w:t>† Length of hospital was only calculated in those who survived the entire hospital admission</w:t>
            </w:r>
          </w:p>
        </w:tc>
      </w:tr>
    </w:tbl>
    <w:p w14:paraId="096AAC49" w14:textId="77777777" w:rsidR="00EA1B48" w:rsidRPr="00C2546F" w:rsidRDefault="00EA1B48" w:rsidP="00C2546F">
      <w:pPr>
        <w:spacing w:after="200" w:line="276" w:lineRule="auto"/>
        <w:rPr>
          <w:rFonts w:cstheme="minorHAnsi"/>
          <w:sz w:val="16"/>
          <w:szCs w:val="16"/>
          <w:lang w:val="en-GB"/>
        </w:rPr>
      </w:pPr>
    </w:p>
    <w:p w14:paraId="010AA6EE" w14:textId="3525E4BC" w:rsidR="00217043" w:rsidRPr="0066082B" w:rsidRDefault="00217043" w:rsidP="00E97A75">
      <w:pPr>
        <w:spacing w:line="276" w:lineRule="auto"/>
        <w:ind w:right="-568"/>
        <w:rPr>
          <w:rFonts w:cstheme="minorHAnsi"/>
          <w:color w:val="1F497D" w:themeColor="text2"/>
          <w:sz w:val="16"/>
          <w:szCs w:val="16"/>
          <w:lang w:val="en-GB"/>
        </w:rPr>
      </w:pPr>
    </w:p>
    <w:p w14:paraId="3781A6C5" w14:textId="044A56EC" w:rsidR="001B0952" w:rsidRPr="00C54A1D" w:rsidRDefault="001B0952" w:rsidP="00C54A1D">
      <w:pPr>
        <w:spacing w:after="200" w:line="276" w:lineRule="auto"/>
        <w:rPr>
          <w:rFonts w:asciiTheme="majorHAnsi" w:eastAsiaTheme="majorEastAsia" w:hAnsiTheme="majorHAnsi" w:cstheme="majorBidi"/>
          <w:color w:val="365F91" w:themeColor="accent1" w:themeShade="BF"/>
          <w:sz w:val="26"/>
          <w:szCs w:val="26"/>
          <w:lang w:val="en-GB"/>
        </w:rPr>
      </w:pPr>
    </w:p>
    <w:p w14:paraId="7C1D2CBF" w14:textId="74F681B1" w:rsidR="001B0952" w:rsidRDefault="001B0952" w:rsidP="00E97A75">
      <w:pPr>
        <w:spacing w:line="276" w:lineRule="auto"/>
        <w:ind w:right="-568"/>
        <w:rPr>
          <w:sz w:val="16"/>
          <w:szCs w:val="16"/>
          <w:lang w:val="en-US"/>
        </w:rPr>
      </w:pPr>
      <w:r>
        <w:rPr>
          <w:rFonts w:cstheme="minorHAnsi"/>
          <w:color w:val="1F497D" w:themeColor="text2"/>
          <w:sz w:val="18"/>
          <w:szCs w:val="18"/>
          <w:lang w:val="en-GB"/>
        </w:rPr>
        <w:t xml:space="preserve"> </w:t>
      </w:r>
    </w:p>
    <w:p w14:paraId="025D7876" w14:textId="77777777" w:rsidR="00371683" w:rsidRDefault="00371683">
      <w:pPr>
        <w:spacing w:after="200" w:line="276" w:lineRule="auto"/>
        <w:rPr>
          <w:sz w:val="16"/>
          <w:szCs w:val="16"/>
          <w:vertAlign w:val="superscript"/>
          <w:lang w:val="en-US"/>
        </w:rPr>
      </w:pPr>
      <w:r>
        <w:rPr>
          <w:sz w:val="16"/>
          <w:szCs w:val="16"/>
          <w:vertAlign w:val="superscript"/>
          <w:lang w:val="en-US"/>
        </w:rPr>
        <w:br w:type="page"/>
      </w:r>
    </w:p>
    <w:p w14:paraId="36384E35" w14:textId="4C57B6B7" w:rsidR="00371683" w:rsidRPr="00EB0D35" w:rsidRDefault="00371683" w:rsidP="00EB0D35">
      <w:pPr>
        <w:pStyle w:val="Heading2"/>
        <w:numPr>
          <w:ilvl w:val="0"/>
          <w:numId w:val="2"/>
        </w:numPr>
        <w:rPr>
          <w:lang w:val="en-GB"/>
        </w:rPr>
      </w:pPr>
      <w:bookmarkStart w:id="54" w:name="_Toc115709541"/>
      <w:r w:rsidRPr="00EB0D35">
        <w:rPr>
          <w:lang w:val="en-GB"/>
        </w:rPr>
        <w:lastRenderedPageBreak/>
        <w:t>Association of ageing with biomarker concentrations after correcting for baseline disease severity</w:t>
      </w:r>
      <w:bookmarkEnd w:id="54"/>
    </w:p>
    <w:p w14:paraId="291D05D2" w14:textId="141A246C" w:rsidR="00371683" w:rsidRPr="00364760" w:rsidRDefault="00371683" w:rsidP="00371683">
      <w:pPr>
        <w:spacing w:line="276" w:lineRule="auto"/>
        <w:ind w:right="-568"/>
        <w:rPr>
          <w:rFonts w:cstheme="minorHAnsi"/>
          <w:color w:val="1F497D" w:themeColor="text2"/>
          <w:sz w:val="18"/>
          <w:szCs w:val="18"/>
          <w:lang w:val="en-GB"/>
        </w:rPr>
      </w:pPr>
      <w:r w:rsidRPr="00364760">
        <w:rPr>
          <w:rFonts w:cstheme="minorHAnsi"/>
          <w:color w:val="1F497D" w:themeColor="text2"/>
          <w:sz w:val="18"/>
          <w:szCs w:val="18"/>
          <w:lang w:val="en-GB"/>
        </w:rPr>
        <w:t xml:space="preserve">Supplementary </w:t>
      </w:r>
      <w:r w:rsidR="0047428B">
        <w:rPr>
          <w:rFonts w:cstheme="minorHAnsi"/>
          <w:color w:val="1F497D" w:themeColor="text2"/>
          <w:sz w:val="18"/>
          <w:szCs w:val="18"/>
          <w:lang w:val="en-GB"/>
        </w:rPr>
        <w:t>Table S</w:t>
      </w:r>
      <w:r w:rsidR="00C54A1D">
        <w:rPr>
          <w:rFonts w:cstheme="minorHAnsi"/>
          <w:color w:val="1F497D" w:themeColor="text2"/>
          <w:sz w:val="18"/>
          <w:szCs w:val="18"/>
          <w:lang w:val="en-GB"/>
        </w:rPr>
        <w:t>4</w:t>
      </w:r>
      <w:r w:rsidRPr="00364760">
        <w:rPr>
          <w:rFonts w:cstheme="minorHAnsi"/>
          <w:color w:val="1F497D" w:themeColor="text2"/>
          <w:sz w:val="18"/>
          <w:szCs w:val="18"/>
          <w:lang w:val="en-GB"/>
        </w:rPr>
        <w:t xml:space="preserve">:  </w:t>
      </w:r>
      <w:r>
        <w:rPr>
          <w:rFonts w:cstheme="minorHAnsi"/>
          <w:color w:val="1F497D" w:themeColor="text2"/>
          <w:sz w:val="18"/>
          <w:szCs w:val="18"/>
          <w:lang w:val="en-GB"/>
        </w:rPr>
        <w:t>Differences in biomarker concentrations between age decades after correcting for baseline disease severity</w:t>
      </w:r>
    </w:p>
    <w:tbl>
      <w:tblPr>
        <w:tblStyle w:val="TableGrid"/>
        <w:tblW w:w="5954" w:type="dxa"/>
        <w:tblLook w:val="04A0" w:firstRow="1" w:lastRow="0" w:firstColumn="1" w:lastColumn="0" w:noHBand="0" w:noVBand="1"/>
      </w:tblPr>
      <w:tblGrid>
        <w:gridCol w:w="2990"/>
        <w:gridCol w:w="2964"/>
      </w:tblGrid>
      <w:tr w:rsidR="00371683" w:rsidRPr="00371683" w14:paraId="1DDE58FC" w14:textId="77777777" w:rsidTr="00556EB2">
        <w:trPr>
          <w:trHeight w:val="90"/>
        </w:trPr>
        <w:tc>
          <w:tcPr>
            <w:tcW w:w="2990" w:type="dxa"/>
            <w:tcBorders>
              <w:top w:val="nil"/>
              <w:left w:val="nil"/>
              <w:bottom w:val="single" w:sz="4" w:space="0" w:color="auto"/>
              <w:right w:val="nil"/>
            </w:tcBorders>
          </w:tcPr>
          <w:p w14:paraId="765CFA4A" w14:textId="77777777" w:rsidR="00371683" w:rsidRDefault="00371683" w:rsidP="00371683">
            <w:pPr>
              <w:spacing w:after="0" w:line="276" w:lineRule="auto"/>
              <w:rPr>
                <w:color w:val="000000"/>
                <w:sz w:val="16"/>
                <w:szCs w:val="16"/>
                <w:lang w:val="en-GB"/>
              </w:rPr>
            </w:pPr>
          </w:p>
        </w:tc>
        <w:tc>
          <w:tcPr>
            <w:tcW w:w="2964" w:type="dxa"/>
            <w:tcBorders>
              <w:top w:val="nil"/>
              <w:left w:val="nil"/>
              <w:bottom w:val="single" w:sz="4" w:space="0" w:color="auto"/>
              <w:right w:val="nil"/>
            </w:tcBorders>
          </w:tcPr>
          <w:p w14:paraId="67FADC32" w14:textId="77777777" w:rsidR="00371683" w:rsidRPr="00BC26BB" w:rsidRDefault="00371683" w:rsidP="00371683">
            <w:pPr>
              <w:spacing w:after="0" w:line="276" w:lineRule="auto"/>
              <w:jc w:val="center"/>
              <w:rPr>
                <w:b/>
                <w:color w:val="000000"/>
                <w:sz w:val="16"/>
                <w:szCs w:val="16"/>
                <w:vertAlign w:val="superscript"/>
                <w:lang w:val="en-GB"/>
              </w:rPr>
            </w:pPr>
            <w:r>
              <w:rPr>
                <w:b/>
                <w:color w:val="000000"/>
                <w:sz w:val="16"/>
                <w:szCs w:val="16"/>
                <w:lang w:val="en-GB"/>
              </w:rPr>
              <w:t xml:space="preserve">ANCOVA </w:t>
            </w:r>
            <w:r>
              <w:rPr>
                <w:b/>
                <w:color w:val="000000"/>
                <w:sz w:val="16"/>
                <w:szCs w:val="16"/>
                <w:lang w:val="en-GB"/>
              </w:rPr>
              <w:br/>
              <w:t>p-value*</w:t>
            </w:r>
          </w:p>
        </w:tc>
      </w:tr>
      <w:tr w:rsidR="00371683" w:rsidRPr="00D067B4" w14:paraId="404F800C" w14:textId="77777777" w:rsidTr="00556EB2">
        <w:trPr>
          <w:trHeight w:val="261"/>
        </w:trPr>
        <w:tc>
          <w:tcPr>
            <w:tcW w:w="5954" w:type="dxa"/>
            <w:gridSpan w:val="2"/>
            <w:tcBorders>
              <w:top w:val="single" w:sz="4" w:space="0" w:color="auto"/>
              <w:left w:val="nil"/>
              <w:bottom w:val="nil"/>
              <w:right w:val="nil"/>
            </w:tcBorders>
            <w:vAlign w:val="center"/>
          </w:tcPr>
          <w:p w14:paraId="760887D2" w14:textId="77777777" w:rsidR="00371683" w:rsidRPr="003424A2" w:rsidRDefault="00371683" w:rsidP="00371683">
            <w:pPr>
              <w:spacing w:after="0" w:line="276" w:lineRule="auto"/>
              <w:rPr>
                <w:rFonts w:ascii="Calibri" w:hAnsi="Calibri" w:cs="Calibri"/>
                <w:color w:val="000000"/>
                <w:sz w:val="16"/>
                <w:szCs w:val="16"/>
                <w:lang w:val="en-GB"/>
              </w:rPr>
            </w:pPr>
            <w:r>
              <w:rPr>
                <w:b/>
                <w:color w:val="000000"/>
                <w:sz w:val="16"/>
                <w:szCs w:val="16"/>
                <w:lang w:val="en-GB"/>
              </w:rPr>
              <w:t>Systemic inflammation and cytokine release</w:t>
            </w:r>
          </w:p>
        </w:tc>
      </w:tr>
      <w:tr w:rsidR="00371683" w:rsidRPr="003424A2" w14:paraId="55DF3DA0" w14:textId="77777777" w:rsidTr="00556EB2">
        <w:trPr>
          <w:trHeight w:val="261"/>
        </w:trPr>
        <w:tc>
          <w:tcPr>
            <w:tcW w:w="2990" w:type="dxa"/>
            <w:tcBorders>
              <w:top w:val="single" w:sz="4" w:space="0" w:color="auto"/>
              <w:left w:val="nil"/>
              <w:bottom w:val="nil"/>
              <w:right w:val="nil"/>
            </w:tcBorders>
            <w:vAlign w:val="center"/>
          </w:tcPr>
          <w:p w14:paraId="44F01078"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CRP (mg/L)</w:t>
            </w:r>
          </w:p>
        </w:tc>
        <w:tc>
          <w:tcPr>
            <w:tcW w:w="2964" w:type="dxa"/>
            <w:tcBorders>
              <w:top w:val="single" w:sz="4" w:space="0" w:color="auto"/>
              <w:left w:val="nil"/>
              <w:bottom w:val="nil"/>
              <w:right w:val="nil"/>
            </w:tcBorders>
            <w:vAlign w:val="bottom"/>
          </w:tcPr>
          <w:p w14:paraId="48B4A9B4"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lang w:val="en-GB"/>
              </w:rPr>
              <w:t>0.019</w:t>
            </w:r>
          </w:p>
        </w:tc>
      </w:tr>
      <w:tr w:rsidR="00371683" w:rsidRPr="003424A2" w14:paraId="718EFB6D" w14:textId="77777777" w:rsidTr="00556EB2">
        <w:trPr>
          <w:trHeight w:val="245"/>
        </w:trPr>
        <w:tc>
          <w:tcPr>
            <w:tcW w:w="2990" w:type="dxa"/>
            <w:tcBorders>
              <w:top w:val="nil"/>
              <w:left w:val="nil"/>
              <w:bottom w:val="nil"/>
              <w:right w:val="nil"/>
            </w:tcBorders>
            <w:vAlign w:val="center"/>
          </w:tcPr>
          <w:p w14:paraId="704BF7CB"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MMP-8 (ng/mL)</w:t>
            </w:r>
          </w:p>
        </w:tc>
        <w:tc>
          <w:tcPr>
            <w:tcW w:w="2964" w:type="dxa"/>
            <w:tcBorders>
              <w:top w:val="nil"/>
              <w:left w:val="nil"/>
              <w:bottom w:val="nil"/>
              <w:right w:val="nil"/>
            </w:tcBorders>
            <w:vAlign w:val="bottom"/>
          </w:tcPr>
          <w:p w14:paraId="2D6E0A54"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lang w:val="en-GB"/>
              </w:rPr>
              <w:t>0.152</w:t>
            </w:r>
          </w:p>
        </w:tc>
      </w:tr>
      <w:tr w:rsidR="00371683" w:rsidRPr="003424A2" w14:paraId="4818D155" w14:textId="77777777" w:rsidTr="00556EB2">
        <w:trPr>
          <w:trHeight w:val="261"/>
        </w:trPr>
        <w:tc>
          <w:tcPr>
            <w:tcW w:w="2990" w:type="dxa"/>
            <w:tcBorders>
              <w:top w:val="nil"/>
              <w:left w:val="nil"/>
              <w:bottom w:val="nil"/>
              <w:right w:val="nil"/>
            </w:tcBorders>
            <w:vAlign w:val="center"/>
          </w:tcPr>
          <w:p w14:paraId="1550664F"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TIMP1 (ng/mL)</w:t>
            </w:r>
          </w:p>
        </w:tc>
        <w:tc>
          <w:tcPr>
            <w:tcW w:w="2964" w:type="dxa"/>
            <w:tcBorders>
              <w:top w:val="nil"/>
              <w:left w:val="nil"/>
              <w:bottom w:val="nil"/>
              <w:right w:val="nil"/>
            </w:tcBorders>
            <w:vAlign w:val="bottom"/>
          </w:tcPr>
          <w:p w14:paraId="487192C8"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lang w:val="en-GB"/>
              </w:rPr>
              <w:t>0.817</w:t>
            </w:r>
          </w:p>
        </w:tc>
      </w:tr>
      <w:tr w:rsidR="00371683" w14:paraId="702F13DE" w14:textId="77777777" w:rsidTr="00556EB2">
        <w:trPr>
          <w:trHeight w:val="245"/>
        </w:trPr>
        <w:tc>
          <w:tcPr>
            <w:tcW w:w="2990" w:type="dxa"/>
            <w:tcBorders>
              <w:top w:val="nil"/>
              <w:left w:val="nil"/>
              <w:bottom w:val="nil"/>
              <w:right w:val="nil"/>
            </w:tcBorders>
            <w:vAlign w:val="center"/>
          </w:tcPr>
          <w:p w14:paraId="7B237913"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IL-6 (</w:t>
            </w:r>
            <w:proofErr w:type="spellStart"/>
            <w:r w:rsidRPr="00F070AF">
              <w:rPr>
                <w:b/>
                <w:color w:val="000000"/>
                <w:sz w:val="16"/>
                <w:szCs w:val="16"/>
                <w:lang w:val="en-GB"/>
              </w:rPr>
              <w:t>pg</w:t>
            </w:r>
            <w:proofErr w:type="spellEnd"/>
            <w:r w:rsidRPr="00F070AF">
              <w:rPr>
                <w:b/>
                <w:color w:val="000000"/>
                <w:sz w:val="16"/>
                <w:szCs w:val="16"/>
                <w:lang w:val="en-GB"/>
              </w:rPr>
              <w:t>/mL)</w:t>
            </w:r>
          </w:p>
        </w:tc>
        <w:tc>
          <w:tcPr>
            <w:tcW w:w="2964" w:type="dxa"/>
            <w:tcBorders>
              <w:top w:val="nil"/>
              <w:left w:val="nil"/>
              <w:bottom w:val="nil"/>
              <w:right w:val="nil"/>
            </w:tcBorders>
            <w:vAlign w:val="bottom"/>
          </w:tcPr>
          <w:p w14:paraId="1AE8CDE2"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lang w:val="en-GB"/>
              </w:rPr>
              <w:t>0.</w:t>
            </w:r>
            <w:r w:rsidRPr="00623AE2">
              <w:rPr>
                <w:rFonts w:ascii="Calibri" w:hAnsi="Calibri" w:cs="Calibri"/>
                <w:color w:val="000000"/>
                <w:sz w:val="16"/>
                <w:szCs w:val="16"/>
              </w:rPr>
              <w:t>152</w:t>
            </w:r>
          </w:p>
        </w:tc>
      </w:tr>
      <w:tr w:rsidR="00371683" w14:paraId="0854A961" w14:textId="77777777" w:rsidTr="00556EB2">
        <w:trPr>
          <w:trHeight w:val="261"/>
        </w:trPr>
        <w:tc>
          <w:tcPr>
            <w:tcW w:w="2990" w:type="dxa"/>
            <w:tcBorders>
              <w:top w:val="nil"/>
              <w:left w:val="nil"/>
              <w:bottom w:val="nil"/>
              <w:right w:val="nil"/>
            </w:tcBorders>
            <w:vAlign w:val="center"/>
          </w:tcPr>
          <w:p w14:paraId="591A1166"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IL-8 (</w:t>
            </w:r>
            <w:proofErr w:type="spellStart"/>
            <w:r w:rsidRPr="00F070AF">
              <w:rPr>
                <w:b/>
                <w:color w:val="000000"/>
                <w:sz w:val="16"/>
                <w:szCs w:val="16"/>
                <w:lang w:val="en-GB"/>
              </w:rPr>
              <w:t>pg</w:t>
            </w:r>
            <w:proofErr w:type="spellEnd"/>
            <w:r w:rsidRPr="00F070AF">
              <w:rPr>
                <w:b/>
                <w:color w:val="000000"/>
                <w:sz w:val="16"/>
                <w:szCs w:val="16"/>
                <w:lang w:val="en-GB"/>
              </w:rPr>
              <w:t>/mL)</w:t>
            </w:r>
          </w:p>
        </w:tc>
        <w:tc>
          <w:tcPr>
            <w:tcW w:w="2964" w:type="dxa"/>
            <w:tcBorders>
              <w:top w:val="nil"/>
              <w:left w:val="nil"/>
              <w:bottom w:val="nil"/>
              <w:right w:val="nil"/>
            </w:tcBorders>
            <w:vAlign w:val="bottom"/>
          </w:tcPr>
          <w:p w14:paraId="581A69AB"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0.325</w:t>
            </w:r>
          </w:p>
        </w:tc>
      </w:tr>
      <w:tr w:rsidR="00371683" w14:paraId="73361296" w14:textId="77777777" w:rsidTr="00556EB2">
        <w:trPr>
          <w:trHeight w:val="245"/>
        </w:trPr>
        <w:tc>
          <w:tcPr>
            <w:tcW w:w="2990" w:type="dxa"/>
            <w:tcBorders>
              <w:top w:val="nil"/>
              <w:left w:val="nil"/>
              <w:bottom w:val="single" w:sz="4" w:space="0" w:color="auto"/>
              <w:right w:val="nil"/>
            </w:tcBorders>
            <w:vAlign w:val="center"/>
          </w:tcPr>
          <w:p w14:paraId="32F2A310"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IL-10 (</w:t>
            </w:r>
            <w:proofErr w:type="spellStart"/>
            <w:r w:rsidRPr="00F070AF">
              <w:rPr>
                <w:b/>
                <w:color w:val="000000"/>
                <w:sz w:val="16"/>
                <w:szCs w:val="16"/>
                <w:lang w:val="en-GB"/>
              </w:rPr>
              <w:t>pg</w:t>
            </w:r>
            <w:proofErr w:type="spellEnd"/>
            <w:r w:rsidRPr="00F070AF">
              <w:rPr>
                <w:b/>
                <w:color w:val="000000"/>
                <w:sz w:val="16"/>
                <w:szCs w:val="16"/>
                <w:lang w:val="en-GB"/>
              </w:rPr>
              <w:t>/mL)</w:t>
            </w:r>
          </w:p>
        </w:tc>
        <w:tc>
          <w:tcPr>
            <w:tcW w:w="2964" w:type="dxa"/>
            <w:tcBorders>
              <w:top w:val="nil"/>
              <w:left w:val="nil"/>
              <w:bottom w:val="single" w:sz="4" w:space="0" w:color="auto"/>
              <w:right w:val="nil"/>
            </w:tcBorders>
            <w:vAlign w:val="bottom"/>
          </w:tcPr>
          <w:p w14:paraId="216678D4"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0.004</w:t>
            </w:r>
          </w:p>
        </w:tc>
      </w:tr>
      <w:tr w:rsidR="00371683" w:rsidRPr="00D067B4" w14:paraId="092A1AE5" w14:textId="77777777" w:rsidTr="00556EB2">
        <w:trPr>
          <w:trHeight w:val="245"/>
        </w:trPr>
        <w:tc>
          <w:tcPr>
            <w:tcW w:w="5954" w:type="dxa"/>
            <w:gridSpan w:val="2"/>
            <w:tcBorders>
              <w:top w:val="single" w:sz="4" w:space="0" w:color="auto"/>
              <w:left w:val="nil"/>
              <w:bottom w:val="nil"/>
              <w:right w:val="nil"/>
            </w:tcBorders>
            <w:vAlign w:val="center"/>
          </w:tcPr>
          <w:p w14:paraId="7C73FFD2" w14:textId="77777777" w:rsidR="00371683" w:rsidRPr="003424A2" w:rsidRDefault="00371683" w:rsidP="00371683">
            <w:pPr>
              <w:spacing w:after="0" w:line="276" w:lineRule="auto"/>
              <w:rPr>
                <w:rFonts w:ascii="Calibri" w:hAnsi="Calibri" w:cs="Calibri"/>
                <w:color w:val="000000"/>
                <w:sz w:val="16"/>
                <w:szCs w:val="16"/>
                <w:lang w:val="en-GB"/>
              </w:rPr>
            </w:pPr>
            <w:r>
              <w:rPr>
                <w:b/>
                <w:color w:val="000000"/>
                <w:sz w:val="16"/>
                <w:szCs w:val="16"/>
                <w:lang w:val="en-GB"/>
              </w:rPr>
              <w:t>Endothelial cell activation and function</w:t>
            </w:r>
          </w:p>
        </w:tc>
      </w:tr>
      <w:tr w:rsidR="00371683" w14:paraId="4E381D54" w14:textId="77777777" w:rsidTr="00556EB2">
        <w:trPr>
          <w:trHeight w:val="245"/>
        </w:trPr>
        <w:tc>
          <w:tcPr>
            <w:tcW w:w="2990" w:type="dxa"/>
            <w:tcBorders>
              <w:top w:val="single" w:sz="4" w:space="0" w:color="auto"/>
              <w:left w:val="nil"/>
              <w:bottom w:val="nil"/>
              <w:right w:val="nil"/>
            </w:tcBorders>
            <w:vAlign w:val="center"/>
          </w:tcPr>
          <w:p w14:paraId="2F56838E" w14:textId="77777777" w:rsidR="00371683" w:rsidRPr="00F070AF" w:rsidRDefault="00371683" w:rsidP="00371683">
            <w:pPr>
              <w:spacing w:after="0" w:line="276" w:lineRule="auto"/>
              <w:rPr>
                <w:b/>
                <w:color w:val="000000"/>
                <w:sz w:val="16"/>
                <w:szCs w:val="16"/>
                <w:lang w:val="en-GB"/>
              </w:rPr>
            </w:pPr>
            <w:proofErr w:type="spellStart"/>
            <w:r w:rsidRPr="00F070AF">
              <w:rPr>
                <w:b/>
                <w:color w:val="000000"/>
                <w:sz w:val="16"/>
                <w:szCs w:val="16"/>
                <w:lang w:val="en-GB"/>
              </w:rPr>
              <w:t>sE</w:t>
            </w:r>
            <w:proofErr w:type="spellEnd"/>
            <w:r w:rsidRPr="00F070AF">
              <w:rPr>
                <w:b/>
                <w:color w:val="000000"/>
                <w:sz w:val="16"/>
                <w:szCs w:val="16"/>
                <w:lang w:val="en-GB"/>
              </w:rPr>
              <w:t>-selectin (ng/mL)</w:t>
            </w:r>
          </w:p>
        </w:tc>
        <w:tc>
          <w:tcPr>
            <w:tcW w:w="2964" w:type="dxa"/>
            <w:tcBorders>
              <w:top w:val="single" w:sz="4" w:space="0" w:color="auto"/>
              <w:left w:val="nil"/>
              <w:bottom w:val="nil"/>
              <w:right w:val="nil"/>
            </w:tcBorders>
            <w:vAlign w:val="bottom"/>
          </w:tcPr>
          <w:p w14:paraId="2501B98D"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0.003</w:t>
            </w:r>
          </w:p>
        </w:tc>
      </w:tr>
      <w:tr w:rsidR="00371683" w14:paraId="677C5938" w14:textId="77777777" w:rsidTr="00556EB2">
        <w:trPr>
          <w:trHeight w:val="245"/>
        </w:trPr>
        <w:tc>
          <w:tcPr>
            <w:tcW w:w="2990" w:type="dxa"/>
            <w:tcBorders>
              <w:top w:val="nil"/>
              <w:left w:val="nil"/>
              <w:bottom w:val="nil"/>
              <w:right w:val="nil"/>
            </w:tcBorders>
            <w:vAlign w:val="center"/>
          </w:tcPr>
          <w:p w14:paraId="59CA07D1"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sICAM-1 (ng/mL)</w:t>
            </w:r>
          </w:p>
        </w:tc>
        <w:tc>
          <w:tcPr>
            <w:tcW w:w="2964" w:type="dxa"/>
            <w:tcBorders>
              <w:top w:val="nil"/>
              <w:left w:val="nil"/>
              <w:bottom w:val="nil"/>
              <w:right w:val="nil"/>
            </w:tcBorders>
            <w:vAlign w:val="bottom"/>
          </w:tcPr>
          <w:p w14:paraId="369AB0C5"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0.007</w:t>
            </w:r>
          </w:p>
        </w:tc>
      </w:tr>
      <w:tr w:rsidR="00371683" w14:paraId="7C691331" w14:textId="77777777" w:rsidTr="00556EB2">
        <w:trPr>
          <w:trHeight w:val="261"/>
        </w:trPr>
        <w:tc>
          <w:tcPr>
            <w:tcW w:w="2990" w:type="dxa"/>
            <w:tcBorders>
              <w:top w:val="nil"/>
              <w:left w:val="nil"/>
              <w:bottom w:val="nil"/>
              <w:right w:val="nil"/>
            </w:tcBorders>
            <w:vAlign w:val="center"/>
          </w:tcPr>
          <w:p w14:paraId="2877A983" w14:textId="77777777" w:rsidR="00371683" w:rsidRPr="00F070AF" w:rsidRDefault="00371683" w:rsidP="00371683">
            <w:pPr>
              <w:spacing w:after="0" w:line="276" w:lineRule="auto"/>
              <w:rPr>
                <w:b/>
                <w:color w:val="000000"/>
                <w:sz w:val="16"/>
                <w:szCs w:val="16"/>
                <w:lang w:val="en-GB"/>
              </w:rPr>
            </w:pPr>
            <w:proofErr w:type="spellStart"/>
            <w:r w:rsidRPr="00F070AF">
              <w:rPr>
                <w:b/>
                <w:color w:val="000000"/>
                <w:sz w:val="16"/>
                <w:szCs w:val="16"/>
                <w:lang w:val="en-GB"/>
              </w:rPr>
              <w:t>Fractalkine</w:t>
            </w:r>
            <w:proofErr w:type="spellEnd"/>
            <w:r w:rsidRPr="00F070AF">
              <w:rPr>
                <w:b/>
                <w:color w:val="000000"/>
                <w:sz w:val="16"/>
                <w:szCs w:val="16"/>
                <w:lang w:val="en-GB"/>
              </w:rPr>
              <w:t xml:space="preserve"> (</w:t>
            </w:r>
            <w:proofErr w:type="spellStart"/>
            <w:r w:rsidRPr="00F070AF">
              <w:rPr>
                <w:b/>
                <w:color w:val="000000"/>
                <w:sz w:val="16"/>
                <w:szCs w:val="16"/>
                <w:lang w:val="en-GB"/>
              </w:rPr>
              <w:t>pg</w:t>
            </w:r>
            <w:proofErr w:type="spellEnd"/>
            <w:r w:rsidRPr="00F070AF">
              <w:rPr>
                <w:b/>
                <w:color w:val="000000"/>
                <w:sz w:val="16"/>
                <w:szCs w:val="16"/>
                <w:lang w:val="en-GB"/>
              </w:rPr>
              <w:t>/mL)</w:t>
            </w:r>
          </w:p>
        </w:tc>
        <w:tc>
          <w:tcPr>
            <w:tcW w:w="2964" w:type="dxa"/>
            <w:tcBorders>
              <w:top w:val="nil"/>
              <w:left w:val="nil"/>
              <w:bottom w:val="nil"/>
              <w:right w:val="nil"/>
            </w:tcBorders>
            <w:vAlign w:val="bottom"/>
          </w:tcPr>
          <w:p w14:paraId="11AEDD36"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0.001</w:t>
            </w:r>
          </w:p>
        </w:tc>
      </w:tr>
      <w:tr w:rsidR="00371683" w14:paraId="64275D60" w14:textId="77777777" w:rsidTr="00556EB2">
        <w:trPr>
          <w:trHeight w:val="245"/>
        </w:trPr>
        <w:tc>
          <w:tcPr>
            <w:tcW w:w="2990" w:type="dxa"/>
            <w:tcBorders>
              <w:top w:val="nil"/>
              <w:left w:val="nil"/>
              <w:bottom w:val="nil"/>
              <w:right w:val="nil"/>
            </w:tcBorders>
            <w:vAlign w:val="center"/>
          </w:tcPr>
          <w:p w14:paraId="66122FF1" w14:textId="0CC99586" w:rsidR="00371683" w:rsidRPr="00F070AF" w:rsidRDefault="000206A4" w:rsidP="00371683">
            <w:pPr>
              <w:spacing w:after="0" w:line="276" w:lineRule="auto"/>
              <w:rPr>
                <w:b/>
                <w:color w:val="000000"/>
                <w:sz w:val="16"/>
                <w:szCs w:val="16"/>
                <w:lang w:val="en-GB"/>
              </w:rPr>
            </w:pPr>
            <w:r>
              <w:rPr>
                <w:b/>
                <w:color w:val="000000"/>
                <w:sz w:val="16"/>
                <w:szCs w:val="16"/>
                <w:lang w:val="en-GB"/>
              </w:rPr>
              <w:t>A</w:t>
            </w:r>
            <w:r w:rsidRPr="00581D6B">
              <w:rPr>
                <w:b/>
                <w:color w:val="000000"/>
                <w:sz w:val="16"/>
                <w:szCs w:val="16"/>
                <w:lang w:val="en-GB"/>
              </w:rPr>
              <w:t>ngiopoietin</w:t>
            </w:r>
            <w:r w:rsidR="00371683" w:rsidRPr="00F070AF">
              <w:rPr>
                <w:b/>
                <w:color w:val="000000"/>
                <w:sz w:val="16"/>
                <w:szCs w:val="16"/>
                <w:lang w:val="en-GB"/>
              </w:rPr>
              <w:t>-1 (ng/mL)</w:t>
            </w:r>
          </w:p>
        </w:tc>
        <w:tc>
          <w:tcPr>
            <w:tcW w:w="2964" w:type="dxa"/>
            <w:tcBorders>
              <w:top w:val="nil"/>
              <w:left w:val="nil"/>
              <w:bottom w:val="nil"/>
              <w:right w:val="nil"/>
            </w:tcBorders>
            <w:vAlign w:val="bottom"/>
          </w:tcPr>
          <w:p w14:paraId="62C6152D"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0.011</w:t>
            </w:r>
          </w:p>
        </w:tc>
      </w:tr>
      <w:tr w:rsidR="00371683" w14:paraId="0B2A2B7A" w14:textId="77777777" w:rsidTr="00556EB2">
        <w:trPr>
          <w:trHeight w:val="261"/>
        </w:trPr>
        <w:tc>
          <w:tcPr>
            <w:tcW w:w="2990" w:type="dxa"/>
            <w:tcBorders>
              <w:top w:val="nil"/>
              <w:left w:val="nil"/>
              <w:bottom w:val="nil"/>
              <w:right w:val="nil"/>
            </w:tcBorders>
            <w:vAlign w:val="center"/>
          </w:tcPr>
          <w:p w14:paraId="553619A5" w14:textId="4095A632" w:rsidR="00371683" w:rsidRPr="00F070AF" w:rsidRDefault="000206A4" w:rsidP="00371683">
            <w:pPr>
              <w:spacing w:after="0" w:line="276" w:lineRule="auto"/>
              <w:rPr>
                <w:b/>
                <w:color w:val="000000"/>
                <w:sz w:val="16"/>
                <w:szCs w:val="16"/>
                <w:lang w:val="en-GB"/>
              </w:rPr>
            </w:pPr>
            <w:r>
              <w:rPr>
                <w:b/>
                <w:color w:val="000000"/>
                <w:sz w:val="16"/>
                <w:szCs w:val="16"/>
                <w:lang w:val="en-GB"/>
              </w:rPr>
              <w:t>A</w:t>
            </w:r>
            <w:r w:rsidRPr="00581D6B">
              <w:rPr>
                <w:b/>
                <w:color w:val="000000"/>
                <w:sz w:val="16"/>
                <w:szCs w:val="16"/>
                <w:lang w:val="en-GB"/>
              </w:rPr>
              <w:t>ngiopoietin</w:t>
            </w:r>
            <w:r>
              <w:rPr>
                <w:b/>
                <w:color w:val="000000"/>
                <w:sz w:val="16"/>
                <w:szCs w:val="16"/>
                <w:lang w:val="en-GB"/>
              </w:rPr>
              <w:t>-</w:t>
            </w:r>
            <w:r w:rsidR="00371683" w:rsidRPr="00F070AF">
              <w:rPr>
                <w:b/>
                <w:color w:val="000000"/>
                <w:sz w:val="16"/>
                <w:szCs w:val="16"/>
                <w:lang w:val="en-GB"/>
              </w:rPr>
              <w:t>2 (ng/mL)</w:t>
            </w:r>
          </w:p>
        </w:tc>
        <w:tc>
          <w:tcPr>
            <w:tcW w:w="2964" w:type="dxa"/>
            <w:tcBorders>
              <w:top w:val="nil"/>
              <w:left w:val="nil"/>
              <w:bottom w:val="nil"/>
              <w:right w:val="nil"/>
            </w:tcBorders>
            <w:vAlign w:val="bottom"/>
          </w:tcPr>
          <w:p w14:paraId="1782ACC1"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0.080</w:t>
            </w:r>
          </w:p>
        </w:tc>
      </w:tr>
      <w:tr w:rsidR="00371683" w14:paraId="0035289D" w14:textId="77777777" w:rsidTr="00556EB2">
        <w:trPr>
          <w:trHeight w:val="245"/>
        </w:trPr>
        <w:tc>
          <w:tcPr>
            <w:tcW w:w="2990" w:type="dxa"/>
            <w:tcBorders>
              <w:top w:val="nil"/>
              <w:left w:val="nil"/>
              <w:bottom w:val="single" w:sz="4" w:space="0" w:color="auto"/>
              <w:right w:val="nil"/>
            </w:tcBorders>
            <w:vAlign w:val="center"/>
          </w:tcPr>
          <w:p w14:paraId="6BD2A61C" w14:textId="16C22E76" w:rsidR="00371683" w:rsidRPr="00F070AF" w:rsidRDefault="00581D6B" w:rsidP="00371683">
            <w:pPr>
              <w:spacing w:after="0" w:line="276" w:lineRule="auto"/>
              <w:rPr>
                <w:b/>
                <w:color w:val="000000"/>
                <w:sz w:val="16"/>
                <w:szCs w:val="16"/>
                <w:lang w:val="en-GB"/>
              </w:rPr>
            </w:pPr>
            <w:r>
              <w:rPr>
                <w:b/>
                <w:color w:val="000000"/>
                <w:sz w:val="16"/>
                <w:szCs w:val="16"/>
                <w:lang w:val="en-GB"/>
              </w:rPr>
              <w:t>A</w:t>
            </w:r>
            <w:r w:rsidRPr="00581D6B">
              <w:rPr>
                <w:b/>
                <w:color w:val="000000"/>
                <w:sz w:val="16"/>
                <w:szCs w:val="16"/>
                <w:lang w:val="en-GB"/>
              </w:rPr>
              <w:t>ngiopoietin-2/1 ratio</w:t>
            </w:r>
          </w:p>
        </w:tc>
        <w:tc>
          <w:tcPr>
            <w:tcW w:w="2964" w:type="dxa"/>
            <w:tcBorders>
              <w:top w:val="nil"/>
              <w:left w:val="nil"/>
              <w:bottom w:val="single" w:sz="4" w:space="0" w:color="auto"/>
              <w:right w:val="nil"/>
            </w:tcBorders>
            <w:vAlign w:val="bottom"/>
          </w:tcPr>
          <w:p w14:paraId="0B3B6242"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0.021</w:t>
            </w:r>
          </w:p>
        </w:tc>
      </w:tr>
      <w:tr w:rsidR="00371683" w14:paraId="1A3235DC" w14:textId="77777777" w:rsidTr="00556EB2">
        <w:trPr>
          <w:trHeight w:val="245"/>
        </w:trPr>
        <w:tc>
          <w:tcPr>
            <w:tcW w:w="5954" w:type="dxa"/>
            <w:gridSpan w:val="2"/>
            <w:tcBorders>
              <w:top w:val="single" w:sz="4" w:space="0" w:color="auto"/>
              <w:left w:val="nil"/>
              <w:bottom w:val="nil"/>
              <w:right w:val="nil"/>
            </w:tcBorders>
            <w:vAlign w:val="center"/>
          </w:tcPr>
          <w:p w14:paraId="1263D013" w14:textId="77777777" w:rsidR="00371683" w:rsidRPr="00371683" w:rsidRDefault="00371683" w:rsidP="00371683">
            <w:pPr>
              <w:spacing w:after="0" w:line="276" w:lineRule="auto"/>
              <w:rPr>
                <w:rFonts w:ascii="Calibri" w:hAnsi="Calibri" w:cs="Calibri"/>
                <w:color w:val="000000"/>
                <w:sz w:val="16"/>
                <w:szCs w:val="16"/>
              </w:rPr>
            </w:pPr>
            <w:r w:rsidRPr="00F070AF">
              <w:rPr>
                <w:b/>
                <w:color w:val="000000"/>
                <w:sz w:val="16"/>
                <w:szCs w:val="16"/>
                <w:lang w:val="en-GB"/>
              </w:rPr>
              <w:t>Coagulation</w:t>
            </w:r>
            <w:r>
              <w:rPr>
                <w:b/>
                <w:color w:val="000000"/>
                <w:sz w:val="16"/>
                <w:szCs w:val="16"/>
                <w:lang w:val="en-GB"/>
              </w:rPr>
              <w:t xml:space="preserve"> activation</w:t>
            </w:r>
          </w:p>
        </w:tc>
      </w:tr>
      <w:tr w:rsidR="00371683" w14:paraId="69DEE6F8" w14:textId="77777777" w:rsidTr="00556EB2">
        <w:trPr>
          <w:trHeight w:val="245"/>
        </w:trPr>
        <w:tc>
          <w:tcPr>
            <w:tcW w:w="2990" w:type="dxa"/>
            <w:tcBorders>
              <w:top w:val="single" w:sz="4" w:space="0" w:color="auto"/>
              <w:left w:val="nil"/>
              <w:bottom w:val="nil"/>
              <w:right w:val="nil"/>
            </w:tcBorders>
            <w:vAlign w:val="center"/>
          </w:tcPr>
          <w:p w14:paraId="1348E94F"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Platelet count (x 10^9/L)</w:t>
            </w:r>
          </w:p>
        </w:tc>
        <w:tc>
          <w:tcPr>
            <w:tcW w:w="2964" w:type="dxa"/>
            <w:tcBorders>
              <w:top w:val="single" w:sz="4" w:space="0" w:color="auto"/>
              <w:left w:val="nil"/>
              <w:bottom w:val="nil"/>
              <w:right w:val="nil"/>
            </w:tcBorders>
            <w:vAlign w:val="bottom"/>
          </w:tcPr>
          <w:p w14:paraId="6F2B440F" w14:textId="3A94BFB6"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&lt;0.001</w:t>
            </w:r>
          </w:p>
        </w:tc>
      </w:tr>
      <w:tr w:rsidR="00371683" w14:paraId="782B73E7" w14:textId="77777777" w:rsidTr="00556EB2">
        <w:trPr>
          <w:trHeight w:val="261"/>
        </w:trPr>
        <w:tc>
          <w:tcPr>
            <w:tcW w:w="2990" w:type="dxa"/>
            <w:tcBorders>
              <w:top w:val="nil"/>
              <w:left w:val="nil"/>
              <w:bottom w:val="nil"/>
              <w:right w:val="nil"/>
            </w:tcBorders>
            <w:vAlign w:val="center"/>
          </w:tcPr>
          <w:p w14:paraId="274F9D53"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PT (sec)</w:t>
            </w:r>
          </w:p>
        </w:tc>
        <w:tc>
          <w:tcPr>
            <w:tcW w:w="2964" w:type="dxa"/>
            <w:tcBorders>
              <w:top w:val="nil"/>
              <w:left w:val="nil"/>
              <w:bottom w:val="nil"/>
              <w:right w:val="nil"/>
            </w:tcBorders>
            <w:vAlign w:val="bottom"/>
          </w:tcPr>
          <w:p w14:paraId="34533BD7"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0.627</w:t>
            </w:r>
          </w:p>
        </w:tc>
      </w:tr>
      <w:tr w:rsidR="00371683" w14:paraId="0D5B4D0C" w14:textId="77777777" w:rsidTr="00556EB2">
        <w:trPr>
          <w:trHeight w:val="245"/>
        </w:trPr>
        <w:tc>
          <w:tcPr>
            <w:tcW w:w="2990" w:type="dxa"/>
            <w:tcBorders>
              <w:top w:val="nil"/>
              <w:left w:val="nil"/>
              <w:bottom w:val="nil"/>
              <w:right w:val="nil"/>
            </w:tcBorders>
            <w:vAlign w:val="center"/>
          </w:tcPr>
          <w:p w14:paraId="360A6C17"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D-Dimer (</w:t>
            </w:r>
            <w:proofErr w:type="spellStart"/>
            <w:r w:rsidRPr="00F070AF">
              <w:rPr>
                <w:b/>
                <w:color w:val="000000"/>
                <w:sz w:val="16"/>
                <w:szCs w:val="16"/>
                <w:lang w:val="en-GB"/>
              </w:rPr>
              <w:t>microg</w:t>
            </w:r>
            <w:proofErr w:type="spellEnd"/>
            <w:r w:rsidRPr="00F070AF">
              <w:rPr>
                <w:b/>
                <w:color w:val="000000"/>
                <w:sz w:val="16"/>
                <w:szCs w:val="16"/>
                <w:lang w:val="en-GB"/>
              </w:rPr>
              <w:t>/mL)</w:t>
            </w:r>
          </w:p>
        </w:tc>
        <w:tc>
          <w:tcPr>
            <w:tcW w:w="2964" w:type="dxa"/>
            <w:tcBorders>
              <w:top w:val="nil"/>
              <w:left w:val="nil"/>
              <w:bottom w:val="nil"/>
              <w:right w:val="nil"/>
            </w:tcBorders>
            <w:vAlign w:val="bottom"/>
          </w:tcPr>
          <w:p w14:paraId="48E17BE8"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0.525</w:t>
            </w:r>
          </w:p>
        </w:tc>
      </w:tr>
      <w:tr w:rsidR="00371683" w14:paraId="6E76A501" w14:textId="77777777" w:rsidTr="00556EB2">
        <w:trPr>
          <w:trHeight w:val="261"/>
        </w:trPr>
        <w:tc>
          <w:tcPr>
            <w:tcW w:w="2990" w:type="dxa"/>
            <w:tcBorders>
              <w:top w:val="nil"/>
              <w:left w:val="nil"/>
              <w:bottom w:val="nil"/>
              <w:right w:val="nil"/>
            </w:tcBorders>
            <w:vAlign w:val="center"/>
          </w:tcPr>
          <w:p w14:paraId="02A79011" w14:textId="77777777" w:rsidR="00371683" w:rsidRPr="00F070AF" w:rsidRDefault="00371683" w:rsidP="00371683">
            <w:pPr>
              <w:spacing w:after="0" w:line="276" w:lineRule="auto"/>
              <w:rPr>
                <w:b/>
                <w:color w:val="000000"/>
                <w:sz w:val="16"/>
                <w:szCs w:val="16"/>
                <w:lang w:val="en-GB"/>
              </w:rPr>
            </w:pPr>
            <w:proofErr w:type="spellStart"/>
            <w:r w:rsidRPr="00F070AF">
              <w:rPr>
                <w:b/>
                <w:color w:val="000000"/>
                <w:sz w:val="16"/>
                <w:szCs w:val="16"/>
                <w:lang w:val="en-GB"/>
              </w:rPr>
              <w:t>Antitrombin</w:t>
            </w:r>
            <w:proofErr w:type="spellEnd"/>
            <w:r w:rsidRPr="00F070AF">
              <w:rPr>
                <w:b/>
                <w:color w:val="000000"/>
                <w:sz w:val="16"/>
                <w:szCs w:val="16"/>
                <w:lang w:val="en-GB"/>
              </w:rPr>
              <w:t xml:space="preserve"> (ng/mL)</w:t>
            </w:r>
          </w:p>
        </w:tc>
        <w:tc>
          <w:tcPr>
            <w:tcW w:w="2964" w:type="dxa"/>
            <w:tcBorders>
              <w:top w:val="nil"/>
              <w:left w:val="nil"/>
              <w:bottom w:val="nil"/>
              <w:right w:val="nil"/>
            </w:tcBorders>
            <w:vAlign w:val="bottom"/>
          </w:tcPr>
          <w:p w14:paraId="714E9352"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0.750</w:t>
            </w:r>
          </w:p>
        </w:tc>
      </w:tr>
      <w:tr w:rsidR="00371683" w14:paraId="30E0DC6D" w14:textId="77777777" w:rsidTr="00556EB2">
        <w:trPr>
          <w:trHeight w:val="90"/>
        </w:trPr>
        <w:tc>
          <w:tcPr>
            <w:tcW w:w="2990" w:type="dxa"/>
            <w:tcBorders>
              <w:top w:val="nil"/>
              <w:left w:val="nil"/>
              <w:bottom w:val="single" w:sz="4" w:space="0" w:color="auto"/>
              <w:right w:val="nil"/>
            </w:tcBorders>
            <w:vAlign w:val="center"/>
          </w:tcPr>
          <w:p w14:paraId="58A4FDA4" w14:textId="77777777" w:rsidR="00371683" w:rsidRPr="00F070AF" w:rsidRDefault="00371683" w:rsidP="00371683">
            <w:pPr>
              <w:spacing w:after="0" w:line="276" w:lineRule="auto"/>
              <w:rPr>
                <w:b/>
                <w:color w:val="000000"/>
                <w:sz w:val="16"/>
                <w:szCs w:val="16"/>
                <w:lang w:val="en-GB"/>
              </w:rPr>
            </w:pPr>
            <w:r w:rsidRPr="00F070AF">
              <w:rPr>
                <w:b/>
                <w:color w:val="000000"/>
                <w:sz w:val="16"/>
                <w:szCs w:val="16"/>
                <w:lang w:val="en-GB"/>
              </w:rPr>
              <w:t>Protein C (ng/mL)</w:t>
            </w:r>
          </w:p>
        </w:tc>
        <w:tc>
          <w:tcPr>
            <w:tcW w:w="2964" w:type="dxa"/>
            <w:tcBorders>
              <w:top w:val="nil"/>
              <w:left w:val="nil"/>
              <w:bottom w:val="single" w:sz="4" w:space="0" w:color="auto"/>
              <w:right w:val="nil"/>
            </w:tcBorders>
            <w:vAlign w:val="bottom"/>
          </w:tcPr>
          <w:p w14:paraId="4CA3542B" w14:textId="77777777" w:rsidR="00371683" w:rsidRPr="00623AE2" w:rsidRDefault="00371683" w:rsidP="00371683">
            <w:pPr>
              <w:spacing w:after="0" w:line="276" w:lineRule="auto"/>
              <w:jc w:val="center"/>
              <w:rPr>
                <w:color w:val="000000"/>
                <w:sz w:val="16"/>
                <w:szCs w:val="16"/>
                <w:lang w:val="en-GB"/>
              </w:rPr>
            </w:pPr>
            <w:r w:rsidRPr="00623AE2">
              <w:rPr>
                <w:rFonts w:ascii="Calibri" w:hAnsi="Calibri" w:cs="Calibri"/>
                <w:color w:val="000000"/>
                <w:sz w:val="16"/>
                <w:szCs w:val="16"/>
              </w:rPr>
              <w:t>0.344</w:t>
            </w:r>
          </w:p>
        </w:tc>
      </w:tr>
      <w:tr w:rsidR="00371683" w:rsidRPr="00D067B4" w14:paraId="2D79ABFC" w14:textId="77777777" w:rsidTr="00556EB2">
        <w:trPr>
          <w:trHeight w:val="90"/>
        </w:trPr>
        <w:tc>
          <w:tcPr>
            <w:tcW w:w="5954" w:type="dxa"/>
            <w:gridSpan w:val="2"/>
            <w:tcBorders>
              <w:top w:val="single" w:sz="4" w:space="0" w:color="auto"/>
              <w:left w:val="nil"/>
              <w:bottom w:val="nil"/>
              <w:right w:val="nil"/>
            </w:tcBorders>
            <w:vAlign w:val="center"/>
          </w:tcPr>
          <w:p w14:paraId="581ACE0E" w14:textId="227A793F" w:rsidR="00371683" w:rsidRDefault="00371683" w:rsidP="00371683">
            <w:pPr>
              <w:spacing w:line="276" w:lineRule="auto"/>
              <w:rPr>
                <w:sz w:val="16"/>
                <w:szCs w:val="16"/>
                <w:lang w:val="en-GB"/>
              </w:rPr>
            </w:pPr>
            <w:r w:rsidRPr="003424A2">
              <w:rPr>
                <w:sz w:val="16"/>
                <w:szCs w:val="16"/>
                <w:lang w:val="en-GB"/>
              </w:rPr>
              <w:t xml:space="preserve">Abbreviations: ANCOVA: analysis of covariance, APACHE IV APS: Acute Physiology and Chronic Health Evaluation IV Acute Physiology score, SOFA: Sequential Organ Failure Score, </w:t>
            </w:r>
            <w:r w:rsidRPr="00FA6A09">
              <w:rPr>
                <w:sz w:val="16"/>
                <w:szCs w:val="16"/>
                <w:lang w:val="en-GB"/>
              </w:rPr>
              <w:t>CRP: C-reactive protein, MMP-8: matrix metalloproteinase-8, TIMP-1: tissue inhibitor of metalloproteinase 1, IL-6: interleukin 6, IL-8: interleukin 8, IL-10: interleukin 10</w:t>
            </w:r>
            <w:r>
              <w:rPr>
                <w:sz w:val="16"/>
                <w:szCs w:val="16"/>
                <w:lang w:val="en-GB"/>
              </w:rPr>
              <w:t xml:space="preserve">, </w:t>
            </w:r>
            <w:proofErr w:type="spellStart"/>
            <w:r w:rsidRPr="00FA6A09">
              <w:rPr>
                <w:sz w:val="16"/>
                <w:szCs w:val="16"/>
                <w:lang w:val="en-GB"/>
              </w:rPr>
              <w:t>s</w:t>
            </w:r>
            <w:r>
              <w:rPr>
                <w:sz w:val="16"/>
                <w:szCs w:val="16"/>
                <w:lang w:val="en-GB"/>
              </w:rPr>
              <w:t>E</w:t>
            </w:r>
            <w:proofErr w:type="spellEnd"/>
            <w:r>
              <w:rPr>
                <w:sz w:val="16"/>
                <w:szCs w:val="16"/>
                <w:lang w:val="en-GB"/>
              </w:rPr>
              <w:t xml:space="preserve">-selectin: soluble E-Selectin, </w:t>
            </w:r>
            <w:proofErr w:type="spellStart"/>
            <w:r>
              <w:rPr>
                <w:sz w:val="16"/>
                <w:szCs w:val="16"/>
                <w:lang w:val="en-GB"/>
              </w:rPr>
              <w:t>sICAM</w:t>
            </w:r>
            <w:proofErr w:type="spellEnd"/>
            <w:r>
              <w:rPr>
                <w:sz w:val="16"/>
                <w:szCs w:val="16"/>
                <w:lang w:val="en-GB"/>
              </w:rPr>
              <w:t>: soluble intercellular adhesion m</w:t>
            </w:r>
            <w:r w:rsidRPr="00FA6A09">
              <w:rPr>
                <w:sz w:val="16"/>
                <w:szCs w:val="16"/>
                <w:lang w:val="en-GB"/>
              </w:rPr>
              <w:t xml:space="preserve">olecule </w:t>
            </w:r>
            <w:r>
              <w:rPr>
                <w:sz w:val="16"/>
                <w:szCs w:val="16"/>
                <w:lang w:val="en-GB"/>
              </w:rPr>
              <w:t>1</w:t>
            </w:r>
            <w:r w:rsidRPr="00FA6A09">
              <w:rPr>
                <w:sz w:val="16"/>
                <w:szCs w:val="16"/>
                <w:lang w:val="en-GB"/>
              </w:rPr>
              <w:t xml:space="preserve">, </w:t>
            </w:r>
            <w:r>
              <w:rPr>
                <w:sz w:val="16"/>
                <w:szCs w:val="16"/>
                <w:lang w:val="en-GB"/>
              </w:rPr>
              <w:t>PT: P</w:t>
            </w:r>
            <w:r w:rsidRPr="00FA6A09">
              <w:rPr>
                <w:sz w:val="16"/>
                <w:szCs w:val="16"/>
                <w:lang w:val="en-GB"/>
              </w:rPr>
              <w:t>rothrombin time</w:t>
            </w:r>
            <w:r>
              <w:rPr>
                <w:sz w:val="16"/>
                <w:szCs w:val="16"/>
                <w:lang w:val="en-GB"/>
              </w:rPr>
              <w:t>.</w:t>
            </w:r>
          </w:p>
          <w:p w14:paraId="4C211D9B" w14:textId="13D2C324" w:rsidR="00371683" w:rsidRPr="003424A2" w:rsidRDefault="00371683" w:rsidP="00581D6B">
            <w:pPr>
              <w:spacing w:line="276" w:lineRule="auto"/>
              <w:rPr>
                <w:sz w:val="16"/>
                <w:szCs w:val="16"/>
                <w:lang w:val="en-GB"/>
              </w:rPr>
            </w:pPr>
            <w:r w:rsidRPr="003424A2">
              <w:rPr>
                <w:sz w:val="16"/>
                <w:szCs w:val="16"/>
                <w:lang w:val="en-GB"/>
              </w:rPr>
              <w:t xml:space="preserve">The severity-adjusted ANCOVA included </w:t>
            </w:r>
            <w:r w:rsidR="00581D6B">
              <w:rPr>
                <w:sz w:val="16"/>
                <w:szCs w:val="16"/>
                <w:lang w:val="en-GB"/>
              </w:rPr>
              <w:t xml:space="preserve">the </w:t>
            </w:r>
            <w:r w:rsidR="00581D6B" w:rsidRPr="003424A2">
              <w:rPr>
                <w:sz w:val="16"/>
                <w:szCs w:val="16"/>
                <w:lang w:val="en-GB"/>
              </w:rPr>
              <w:t xml:space="preserve">APACHE IV APS, </w:t>
            </w:r>
            <w:r w:rsidRPr="003424A2">
              <w:rPr>
                <w:sz w:val="16"/>
                <w:szCs w:val="16"/>
                <w:lang w:val="en-GB"/>
              </w:rPr>
              <w:t>SOFA score</w:t>
            </w:r>
            <w:r w:rsidR="00581D6B">
              <w:rPr>
                <w:sz w:val="16"/>
                <w:szCs w:val="16"/>
                <w:lang w:val="en-GB"/>
              </w:rPr>
              <w:t xml:space="preserve">, </w:t>
            </w:r>
            <w:r w:rsidRPr="003424A2">
              <w:rPr>
                <w:sz w:val="16"/>
                <w:szCs w:val="16"/>
                <w:lang w:val="en-GB"/>
              </w:rPr>
              <w:t>and presence of shock and acute kidney injury on admissi</w:t>
            </w:r>
            <w:r>
              <w:rPr>
                <w:sz w:val="16"/>
                <w:szCs w:val="16"/>
                <w:lang w:val="en-GB"/>
              </w:rPr>
              <w:t>on</w:t>
            </w:r>
            <w:r w:rsidR="001C3945">
              <w:rPr>
                <w:sz w:val="16"/>
                <w:szCs w:val="16"/>
                <w:lang w:val="en-GB"/>
              </w:rPr>
              <w:t xml:space="preserve"> as covariates</w:t>
            </w:r>
            <w:r>
              <w:rPr>
                <w:sz w:val="16"/>
                <w:szCs w:val="16"/>
                <w:lang w:val="en-GB"/>
              </w:rPr>
              <w:t xml:space="preserve">.* </w:t>
            </w:r>
            <w:r w:rsidR="0020077B" w:rsidRPr="0020077B">
              <w:rPr>
                <w:sz w:val="16"/>
                <w:szCs w:val="16"/>
                <w:lang w:val="en-GB"/>
              </w:rPr>
              <w:t xml:space="preserve">All p-values are multiple testing corrected using the </w:t>
            </w:r>
            <w:proofErr w:type="spellStart"/>
            <w:r w:rsidR="0020077B" w:rsidRPr="0020077B">
              <w:rPr>
                <w:sz w:val="16"/>
                <w:szCs w:val="16"/>
                <w:lang w:val="en-GB"/>
              </w:rPr>
              <w:t>Benjamini</w:t>
            </w:r>
            <w:proofErr w:type="spellEnd"/>
            <w:r w:rsidR="0020077B" w:rsidRPr="0020077B">
              <w:rPr>
                <w:sz w:val="16"/>
                <w:szCs w:val="16"/>
                <w:lang w:val="en-GB"/>
              </w:rPr>
              <w:t>-Hochberg procedure for the conduction of 17 AN</w:t>
            </w:r>
            <w:r w:rsidR="0020077B">
              <w:rPr>
                <w:sz w:val="16"/>
                <w:szCs w:val="16"/>
                <w:lang w:val="en-GB"/>
              </w:rPr>
              <w:t>C</w:t>
            </w:r>
            <w:r w:rsidR="0020077B" w:rsidRPr="0020077B">
              <w:rPr>
                <w:sz w:val="16"/>
                <w:szCs w:val="16"/>
                <w:lang w:val="en-GB"/>
              </w:rPr>
              <w:t xml:space="preserve">OVA’s (testing </w:t>
            </w:r>
            <w:r w:rsidR="0020077B">
              <w:rPr>
                <w:sz w:val="16"/>
                <w:szCs w:val="16"/>
                <w:lang w:val="en-GB"/>
              </w:rPr>
              <w:t xml:space="preserve">of </w:t>
            </w:r>
            <w:r w:rsidR="0020077B" w:rsidRPr="0020077B">
              <w:rPr>
                <w:sz w:val="16"/>
                <w:szCs w:val="16"/>
                <w:lang w:val="en-GB"/>
              </w:rPr>
              <w:t>17 biomarkers)</w:t>
            </w:r>
            <w:r w:rsidR="0020077B">
              <w:rPr>
                <w:sz w:val="16"/>
                <w:szCs w:val="16"/>
                <w:lang w:val="en-GB"/>
              </w:rPr>
              <w:t>.</w:t>
            </w:r>
          </w:p>
        </w:tc>
      </w:tr>
    </w:tbl>
    <w:p w14:paraId="0D5DE6CA" w14:textId="63EC899A" w:rsidR="00C54A1D" w:rsidRPr="00F10577" w:rsidRDefault="00F10577" w:rsidP="00F10577">
      <w:pPr>
        <w:pStyle w:val="Heading2"/>
        <w:rPr>
          <w:sz w:val="16"/>
          <w:szCs w:val="16"/>
          <w:vertAlign w:val="superscript"/>
          <w:lang w:val="en-GB"/>
        </w:rPr>
      </w:pPr>
      <w:r w:rsidRPr="00F10577">
        <w:rPr>
          <w:sz w:val="16"/>
          <w:szCs w:val="16"/>
          <w:vertAlign w:val="superscript"/>
          <w:lang w:val="en-GB"/>
        </w:rPr>
        <w:br w:type="page"/>
      </w:r>
    </w:p>
    <w:p w14:paraId="02BBB087" w14:textId="77777777" w:rsidR="00C54A1D" w:rsidRDefault="00C54A1D" w:rsidP="00C54A1D">
      <w:pPr>
        <w:pStyle w:val="Heading2"/>
        <w:numPr>
          <w:ilvl w:val="0"/>
          <w:numId w:val="2"/>
        </w:numPr>
        <w:spacing w:line="276" w:lineRule="auto"/>
        <w:ind w:right="-568"/>
        <w:rPr>
          <w:lang w:val="en-GB"/>
        </w:rPr>
      </w:pPr>
      <w:bookmarkStart w:id="55" w:name="_Toc115709542"/>
      <w:r>
        <w:rPr>
          <w:lang w:val="en-GB"/>
        </w:rPr>
        <w:lastRenderedPageBreak/>
        <w:t>Sensitivity analysis</w:t>
      </w:r>
      <w:bookmarkEnd w:id="55"/>
      <w:r>
        <w:rPr>
          <w:lang w:val="en-GB"/>
        </w:rPr>
        <w:t xml:space="preserve"> </w:t>
      </w:r>
    </w:p>
    <w:p w14:paraId="756FE675" w14:textId="32D8CCEC" w:rsidR="00C54A1D" w:rsidRPr="00364760" w:rsidRDefault="00C54A1D" w:rsidP="00C54A1D">
      <w:pPr>
        <w:spacing w:line="276" w:lineRule="auto"/>
        <w:ind w:right="-568"/>
        <w:rPr>
          <w:rFonts w:cstheme="minorHAnsi"/>
          <w:color w:val="1F497D" w:themeColor="text2"/>
          <w:sz w:val="18"/>
          <w:szCs w:val="18"/>
          <w:lang w:val="en-GB"/>
        </w:rPr>
      </w:pPr>
      <w:r w:rsidRPr="00364760">
        <w:rPr>
          <w:rFonts w:cstheme="minorHAnsi"/>
          <w:color w:val="1F497D" w:themeColor="text2"/>
          <w:sz w:val="18"/>
          <w:szCs w:val="18"/>
          <w:lang w:val="en-GB"/>
        </w:rPr>
        <w:t xml:space="preserve">Supplementary </w:t>
      </w:r>
      <w:r w:rsidR="0047428B">
        <w:rPr>
          <w:rFonts w:cstheme="minorHAnsi"/>
          <w:color w:val="1F497D" w:themeColor="text2"/>
          <w:sz w:val="18"/>
          <w:szCs w:val="18"/>
          <w:lang w:val="en-GB"/>
        </w:rPr>
        <w:t>Table S</w:t>
      </w:r>
      <w:r w:rsidR="00F10577">
        <w:rPr>
          <w:rFonts w:cstheme="minorHAnsi"/>
          <w:color w:val="1F497D" w:themeColor="text2"/>
          <w:sz w:val="18"/>
          <w:szCs w:val="18"/>
          <w:lang w:val="en-GB"/>
        </w:rPr>
        <w:t>5</w:t>
      </w:r>
      <w:r w:rsidRPr="00364760">
        <w:rPr>
          <w:rFonts w:cstheme="minorHAnsi"/>
          <w:color w:val="1F497D" w:themeColor="text2"/>
          <w:sz w:val="18"/>
          <w:szCs w:val="18"/>
          <w:lang w:val="en-GB"/>
        </w:rPr>
        <w:t xml:space="preserve">:  Sensitivity analysis of biomarkers of critically ill sepsis patients </w:t>
      </w:r>
      <w:r>
        <w:rPr>
          <w:rFonts w:cstheme="minorHAnsi"/>
          <w:color w:val="1F497D" w:themeColor="text2"/>
          <w:sz w:val="18"/>
          <w:szCs w:val="18"/>
          <w:lang w:val="en-GB"/>
        </w:rPr>
        <w:t>incorporating age as a continuous variable of which the methods depended on the linearity of the age with the analysed biomarker after box-cox transformation</w:t>
      </w:r>
    </w:p>
    <w:p w14:paraId="60E91848" w14:textId="77777777" w:rsidR="00C54A1D" w:rsidRDefault="00C54A1D" w:rsidP="00C54A1D">
      <w:pPr>
        <w:spacing w:after="0" w:line="276" w:lineRule="auto"/>
        <w:ind w:right="-568"/>
        <w:rPr>
          <w:color w:val="000000"/>
          <w:sz w:val="16"/>
          <w:szCs w:val="16"/>
          <w:lang w:val="en-GB"/>
        </w:rPr>
      </w:pPr>
    </w:p>
    <w:p w14:paraId="695563C9" w14:textId="77777777" w:rsidR="00C54A1D" w:rsidRDefault="00C54A1D" w:rsidP="00C54A1D">
      <w:pPr>
        <w:spacing w:after="0" w:line="276" w:lineRule="auto"/>
        <w:ind w:right="-568"/>
        <w:rPr>
          <w:color w:val="000000"/>
          <w:sz w:val="16"/>
          <w:szCs w:val="16"/>
          <w:lang w:val="en-GB"/>
        </w:rPr>
      </w:pPr>
    </w:p>
    <w:tbl>
      <w:tblPr>
        <w:tblStyle w:val="TableGrid"/>
        <w:tblW w:w="9660" w:type="dxa"/>
        <w:tblLook w:val="04A0" w:firstRow="1" w:lastRow="0" w:firstColumn="1" w:lastColumn="0" w:noHBand="0" w:noVBand="1"/>
      </w:tblPr>
      <w:tblGrid>
        <w:gridCol w:w="2518"/>
        <w:gridCol w:w="2454"/>
        <w:gridCol w:w="2455"/>
        <w:gridCol w:w="2233"/>
      </w:tblGrid>
      <w:tr w:rsidR="00C54A1D" w:rsidRPr="00D067B4" w14:paraId="40CE9259" w14:textId="77777777" w:rsidTr="00CC3B9A">
        <w:trPr>
          <w:trHeight w:val="449"/>
        </w:trPr>
        <w:tc>
          <w:tcPr>
            <w:tcW w:w="2518" w:type="dxa"/>
            <w:tcBorders>
              <w:top w:val="nil"/>
              <w:left w:val="nil"/>
              <w:bottom w:val="single" w:sz="4" w:space="0" w:color="auto"/>
              <w:right w:val="nil"/>
            </w:tcBorders>
          </w:tcPr>
          <w:p w14:paraId="0BE209DD" w14:textId="77777777" w:rsidR="00C54A1D" w:rsidRDefault="00C54A1D" w:rsidP="00CC3B9A">
            <w:pPr>
              <w:spacing w:after="0" w:line="276" w:lineRule="auto"/>
              <w:rPr>
                <w:color w:val="000000"/>
                <w:sz w:val="16"/>
                <w:szCs w:val="16"/>
                <w:lang w:val="en-GB"/>
              </w:rPr>
            </w:pPr>
          </w:p>
        </w:tc>
        <w:tc>
          <w:tcPr>
            <w:tcW w:w="2454" w:type="dxa"/>
            <w:tcBorders>
              <w:top w:val="nil"/>
              <w:left w:val="nil"/>
              <w:bottom w:val="single" w:sz="4" w:space="0" w:color="auto"/>
              <w:right w:val="nil"/>
            </w:tcBorders>
          </w:tcPr>
          <w:p w14:paraId="79A10FB7" w14:textId="77777777" w:rsidR="00C54A1D" w:rsidRPr="00BC26BB" w:rsidRDefault="00C54A1D" w:rsidP="00CC3B9A">
            <w:pPr>
              <w:spacing w:after="0" w:line="276" w:lineRule="auto"/>
              <w:jc w:val="center"/>
              <w:rPr>
                <w:b/>
                <w:color w:val="000000"/>
                <w:sz w:val="16"/>
                <w:szCs w:val="16"/>
                <w:vertAlign w:val="superscript"/>
                <w:lang w:val="en-GB"/>
              </w:rPr>
            </w:pPr>
            <w:r>
              <w:rPr>
                <w:b/>
                <w:color w:val="000000"/>
                <w:sz w:val="16"/>
                <w:szCs w:val="16"/>
                <w:lang w:val="en-GB"/>
              </w:rPr>
              <w:t xml:space="preserve">Linearity of age with </w:t>
            </w:r>
            <w:r>
              <w:rPr>
                <w:b/>
                <w:color w:val="000000"/>
                <w:sz w:val="16"/>
                <w:szCs w:val="16"/>
                <w:lang w:val="en-GB"/>
              </w:rPr>
              <w:br/>
              <w:t>biomarker *</w:t>
            </w:r>
          </w:p>
        </w:tc>
        <w:tc>
          <w:tcPr>
            <w:tcW w:w="2454" w:type="dxa"/>
            <w:tcBorders>
              <w:top w:val="nil"/>
              <w:left w:val="nil"/>
              <w:bottom w:val="single" w:sz="4" w:space="0" w:color="auto"/>
              <w:right w:val="nil"/>
            </w:tcBorders>
          </w:tcPr>
          <w:p w14:paraId="32E4D4AB" w14:textId="77777777" w:rsidR="00C54A1D" w:rsidRPr="002D5A33" w:rsidRDefault="00C54A1D" w:rsidP="00CC3B9A">
            <w:pPr>
              <w:spacing w:after="0" w:line="276" w:lineRule="auto"/>
              <w:jc w:val="center"/>
              <w:rPr>
                <w:b/>
                <w:color w:val="000000"/>
                <w:sz w:val="16"/>
                <w:szCs w:val="16"/>
                <w:vertAlign w:val="superscript"/>
                <w:lang w:val="en-GB"/>
              </w:rPr>
            </w:pPr>
            <w:r w:rsidRPr="00F070AF">
              <w:rPr>
                <w:b/>
                <w:color w:val="000000"/>
                <w:sz w:val="16"/>
                <w:szCs w:val="16"/>
                <w:lang w:val="en-GB"/>
              </w:rPr>
              <w:t xml:space="preserve">p-value age coefficient linear </w:t>
            </w:r>
            <w:r>
              <w:rPr>
                <w:b/>
                <w:color w:val="000000"/>
                <w:sz w:val="16"/>
                <w:szCs w:val="16"/>
                <w:lang w:val="en-GB"/>
              </w:rPr>
              <w:br/>
            </w:r>
            <w:r w:rsidRPr="00F070AF">
              <w:rPr>
                <w:b/>
                <w:color w:val="000000"/>
                <w:sz w:val="16"/>
                <w:szCs w:val="16"/>
                <w:lang w:val="en-GB"/>
              </w:rPr>
              <w:t>regression analysis</w:t>
            </w:r>
            <w:r>
              <w:rPr>
                <w:b/>
                <w:color w:val="000000"/>
                <w:sz w:val="16"/>
                <w:szCs w:val="16"/>
                <w:vertAlign w:val="superscript"/>
                <w:lang w:val="en-GB"/>
              </w:rPr>
              <w:t xml:space="preserve"> </w:t>
            </w:r>
            <w:r w:rsidRPr="00525A9B">
              <w:rPr>
                <w:rFonts w:ascii="Open Sans" w:hAnsi="Open Sans" w:cs="Open Sans"/>
                <w:color w:val="666666"/>
                <w:sz w:val="16"/>
                <w:szCs w:val="16"/>
                <w:lang w:val="en-GB"/>
              </w:rPr>
              <w:t>†</w:t>
            </w:r>
          </w:p>
        </w:tc>
        <w:tc>
          <w:tcPr>
            <w:tcW w:w="2232" w:type="dxa"/>
            <w:tcBorders>
              <w:top w:val="nil"/>
              <w:left w:val="nil"/>
              <w:bottom w:val="single" w:sz="4" w:space="0" w:color="auto"/>
              <w:right w:val="nil"/>
            </w:tcBorders>
          </w:tcPr>
          <w:p w14:paraId="0FBF8143" w14:textId="77777777" w:rsidR="00C54A1D" w:rsidRPr="002D5A33" w:rsidRDefault="00C54A1D" w:rsidP="00CC3B9A">
            <w:pPr>
              <w:spacing w:after="0" w:line="276" w:lineRule="auto"/>
              <w:jc w:val="center"/>
              <w:rPr>
                <w:b/>
                <w:color w:val="000000"/>
                <w:sz w:val="16"/>
                <w:szCs w:val="16"/>
                <w:vertAlign w:val="superscript"/>
                <w:lang w:val="en-GB"/>
              </w:rPr>
            </w:pPr>
            <w:r w:rsidRPr="00F070AF">
              <w:rPr>
                <w:b/>
                <w:color w:val="000000"/>
                <w:sz w:val="16"/>
                <w:szCs w:val="16"/>
                <w:lang w:val="en-GB"/>
              </w:rPr>
              <w:t xml:space="preserve">p-value age coefficient </w:t>
            </w:r>
            <w:r>
              <w:rPr>
                <w:b/>
                <w:color w:val="000000"/>
                <w:sz w:val="16"/>
                <w:szCs w:val="16"/>
                <w:lang w:val="en-GB"/>
              </w:rPr>
              <w:br/>
            </w:r>
            <w:r w:rsidRPr="00F070AF">
              <w:rPr>
                <w:b/>
                <w:color w:val="000000"/>
                <w:sz w:val="16"/>
                <w:szCs w:val="16"/>
                <w:lang w:val="en-GB"/>
              </w:rPr>
              <w:t>spline regression analysis</w:t>
            </w:r>
            <w:r>
              <w:rPr>
                <w:b/>
                <w:color w:val="000000"/>
                <w:sz w:val="16"/>
                <w:szCs w:val="16"/>
                <w:lang w:val="en-GB"/>
              </w:rPr>
              <w:t xml:space="preserve"> </w:t>
            </w:r>
            <w:r w:rsidRPr="00525A9B">
              <w:rPr>
                <w:rFonts w:ascii="Open Sans" w:hAnsi="Open Sans" w:cs="Open Sans"/>
                <w:color w:val="666666"/>
                <w:sz w:val="16"/>
                <w:szCs w:val="16"/>
                <w:lang w:val="en-GB"/>
              </w:rPr>
              <w:t>‡</w:t>
            </w:r>
          </w:p>
        </w:tc>
      </w:tr>
      <w:tr w:rsidR="00C54A1D" w:rsidRPr="00D067B4" w14:paraId="74BD22C4" w14:textId="77777777" w:rsidTr="00CC3B9A">
        <w:trPr>
          <w:trHeight w:val="217"/>
        </w:trPr>
        <w:tc>
          <w:tcPr>
            <w:tcW w:w="7427" w:type="dxa"/>
            <w:gridSpan w:val="3"/>
            <w:tcBorders>
              <w:top w:val="single" w:sz="4" w:space="0" w:color="auto"/>
              <w:left w:val="nil"/>
              <w:bottom w:val="single" w:sz="4" w:space="0" w:color="auto"/>
              <w:right w:val="nil"/>
            </w:tcBorders>
            <w:vAlign w:val="center"/>
          </w:tcPr>
          <w:p w14:paraId="4FD14436" w14:textId="77777777" w:rsidR="00C54A1D" w:rsidRDefault="00C54A1D" w:rsidP="00CC3B9A">
            <w:pPr>
              <w:spacing w:after="0" w:line="276" w:lineRule="auto"/>
              <w:rPr>
                <w:color w:val="000000"/>
                <w:sz w:val="16"/>
                <w:szCs w:val="16"/>
                <w:lang w:val="en-GB"/>
              </w:rPr>
            </w:pPr>
            <w:r>
              <w:rPr>
                <w:b/>
                <w:color w:val="000000"/>
                <w:sz w:val="16"/>
                <w:szCs w:val="16"/>
                <w:lang w:val="en-GB"/>
              </w:rPr>
              <w:t>Systemic inflammation and cytokine release</w:t>
            </w:r>
          </w:p>
        </w:tc>
        <w:tc>
          <w:tcPr>
            <w:tcW w:w="2232" w:type="dxa"/>
            <w:tcBorders>
              <w:top w:val="single" w:sz="4" w:space="0" w:color="auto"/>
              <w:left w:val="nil"/>
              <w:bottom w:val="single" w:sz="4" w:space="0" w:color="auto"/>
              <w:right w:val="nil"/>
            </w:tcBorders>
          </w:tcPr>
          <w:p w14:paraId="2A32AA54" w14:textId="77777777" w:rsidR="00C54A1D" w:rsidRDefault="00C54A1D" w:rsidP="00CC3B9A">
            <w:pPr>
              <w:spacing w:after="0" w:line="276" w:lineRule="auto"/>
              <w:rPr>
                <w:b/>
                <w:color w:val="000000"/>
                <w:sz w:val="16"/>
                <w:szCs w:val="16"/>
                <w:lang w:val="en-GB"/>
              </w:rPr>
            </w:pPr>
          </w:p>
        </w:tc>
      </w:tr>
      <w:tr w:rsidR="00C54A1D" w14:paraId="69E06ADB" w14:textId="77777777" w:rsidTr="00CC3B9A">
        <w:trPr>
          <w:trHeight w:val="231"/>
        </w:trPr>
        <w:tc>
          <w:tcPr>
            <w:tcW w:w="2518" w:type="dxa"/>
            <w:tcBorders>
              <w:top w:val="single" w:sz="4" w:space="0" w:color="auto"/>
              <w:left w:val="nil"/>
              <w:bottom w:val="nil"/>
              <w:right w:val="nil"/>
            </w:tcBorders>
            <w:vAlign w:val="center"/>
          </w:tcPr>
          <w:p w14:paraId="16EBB9A2"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CRP (mg/L)</w:t>
            </w:r>
          </w:p>
        </w:tc>
        <w:tc>
          <w:tcPr>
            <w:tcW w:w="2454" w:type="dxa"/>
            <w:tcBorders>
              <w:top w:val="single" w:sz="4" w:space="0" w:color="auto"/>
              <w:left w:val="nil"/>
              <w:bottom w:val="nil"/>
              <w:right w:val="nil"/>
            </w:tcBorders>
            <w:vAlign w:val="bottom"/>
          </w:tcPr>
          <w:p w14:paraId="6C3D3C36" w14:textId="77777777" w:rsidR="00C54A1D" w:rsidRDefault="00C54A1D" w:rsidP="00CC3B9A">
            <w:pPr>
              <w:spacing w:after="0" w:line="276" w:lineRule="auto"/>
              <w:jc w:val="center"/>
              <w:rPr>
                <w:color w:val="000000"/>
                <w:sz w:val="16"/>
                <w:szCs w:val="16"/>
                <w:lang w:val="en-GB"/>
              </w:rPr>
            </w:pPr>
            <w:r>
              <w:rPr>
                <w:color w:val="000000"/>
                <w:sz w:val="16"/>
                <w:szCs w:val="16"/>
                <w:lang w:val="en-GB"/>
              </w:rPr>
              <w:t>No</w:t>
            </w:r>
          </w:p>
        </w:tc>
        <w:tc>
          <w:tcPr>
            <w:tcW w:w="2454" w:type="dxa"/>
            <w:tcBorders>
              <w:top w:val="single" w:sz="4" w:space="0" w:color="auto"/>
              <w:left w:val="nil"/>
              <w:bottom w:val="nil"/>
              <w:right w:val="nil"/>
            </w:tcBorders>
            <w:vAlign w:val="bottom"/>
          </w:tcPr>
          <w:p w14:paraId="043BE4F3" w14:textId="77777777" w:rsidR="00C54A1D" w:rsidRDefault="00C54A1D" w:rsidP="00CC3B9A">
            <w:pPr>
              <w:spacing w:after="0" w:line="276" w:lineRule="auto"/>
              <w:jc w:val="center"/>
              <w:rPr>
                <w:color w:val="000000"/>
                <w:sz w:val="16"/>
                <w:szCs w:val="16"/>
                <w:lang w:val="en-GB"/>
              </w:rPr>
            </w:pPr>
            <w:r>
              <w:rPr>
                <w:color w:val="000000"/>
                <w:sz w:val="16"/>
                <w:szCs w:val="16"/>
                <w:lang w:val="en-GB"/>
              </w:rPr>
              <w:t>-</w:t>
            </w:r>
          </w:p>
        </w:tc>
        <w:tc>
          <w:tcPr>
            <w:tcW w:w="2232" w:type="dxa"/>
            <w:tcBorders>
              <w:top w:val="single" w:sz="4" w:space="0" w:color="auto"/>
              <w:left w:val="nil"/>
              <w:bottom w:val="nil"/>
              <w:right w:val="nil"/>
            </w:tcBorders>
          </w:tcPr>
          <w:p w14:paraId="08CADF2D" w14:textId="77777777" w:rsidR="00C54A1D" w:rsidRDefault="00C54A1D" w:rsidP="00CC3B9A">
            <w:pPr>
              <w:spacing w:after="0" w:line="276" w:lineRule="auto"/>
              <w:jc w:val="center"/>
              <w:rPr>
                <w:color w:val="000000"/>
                <w:sz w:val="16"/>
                <w:szCs w:val="16"/>
                <w:lang w:val="en-GB"/>
              </w:rPr>
            </w:pPr>
            <w:r>
              <w:rPr>
                <w:color w:val="000000"/>
                <w:sz w:val="16"/>
                <w:szCs w:val="16"/>
                <w:lang w:val="en-GB"/>
              </w:rPr>
              <w:t>0.080</w:t>
            </w:r>
          </w:p>
        </w:tc>
      </w:tr>
      <w:tr w:rsidR="00C54A1D" w14:paraId="153C4DCA" w14:textId="77777777" w:rsidTr="00CC3B9A">
        <w:trPr>
          <w:trHeight w:val="217"/>
        </w:trPr>
        <w:tc>
          <w:tcPr>
            <w:tcW w:w="2518" w:type="dxa"/>
            <w:tcBorders>
              <w:top w:val="nil"/>
              <w:left w:val="nil"/>
              <w:bottom w:val="nil"/>
              <w:right w:val="nil"/>
            </w:tcBorders>
            <w:vAlign w:val="center"/>
          </w:tcPr>
          <w:p w14:paraId="61704586"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MMP-8 (ng/mL)</w:t>
            </w:r>
          </w:p>
        </w:tc>
        <w:tc>
          <w:tcPr>
            <w:tcW w:w="2454" w:type="dxa"/>
            <w:tcBorders>
              <w:top w:val="nil"/>
              <w:left w:val="nil"/>
              <w:bottom w:val="nil"/>
              <w:right w:val="nil"/>
            </w:tcBorders>
            <w:vAlign w:val="bottom"/>
          </w:tcPr>
          <w:p w14:paraId="2B280A16"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3A17B0C1" w14:textId="77777777" w:rsidR="00C54A1D" w:rsidRDefault="00C54A1D" w:rsidP="00CC3B9A">
            <w:pPr>
              <w:spacing w:after="0" w:line="276" w:lineRule="auto"/>
              <w:jc w:val="center"/>
              <w:rPr>
                <w:color w:val="000000"/>
                <w:sz w:val="16"/>
                <w:szCs w:val="16"/>
                <w:lang w:val="en-GB"/>
              </w:rPr>
            </w:pPr>
            <w:r w:rsidRPr="000D20C0">
              <w:rPr>
                <w:color w:val="000000"/>
                <w:sz w:val="16"/>
                <w:szCs w:val="16"/>
                <w:lang w:val="en-GB"/>
              </w:rPr>
              <w:t>0</w:t>
            </w:r>
            <w:r>
              <w:rPr>
                <w:color w:val="000000"/>
                <w:sz w:val="16"/>
                <w:szCs w:val="16"/>
                <w:lang w:val="en-GB"/>
              </w:rPr>
              <w:t>.</w:t>
            </w:r>
            <w:r w:rsidRPr="000D20C0">
              <w:rPr>
                <w:color w:val="000000"/>
                <w:sz w:val="16"/>
                <w:szCs w:val="16"/>
                <w:lang w:val="en-GB"/>
              </w:rPr>
              <w:t>374</w:t>
            </w:r>
          </w:p>
        </w:tc>
        <w:tc>
          <w:tcPr>
            <w:tcW w:w="2232" w:type="dxa"/>
            <w:tcBorders>
              <w:top w:val="nil"/>
              <w:left w:val="nil"/>
              <w:bottom w:val="nil"/>
              <w:right w:val="nil"/>
            </w:tcBorders>
          </w:tcPr>
          <w:p w14:paraId="39E4AFE2" w14:textId="77777777" w:rsidR="00C54A1D" w:rsidRPr="00022869" w:rsidRDefault="00C54A1D" w:rsidP="00CC3B9A">
            <w:pPr>
              <w:spacing w:after="0" w:line="276" w:lineRule="auto"/>
              <w:jc w:val="center"/>
              <w:rPr>
                <w:color w:val="000000"/>
                <w:sz w:val="16"/>
                <w:szCs w:val="16"/>
                <w:lang w:val="en-GB"/>
              </w:rPr>
            </w:pPr>
            <w:r w:rsidRPr="00022869">
              <w:rPr>
                <w:color w:val="000000"/>
                <w:sz w:val="16"/>
                <w:szCs w:val="16"/>
                <w:lang w:val="en-GB"/>
              </w:rPr>
              <w:t>-</w:t>
            </w:r>
          </w:p>
        </w:tc>
      </w:tr>
      <w:tr w:rsidR="00C54A1D" w14:paraId="2D325791" w14:textId="77777777" w:rsidTr="00CC3B9A">
        <w:trPr>
          <w:trHeight w:val="231"/>
        </w:trPr>
        <w:tc>
          <w:tcPr>
            <w:tcW w:w="2518" w:type="dxa"/>
            <w:tcBorders>
              <w:top w:val="nil"/>
              <w:left w:val="nil"/>
              <w:bottom w:val="nil"/>
              <w:right w:val="nil"/>
            </w:tcBorders>
            <w:vAlign w:val="center"/>
          </w:tcPr>
          <w:p w14:paraId="45810C4F"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TIMP1 (ng/mL)</w:t>
            </w:r>
          </w:p>
        </w:tc>
        <w:tc>
          <w:tcPr>
            <w:tcW w:w="2454" w:type="dxa"/>
            <w:tcBorders>
              <w:top w:val="nil"/>
              <w:left w:val="nil"/>
              <w:bottom w:val="nil"/>
              <w:right w:val="nil"/>
            </w:tcBorders>
            <w:vAlign w:val="bottom"/>
          </w:tcPr>
          <w:p w14:paraId="02C208F2"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68DDE203" w14:textId="77777777" w:rsidR="00C54A1D" w:rsidRDefault="00C54A1D" w:rsidP="00CC3B9A">
            <w:pPr>
              <w:spacing w:after="0" w:line="276" w:lineRule="auto"/>
              <w:jc w:val="center"/>
              <w:rPr>
                <w:color w:val="000000"/>
                <w:sz w:val="16"/>
                <w:szCs w:val="16"/>
                <w:lang w:val="en-GB"/>
              </w:rPr>
            </w:pPr>
            <w:r w:rsidRPr="000D20C0">
              <w:rPr>
                <w:color w:val="000000"/>
                <w:sz w:val="16"/>
                <w:szCs w:val="16"/>
                <w:lang w:val="en-GB"/>
              </w:rPr>
              <w:t>0</w:t>
            </w:r>
            <w:r>
              <w:rPr>
                <w:color w:val="000000"/>
                <w:sz w:val="16"/>
                <w:szCs w:val="16"/>
                <w:lang w:val="en-GB"/>
              </w:rPr>
              <w:t>.</w:t>
            </w:r>
            <w:r w:rsidRPr="000D20C0">
              <w:rPr>
                <w:color w:val="000000"/>
                <w:sz w:val="16"/>
                <w:szCs w:val="16"/>
                <w:lang w:val="en-GB"/>
              </w:rPr>
              <w:t>374</w:t>
            </w:r>
          </w:p>
        </w:tc>
        <w:tc>
          <w:tcPr>
            <w:tcW w:w="2232" w:type="dxa"/>
            <w:tcBorders>
              <w:top w:val="nil"/>
              <w:left w:val="nil"/>
              <w:bottom w:val="nil"/>
              <w:right w:val="nil"/>
            </w:tcBorders>
          </w:tcPr>
          <w:p w14:paraId="23346C7A" w14:textId="77777777" w:rsidR="00C54A1D" w:rsidRPr="00022869" w:rsidRDefault="00C54A1D" w:rsidP="00CC3B9A">
            <w:pPr>
              <w:spacing w:after="0" w:line="276" w:lineRule="auto"/>
              <w:jc w:val="center"/>
              <w:rPr>
                <w:color w:val="000000"/>
                <w:sz w:val="16"/>
                <w:szCs w:val="16"/>
                <w:lang w:val="en-GB"/>
              </w:rPr>
            </w:pPr>
            <w:r w:rsidRPr="00022869">
              <w:rPr>
                <w:color w:val="000000"/>
                <w:sz w:val="16"/>
                <w:szCs w:val="16"/>
                <w:lang w:val="en-GB"/>
              </w:rPr>
              <w:t>-</w:t>
            </w:r>
          </w:p>
        </w:tc>
      </w:tr>
      <w:tr w:rsidR="00C54A1D" w14:paraId="2620A716" w14:textId="77777777" w:rsidTr="00CC3B9A">
        <w:trPr>
          <w:trHeight w:val="217"/>
        </w:trPr>
        <w:tc>
          <w:tcPr>
            <w:tcW w:w="2518" w:type="dxa"/>
            <w:tcBorders>
              <w:top w:val="nil"/>
              <w:left w:val="nil"/>
              <w:bottom w:val="nil"/>
              <w:right w:val="nil"/>
            </w:tcBorders>
            <w:vAlign w:val="center"/>
          </w:tcPr>
          <w:p w14:paraId="7F5627F2"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IL-6 (</w:t>
            </w:r>
            <w:proofErr w:type="spellStart"/>
            <w:r w:rsidRPr="00F070AF">
              <w:rPr>
                <w:b/>
                <w:color w:val="000000"/>
                <w:sz w:val="16"/>
                <w:szCs w:val="16"/>
                <w:lang w:val="en-GB"/>
              </w:rPr>
              <w:t>pg</w:t>
            </w:r>
            <w:proofErr w:type="spellEnd"/>
            <w:r w:rsidRPr="00F070AF">
              <w:rPr>
                <w:b/>
                <w:color w:val="000000"/>
                <w:sz w:val="16"/>
                <w:szCs w:val="16"/>
                <w:lang w:val="en-GB"/>
              </w:rPr>
              <w:t>/mL)</w:t>
            </w:r>
          </w:p>
        </w:tc>
        <w:tc>
          <w:tcPr>
            <w:tcW w:w="2454" w:type="dxa"/>
            <w:tcBorders>
              <w:top w:val="nil"/>
              <w:left w:val="nil"/>
              <w:bottom w:val="nil"/>
              <w:right w:val="nil"/>
            </w:tcBorders>
            <w:vAlign w:val="bottom"/>
          </w:tcPr>
          <w:p w14:paraId="274759B0"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774888A1" w14:textId="77777777" w:rsidR="00C54A1D" w:rsidRDefault="00C54A1D" w:rsidP="00CC3B9A">
            <w:pPr>
              <w:spacing w:after="0" w:line="276" w:lineRule="auto"/>
              <w:jc w:val="center"/>
              <w:rPr>
                <w:color w:val="000000"/>
                <w:sz w:val="16"/>
                <w:szCs w:val="16"/>
                <w:lang w:val="en-GB"/>
              </w:rPr>
            </w:pPr>
            <w:r w:rsidRPr="000D20C0">
              <w:rPr>
                <w:color w:val="000000"/>
                <w:sz w:val="16"/>
                <w:szCs w:val="16"/>
                <w:lang w:val="en-GB"/>
              </w:rPr>
              <w:t>0</w:t>
            </w:r>
            <w:r>
              <w:rPr>
                <w:color w:val="000000"/>
                <w:sz w:val="16"/>
                <w:szCs w:val="16"/>
                <w:lang w:val="en-GB"/>
              </w:rPr>
              <w:t>.</w:t>
            </w:r>
            <w:r w:rsidRPr="001B0952">
              <w:rPr>
                <w:color w:val="000000"/>
                <w:sz w:val="16"/>
                <w:szCs w:val="16"/>
                <w:lang w:val="en-GB"/>
              </w:rPr>
              <w:t>899</w:t>
            </w:r>
          </w:p>
        </w:tc>
        <w:tc>
          <w:tcPr>
            <w:tcW w:w="2232" w:type="dxa"/>
            <w:tcBorders>
              <w:top w:val="nil"/>
              <w:left w:val="nil"/>
              <w:bottom w:val="nil"/>
              <w:right w:val="nil"/>
            </w:tcBorders>
          </w:tcPr>
          <w:p w14:paraId="34AE8492" w14:textId="77777777" w:rsidR="00C54A1D" w:rsidRPr="00022869" w:rsidRDefault="00C54A1D" w:rsidP="00CC3B9A">
            <w:pPr>
              <w:spacing w:after="0" w:line="276" w:lineRule="auto"/>
              <w:jc w:val="center"/>
              <w:rPr>
                <w:color w:val="000000"/>
                <w:sz w:val="16"/>
                <w:szCs w:val="16"/>
                <w:lang w:val="en-GB"/>
              </w:rPr>
            </w:pPr>
            <w:r w:rsidRPr="00022869">
              <w:rPr>
                <w:color w:val="000000"/>
                <w:sz w:val="16"/>
                <w:szCs w:val="16"/>
                <w:lang w:val="en-GB"/>
              </w:rPr>
              <w:t>-</w:t>
            </w:r>
          </w:p>
        </w:tc>
      </w:tr>
      <w:tr w:rsidR="00C54A1D" w14:paraId="3E6DE91C" w14:textId="77777777" w:rsidTr="00CC3B9A">
        <w:trPr>
          <w:trHeight w:val="231"/>
        </w:trPr>
        <w:tc>
          <w:tcPr>
            <w:tcW w:w="2518" w:type="dxa"/>
            <w:tcBorders>
              <w:top w:val="nil"/>
              <w:left w:val="nil"/>
              <w:bottom w:val="nil"/>
              <w:right w:val="nil"/>
            </w:tcBorders>
            <w:vAlign w:val="center"/>
          </w:tcPr>
          <w:p w14:paraId="4DB6CCDC"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IL-8 (</w:t>
            </w:r>
            <w:proofErr w:type="spellStart"/>
            <w:r w:rsidRPr="00F070AF">
              <w:rPr>
                <w:b/>
                <w:color w:val="000000"/>
                <w:sz w:val="16"/>
                <w:szCs w:val="16"/>
                <w:lang w:val="en-GB"/>
              </w:rPr>
              <w:t>pg</w:t>
            </w:r>
            <w:proofErr w:type="spellEnd"/>
            <w:r w:rsidRPr="00F070AF">
              <w:rPr>
                <w:b/>
                <w:color w:val="000000"/>
                <w:sz w:val="16"/>
                <w:szCs w:val="16"/>
                <w:lang w:val="en-GB"/>
              </w:rPr>
              <w:t>/mL)</w:t>
            </w:r>
          </w:p>
        </w:tc>
        <w:tc>
          <w:tcPr>
            <w:tcW w:w="2454" w:type="dxa"/>
            <w:tcBorders>
              <w:top w:val="nil"/>
              <w:left w:val="nil"/>
              <w:bottom w:val="nil"/>
              <w:right w:val="nil"/>
            </w:tcBorders>
            <w:vAlign w:val="bottom"/>
          </w:tcPr>
          <w:p w14:paraId="78DDF3E7"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75E2D8E7" w14:textId="77777777" w:rsidR="00C54A1D" w:rsidRPr="00F070AF" w:rsidRDefault="00C54A1D" w:rsidP="00CC3B9A">
            <w:pPr>
              <w:spacing w:after="0" w:line="276" w:lineRule="auto"/>
              <w:jc w:val="center"/>
              <w:rPr>
                <w:b/>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404</w:t>
            </w:r>
          </w:p>
        </w:tc>
        <w:tc>
          <w:tcPr>
            <w:tcW w:w="2232" w:type="dxa"/>
            <w:tcBorders>
              <w:top w:val="nil"/>
              <w:left w:val="nil"/>
              <w:bottom w:val="nil"/>
              <w:right w:val="nil"/>
            </w:tcBorders>
          </w:tcPr>
          <w:p w14:paraId="1AA81D04" w14:textId="77777777" w:rsidR="00C54A1D" w:rsidRPr="00022869" w:rsidRDefault="00C54A1D" w:rsidP="00CC3B9A">
            <w:pPr>
              <w:spacing w:after="0" w:line="276" w:lineRule="auto"/>
              <w:jc w:val="center"/>
              <w:rPr>
                <w:color w:val="000000"/>
                <w:sz w:val="16"/>
                <w:szCs w:val="16"/>
                <w:lang w:val="en-GB"/>
              </w:rPr>
            </w:pPr>
            <w:r w:rsidRPr="00022869">
              <w:rPr>
                <w:color w:val="000000"/>
                <w:sz w:val="16"/>
                <w:szCs w:val="16"/>
                <w:lang w:val="en-GB"/>
              </w:rPr>
              <w:t>-</w:t>
            </w:r>
          </w:p>
        </w:tc>
      </w:tr>
      <w:tr w:rsidR="00C54A1D" w14:paraId="0E2CB265" w14:textId="77777777" w:rsidTr="00CC3B9A">
        <w:trPr>
          <w:trHeight w:val="217"/>
        </w:trPr>
        <w:tc>
          <w:tcPr>
            <w:tcW w:w="2518" w:type="dxa"/>
            <w:tcBorders>
              <w:top w:val="nil"/>
              <w:left w:val="nil"/>
              <w:bottom w:val="single" w:sz="4" w:space="0" w:color="auto"/>
              <w:right w:val="nil"/>
            </w:tcBorders>
            <w:vAlign w:val="center"/>
          </w:tcPr>
          <w:p w14:paraId="1994BC07"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IL-10 (</w:t>
            </w:r>
            <w:proofErr w:type="spellStart"/>
            <w:r w:rsidRPr="00F070AF">
              <w:rPr>
                <w:b/>
                <w:color w:val="000000"/>
                <w:sz w:val="16"/>
                <w:szCs w:val="16"/>
                <w:lang w:val="en-GB"/>
              </w:rPr>
              <w:t>pg</w:t>
            </w:r>
            <w:proofErr w:type="spellEnd"/>
            <w:r w:rsidRPr="00F070AF">
              <w:rPr>
                <w:b/>
                <w:color w:val="000000"/>
                <w:sz w:val="16"/>
                <w:szCs w:val="16"/>
                <w:lang w:val="en-GB"/>
              </w:rPr>
              <w:t>/mL)</w:t>
            </w:r>
          </w:p>
        </w:tc>
        <w:tc>
          <w:tcPr>
            <w:tcW w:w="2454" w:type="dxa"/>
            <w:tcBorders>
              <w:top w:val="nil"/>
              <w:left w:val="nil"/>
              <w:bottom w:val="single" w:sz="4" w:space="0" w:color="auto"/>
              <w:right w:val="nil"/>
            </w:tcBorders>
            <w:vAlign w:val="bottom"/>
          </w:tcPr>
          <w:p w14:paraId="79FE1EBF"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single" w:sz="4" w:space="0" w:color="auto"/>
              <w:right w:val="nil"/>
            </w:tcBorders>
            <w:vAlign w:val="bottom"/>
          </w:tcPr>
          <w:p w14:paraId="24EE8D29"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268</w:t>
            </w:r>
          </w:p>
        </w:tc>
        <w:tc>
          <w:tcPr>
            <w:tcW w:w="2232" w:type="dxa"/>
            <w:tcBorders>
              <w:top w:val="nil"/>
              <w:left w:val="nil"/>
              <w:bottom w:val="single" w:sz="4" w:space="0" w:color="auto"/>
              <w:right w:val="nil"/>
            </w:tcBorders>
          </w:tcPr>
          <w:p w14:paraId="6EAA1676" w14:textId="77777777" w:rsidR="00C54A1D" w:rsidRPr="00022869" w:rsidRDefault="00C54A1D" w:rsidP="00CC3B9A">
            <w:pPr>
              <w:spacing w:after="0" w:line="276" w:lineRule="auto"/>
              <w:jc w:val="center"/>
              <w:rPr>
                <w:color w:val="000000"/>
                <w:sz w:val="16"/>
                <w:szCs w:val="16"/>
                <w:lang w:val="en-GB"/>
              </w:rPr>
            </w:pPr>
            <w:r w:rsidRPr="00022869">
              <w:rPr>
                <w:color w:val="000000"/>
                <w:sz w:val="16"/>
                <w:szCs w:val="16"/>
                <w:lang w:val="en-GB"/>
              </w:rPr>
              <w:t>-</w:t>
            </w:r>
          </w:p>
        </w:tc>
      </w:tr>
      <w:tr w:rsidR="00C54A1D" w:rsidRPr="00D067B4" w14:paraId="48CFBF21" w14:textId="77777777" w:rsidTr="00CC3B9A">
        <w:trPr>
          <w:trHeight w:val="231"/>
        </w:trPr>
        <w:tc>
          <w:tcPr>
            <w:tcW w:w="7427" w:type="dxa"/>
            <w:gridSpan w:val="3"/>
            <w:tcBorders>
              <w:top w:val="single" w:sz="4" w:space="0" w:color="auto"/>
              <w:left w:val="nil"/>
              <w:bottom w:val="single" w:sz="4" w:space="0" w:color="auto"/>
              <w:right w:val="nil"/>
            </w:tcBorders>
            <w:vAlign w:val="center"/>
          </w:tcPr>
          <w:p w14:paraId="63C4742D" w14:textId="77777777" w:rsidR="00C54A1D" w:rsidRDefault="00C54A1D" w:rsidP="00CC3B9A">
            <w:pPr>
              <w:spacing w:after="0" w:line="276" w:lineRule="auto"/>
              <w:rPr>
                <w:color w:val="000000"/>
                <w:sz w:val="16"/>
                <w:szCs w:val="16"/>
                <w:lang w:val="en-GB"/>
              </w:rPr>
            </w:pPr>
            <w:r>
              <w:rPr>
                <w:b/>
                <w:color w:val="000000"/>
                <w:sz w:val="16"/>
                <w:szCs w:val="16"/>
                <w:lang w:val="en-GB"/>
              </w:rPr>
              <w:t>Endothelial cell activation and function</w:t>
            </w:r>
            <w:r w:rsidRPr="00F070AF">
              <w:rPr>
                <w:b/>
                <w:color w:val="000000"/>
                <w:sz w:val="16"/>
                <w:szCs w:val="16"/>
                <w:lang w:val="en-GB"/>
              </w:rPr>
              <w:t xml:space="preserve"> </w:t>
            </w:r>
          </w:p>
        </w:tc>
        <w:tc>
          <w:tcPr>
            <w:tcW w:w="2232" w:type="dxa"/>
            <w:tcBorders>
              <w:top w:val="single" w:sz="4" w:space="0" w:color="auto"/>
              <w:left w:val="nil"/>
              <w:bottom w:val="single" w:sz="4" w:space="0" w:color="auto"/>
              <w:right w:val="nil"/>
            </w:tcBorders>
          </w:tcPr>
          <w:p w14:paraId="02A9D7FD" w14:textId="77777777" w:rsidR="00C54A1D" w:rsidRDefault="00C54A1D" w:rsidP="00CC3B9A">
            <w:pPr>
              <w:spacing w:after="0" w:line="276" w:lineRule="auto"/>
              <w:rPr>
                <w:b/>
                <w:color w:val="000000"/>
                <w:sz w:val="16"/>
                <w:szCs w:val="16"/>
                <w:lang w:val="en-GB"/>
              </w:rPr>
            </w:pPr>
          </w:p>
        </w:tc>
      </w:tr>
      <w:tr w:rsidR="00C54A1D" w14:paraId="2FD4107D" w14:textId="77777777" w:rsidTr="00CC3B9A">
        <w:trPr>
          <w:trHeight w:val="217"/>
        </w:trPr>
        <w:tc>
          <w:tcPr>
            <w:tcW w:w="2518" w:type="dxa"/>
            <w:tcBorders>
              <w:top w:val="single" w:sz="4" w:space="0" w:color="auto"/>
              <w:left w:val="nil"/>
              <w:bottom w:val="nil"/>
              <w:right w:val="nil"/>
            </w:tcBorders>
            <w:vAlign w:val="center"/>
          </w:tcPr>
          <w:p w14:paraId="64E433FF" w14:textId="77777777" w:rsidR="00C54A1D" w:rsidRPr="00F070AF" w:rsidRDefault="00C54A1D" w:rsidP="00CC3B9A">
            <w:pPr>
              <w:spacing w:after="0" w:line="276" w:lineRule="auto"/>
              <w:rPr>
                <w:b/>
                <w:color w:val="000000"/>
                <w:sz w:val="16"/>
                <w:szCs w:val="16"/>
                <w:lang w:val="en-GB"/>
              </w:rPr>
            </w:pPr>
            <w:proofErr w:type="spellStart"/>
            <w:r w:rsidRPr="00F070AF">
              <w:rPr>
                <w:b/>
                <w:color w:val="000000"/>
                <w:sz w:val="16"/>
                <w:szCs w:val="16"/>
                <w:lang w:val="en-GB"/>
              </w:rPr>
              <w:t>sE</w:t>
            </w:r>
            <w:proofErr w:type="spellEnd"/>
            <w:r w:rsidRPr="00F070AF">
              <w:rPr>
                <w:b/>
                <w:color w:val="000000"/>
                <w:sz w:val="16"/>
                <w:szCs w:val="16"/>
                <w:lang w:val="en-GB"/>
              </w:rPr>
              <w:t>-selectin (ng/mL)</w:t>
            </w:r>
          </w:p>
        </w:tc>
        <w:tc>
          <w:tcPr>
            <w:tcW w:w="2454" w:type="dxa"/>
            <w:tcBorders>
              <w:top w:val="single" w:sz="4" w:space="0" w:color="auto"/>
              <w:left w:val="nil"/>
              <w:bottom w:val="nil"/>
              <w:right w:val="nil"/>
            </w:tcBorders>
            <w:vAlign w:val="bottom"/>
          </w:tcPr>
          <w:p w14:paraId="21ABBAC5"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single" w:sz="4" w:space="0" w:color="auto"/>
              <w:left w:val="nil"/>
              <w:bottom w:val="nil"/>
              <w:right w:val="nil"/>
            </w:tcBorders>
            <w:vAlign w:val="bottom"/>
          </w:tcPr>
          <w:p w14:paraId="5428D814"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005</w:t>
            </w:r>
          </w:p>
        </w:tc>
        <w:tc>
          <w:tcPr>
            <w:tcW w:w="2232" w:type="dxa"/>
            <w:tcBorders>
              <w:top w:val="single" w:sz="4" w:space="0" w:color="auto"/>
              <w:left w:val="nil"/>
              <w:bottom w:val="nil"/>
              <w:right w:val="nil"/>
            </w:tcBorders>
          </w:tcPr>
          <w:p w14:paraId="3DF6602A" w14:textId="77777777" w:rsidR="00C54A1D" w:rsidRPr="00FB520C" w:rsidRDefault="00C54A1D" w:rsidP="00CC3B9A">
            <w:pPr>
              <w:spacing w:after="0" w:line="276" w:lineRule="auto"/>
              <w:jc w:val="center"/>
              <w:rPr>
                <w:color w:val="000000"/>
                <w:sz w:val="16"/>
                <w:szCs w:val="16"/>
                <w:lang w:val="en-GB"/>
              </w:rPr>
            </w:pPr>
            <w:r w:rsidRPr="00FB520C">
              <w:rPr>
                <w:color w:val="000000"/>
                <w:sz w:val="16"/>
                <w:szCs w:val="16"/>
                <w:lang w:val="en-GB"/>
              </w:rPr>
              <w:t>-</w:t>
            </w:r>
          </w:p>
        </w:tc>
      </w:tr>
      <w:tr w:rsidR="00C54A1D" w14:paraId="135F2CD2" w14:textId="77777777" w:rsidTr="00CC3B9A">
        <w:trPr>
          <w:trHeight w:val="217"/>
        </w:trPr>
        <w:tc>
          <w:tcPr>
            <w:tcW w:w="2518" w:type="dxa"/>
            <w:tcBorders>
              <w:top w:val="nil"/>
              <w:left w:val="nil"/>
              <w:bottom w:val="nil"/>
              <w:right w:val="nil"/>
            </w:tcBorders>
            <w:vAlign w:val="center"/>
          </w:tcPr>
          <w:p w14:paraId="75894E18"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sICAM-1 (ng/mL)</w:t>
            </w:r>
          </w:p>
        </w:tc>
        <w:tc>
          <w:tcPr>
            <w:tcW w:w="2454" w:type="dxa"/>
            <w:tcBorders>
              <w:top w:val="nil"/>
              <w:left w:val="nil"/>
              <w:bottom w:val="nil"/>
              <w:right w:val="nil"/>
            </w:tcBorders>
            <w:vAlign w:val="bottom"/>
          </w:tcPr>
          <w:p w14:paraId="2F85E1E3" w14:textId="77777777" w:rsidR="00C54A1D" w:rsidRDefault="00C54A1D" w:rsidP="00CC3B9A">
            <w:pPr>
              <w:spacing w:after="0" w:line="276" w:lineRule="auto"/>
              <w:jc w:val="center"/>
              <w:rPr>
                <w:color w:val="000000"/>
                <w:sz w:val="16"/>
                <w:szCs w:val="16"/>
                <w:lang w:val="en-GB"/>
              </w:rPr>
            </w:pPr>
            <w:r>
              <w:rPr>
                <w:color w:val="000000"/>
                <w:sz w:val="16"/>
                <w:szCs w:val="16"/>
                <w:lang w:val="en-GB"/>
              </w:rPr>
              <w:t>No</w:t>
            </w:r>
          </w:p>
        </w:tc>
        <w:tc>
          <w:tcPr>
            <w:tcW w:w="2454" w:type="dxa"/>
            <w:tcBorders>
              <w:top w:val="nil"/>
              <w:left w:val="nil"/>
              <w:bottom w:val="nil"/>
              <w:right w:val="nil"/>
            </w:tcBorders>
            <w:vAlign w:val="bottom"/>
          </w:tcPr>
          <w:p w14:paraId="3E377BFC"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w:t>
            </w:r>
          </w:p>
        </w:tc>
        <w:tc>
          <w:tcPr>
            <w:tcW w:w="2232" w:type="dxa"/>
            <w:tcBorders>
              <w:top w:val="nil"/>
              <w:left w:val="nil"/>
              <w:bottom w:val="nil"/>
              <w:right w:val="nil"/>
            </w:tcBorders>
          </w:tcPr>
          <w:p w14:paraId="719C4710" w14:textId="77777777" w:rsidR="00C54A1D" w:rsidRDefault="00C54A1D" w:rsidP="00CC3B9A">
            <w:pPr>
              <w:spacing w:after="0" w:line="276" w:lineRule="auto"/>
              <w:jc w:val="center"/>
              <w:rPr>
                <w:color w:val="000000"/>
                <w:sz w:val="16"/>
                <w:szCs w:val="16"/>
                <w:lang w:val="en-GB"/>
              </w:rPr>
            </w:pPr>
            <w:r>
              <w:rPr>
                <w:color w:val="000000"/>
                <w:sz w:val="16"/>
                <w:szCs w:val="16"/>
                <w:lang w:val="en-GB"/>
              </w:rPr>
              <w:t>0.002</w:t>
            </w:r>
          </w:p>
        </w:tc>
      </w:tr>
      <w:tr w:rsidR="00C54A1D" w14:paraId="39757A51" w14:textId="77777777" w:rsidTr="00CC3B9A">
        <w:trPr>
          <w:trHeight w:val="231"/>
        </w:trPr>
        <w:tc>
          <w:tcPr>
            <w:tcW w:w="2518" w:type="dxa"/>
            <w:tcBorders>
              <w:top w:val="nil"/>
              <w:left w:val="nil"/>
              <w:bottom w:val="nil"/>
              <w:right w:val="nil"/>
            </w:tcBorders>
            <w:vAlign w:val="center"/>
          </w:tcPr>
          <w:p w14:paraId="45473F71" w14:textId="77777777" w:rsidR="00C54A1D" w:rsidRPr="00F070AF" w:rsidRDefault="00C54A1D" w:rsidP="00CC3B9A">
            <w:pPr>
              <w:spacing w:after="0" w:line="276" w:lineRule="auto"/>
              <w:rPr>
                <w:b/>
                <w:color w:val="000000"/>
                <w:sz w:val="16"/>
                <w:szCs w:val="16"/>
                <w:lang w:val="en-GB"/>
              </w:rPr>
            </w:pPr>
            <w:proofErr w:type="spellStart"/>
            <w:r w:rsidRPr="00F070AF">
              <w:rPr>
                <w:b/>
                <w:color w:val="000000"/>
                <w:sz w:val="16"/>
                <w:szCs w:val="16"/>
                <w:lang w:val="en-GB"/>
              </w:rPr>
              <w:t>Fractalkine</w:t>
            </w:r>
            <w:proofErr w:type="spellEnd"/>
            <w:r w:rsidRPr="00F070AF">
              <w:rPr>
                <w:b/>
                <w:color w:val="000000"/>
                <w:sz w:val="16"/>
                <w:szCs w:val="16"/>
                <w:lang w:val="en-GB"/>
              </w:rPr>
              <w:t xml:space="preserve"> (</w:t>
            </w:r>
            <w:proofErr w:type="spellStart"/>
            <w:r w:rsidRPr="00F070AF">
              <w:rPr>
                <w:b/>
                <w:color w:val="000000"/>
                <w:sz w:val="16"/>
                <w:szCs w:val="16"/>
                <w:lang w:val="en-GB"/>
              </w:rPr>
              <w:t>pg</w:t>
            </w:r>
            <w:proofErr w:type="spellEnd"/>
            <w:r w:rsidRPr="00F070AF">
              <w:rPr>
                <w:b/>
                <w:color w:val="000000"/>
                <w:sz w:val="16"/>
                <w:szCs w:val="16"/>
                <w:lang w:val="en-GB"/>
              </w:rPr>
              <w:t>/mL)</w:t>
            </w:r>
          </w:p>
        </w:tc>
        <w:tc>
          <w:tcPr>
            <w:tcW w:w="2454" w:type="dxa"/>
            <w:tcBorders>
              <w:top w:val="nil"/>
              <w:left w:val="nil"/>
              <w:bottom w:val="nil"/>
              <w:right w:val="nil"/>
            </w:tcBorders>
            <w:vAlign w:val="bottom"/>
          </w:tcPr>
          <w:p w14:paraId="5959B302"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61352F36"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002</w:t>
            </w:r>
          </w:p>
        </w:tc>
        <w:tc>
          <w:tcPr>
            <w:tcW w:w="2232" w:type="dxa"/>
            <w:tcBorders>
              <w:top w:val="nil"/>
              <w:left w:val="nil"/>
              <w:bottom w:val="nil"/>
              <w:right w:val="nil"/>
            </w:tcBorders>
          </w:tcPr>
          <w:p w14:paraId="50612280" w14:textId="77777777" w:rsidR="00C54A1D" w:rsidRPr="00FB520C" w:rsidRDefault="00C54A1D" w:rsidP="00CC3B9A">
            <w:pPr>
              <w:spacing w:after="0" w:line="276" w:lineRule="auto"/>
              <w:jc w:val="center"/>
              <w:rPr>
                <w:color w:val="000000"/>
                <w:sz w:val="16"/>
                <w:szCs w:val="16"/>
                <w:lang w:val="en-GB"/>
              </w:rPr>
            </w:pPr>
            <w:r w:rsidRPr="00FB520C">
              <w:rPr>
                <w:color w:val="000000"/>
                <w:sz w:val="16"/>
                <w:szCs w:val="16"/>
                <w:lang w:val="en-GB"/>
              </w:rPr>
              <w:t>-</w:t>
            </w:r>
          </w:p>
        </w:tc>
      </w:tr>
      <w:tr w:rsidR="00C54A1D" w14:paraId="1F7BEF80" w14:textId="77777777" w:rsidTr="00CC3B9A">
        <w:trPr>
          <w:trHeight w:val="217"/>
        </w:trPr>
        <w:tc>
          <w:tcPr>
            <w:tcW w:w="2518" w:type="dxa"/>
            <w:tcBorders>
              <w:top w:val="nil"/>
              <w:left w:val="nil"/>
              <w:bottom w:val="nil"/>
              <w:right w:val="nil"/>
            </w:tcBorders>
            <w:vAlign w:val="center"/>
          </w:tcPr>
          <w:p w14:paraId="6AE24BE4" w14:textId="1EFC9710" w:rsidR="00C54A1D" w:rsidRPr="00F070AF" w:rsidRDefault="000206A4" w:rsidP="000206A4">
            <w:pPr>
              <w:spacing w:after="0" w:line="276" w:lineRule="auto"/>
              <w:rPr>
                <w:b/>
                <w:color w:val="000000"/>
                <w:sz w:val="16"/>
                <w:szCs w:val="16"/>
                <w:lang w:val="en-GB"/>
              </w:rPr>
            </w:pPr>
            <w:r>
              <w:rPr>
                <w:b/>
                <w:color w:val="000000"/>
                <w:sz w:val="16"/>
                <w:szCs w:val="16"/>
                <w:lang w:val="en-GB"/>
              </w:rPr>
              <w:t>A</w:t>
            </w:r>
            <w:r w:rsidRPr="00581D6B">
              <w:rPr>
                <w:b/>
                <w:color w:val="000000"/>
                <w:sz w:val="16"/>
                <w:szCs w:val="16"/>
                <w:lang w:val="en-GB"/>
              </w:rPr>
              <w:t>ngiopoietin</w:t>
            </w:r>
            <w:r w:rsidR="00C54A1D" w:rsidRPr="00F070AF">
              <w:rPr>
                <w:b/>
                <w:color w:val="000000"/>
                <w:sz w:val="16"/>
                <w:szCs w:val="16"/>
                <w:lang w:val="en-GB"/>
              </w:rPr>
              <w:t>-1 (ng/mL)</w:t>
            </w:r>
          </w:p>
        </w:tc>
        <w:tc>
          <w:tcPr>
            <w:tcW w:w="2454" w:type="dxa"/>
            <w:tcBorders>
              <w:top w:val="nil"/>
              <w:left w:val="nil"/>
              <w:bottom w:val="nil"/>
              <w:right w:val="nil"/>
            </w:tcBorders>
            <w:vAlign w:val="bottom"/>
          </w:tcPr>
          <w:p w14:paraId="06865B33"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6B656042"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004</w:t>
            </w:r>
          </w:p>
        </w:tc>
        <w:tc>
          <w:tcPr>
            <w:tcW w:w="2232" w:type="dxa"/>
            <w:tcBorders>
              <w:top w:val="nil"/>
              <w:left w:val="nil"/>
              <w:bottom w:val="nil"/>
              <w:right w:val="nil"/>
            </w:tcBorders>
          </w:tcPr>
          <w:p w14:paraId="2B2AAEAD" w14:textId="77777777" w:rsidR="00C54A1D" w:rsidRPr="00FB520C" w:rsidRDefault="00C54A1D" w:rsidP="00CC3B9A">
            <w:pPr>
              <w:spacing w:after="0" w:line="276" w:lineRule="auto"/>
              <w:jc w:val="center"/>
              <w:rPr>
                <w:color w:val="000000"/>
                <w:sz w:val="16"/>
                <w:szCs w:val="16"/>
                <w:lang w:val="en-GB"/>
              </w:rPr>
            </w:pPr>
            <w:r w:rsidRPr="00FB520C">
              <w:rPr>
                <w:color w:val="000000"/>
                <w:sz w:val="16"/>
                <w:szCs w:val="16"/>
                <w:lang w:val="en-GB"/>
              </w:rPr>
              <w:t>-</w:t>
            </w:r>
          </w:p>
        </w:tc>
      </w:tr>
      <w:tr w:rsidR="00C54A1D" w14:paraId="284E8E4D" w14:textId="77777777" w:rsidTr="00CC3B9A">
        <w:trPr>
          <w:trHeight w:val="231"/>
        </w:trPr>
        <w:tc>
          <w:tcPr>
            <w:tcW w:w="2518" w:type="dxa"/>
            <w:tcBorders>
              <w:top w:val="nil"/>
              <w:left w:val="nil"/>
              <w:bottom w:val="nil"/>
              <w:right w:val="nil"/>
            </w:tcBorders>
            <w:vAlign w:val="center"/>
          </w:tcPr>
          <w:p w14:paraId="709FD45E" w14:textId="6EAB6125" w:rsidR="00C54A1D" w:rsidRPr="00F070AF" w:rsidRDefault="000206A4" w:rsidP="00CC3B9A">
            <w:pPr>
              <w:spacing w:after="0" w:line="276" w:lineRule="auto"/>
              <w:rPr>
                <w:b/>
                <w:color w:val="000000"/>
                <w:sz w:val="16"/>
                <w:szCs w:val="16"/>
                <w:lang w:val="en-GB"/>
              </w:rPr>
            </w:pPr>
            <w:r>
              <w:rPr>
                <w:b/>
                <w:color w:val="000000"/>
                <w:sz w:val="16"/>
                <w:szCs w:val="16"/>
                <w:lang w:val="en-GB"/>
              </w:rPr>
              <w:t>A</w:t>
            </w:r>
            <w:r w:rsidRPr="00581D6B">
              <w:rPr>
                <w:b/>
                <w:color w:val="000000"/>
                <w:sz w:val="16"/>
                <w:szCs w:val="16"/>
                <w:lang w:val="en-GB"/>
              </w:rPr>
              <w:t>ngiopoietin</w:t>
            </w:r>
            <w:r w:rsidR="00C54A1D" w:rsidRPr="00F070AF">
              <w:rPr>
                <w:b/>
                <w:color w:val="000000"/>
                <w:sz w:val="16"/>
                <w:szCs w:val="16"/>
                <w:lang w:val="en-GB"/>
              </w:rPr>
              <w:t>-2 (ng/mL)</w:t>
            </w:r>
          </w:p>
        </w:tc>
        <w:tc>
          <w:tcPr>
            <w:tcW w:w="2454" w:type="dxa"/>
            <w:tcBorders>
              <w:top w:val="nil"/>
              <w:left w:val="nil"/>
              <w:bottom w:val="nil"/>
              <w:right w:val="nil"/>
            </w:tcBorders>
            <w:vAlign w:val="bottom"/>
          </w:tcPr>
          <w:p w14:paraId="3EA3164E" w14:textId="77777777" w:rsidR="00C54A1D" w:rsidRDefault="00C54A1D" w:rsidP="00CC3B9A">
            <w:pPr>
              <w:spacing w:after="0" w:line="276" w:lineRule="auto"/>
              <w:jc w:val="center"/>
              <w:rPr>
                <w:color w:val="000000"/>
                <w:sz w:val="16"/>
                <w:szCs w:val="16"/>
                <w:lang w:val="en-GB"/>
              </w:rPr>
            </w:pPr>
            <w:r>
              <w:rPr>
                <w:color w:val="000000"/>
                <w:sz w:val="16"/>
                <w:szCs w:val="16"/>
                <w:lang w:val="en-GB"/>
              </w:rPr>
              <w:t>Borderline</w:t>
            </w:r>
          </w:p>
        </w:tc>
        <w:tc>
          <w:tcPr>
            <w:tcW w:w="2454" w:type="dxa"/>
            <w:tcBorders>
              <w:top w:val="nil"/>
              <w:left w:val="nil"/>
              <w:bottom w:val="nil"/>
              <w:right w:val="nil"/>
            </w:tcBorders>
            <w:vAlign w:val="bottom"/>
          </w:tcPr>
          <w:p w14:paraId="119B876E" w14:textId="77777777" w:rsidR="00C54A1D" w:rsidRDefault="00C54A1D" w:rsidP="00CC3B9A">
            <w:pPr>
              <w:spacing w:after="0" w:line="276" w:lineRule="auto"/>
              <w:jc w:val="center"/>
              <w:rPr>
                <w:color w:val="000000"/>
                <w:sz w:val="16"/>
                <w:szCs w:val="16"/>
                <w:lang w:val="en-GB"/>
              </w:rPr>
            </w:pPr>
            <w:r>
              <w:rPr>
                <w:color w:val="000000"/>
                <w:sz w:val="16"/>
                <w:szCs w:val="16"/>
                <w:lang w:val="en-GB"/>
              </w:rPr>
              <w:t>0.875</w:t>
            </w:r>
          </w:p>
        </w:tc>
        <w:tc>
          <w:tcPr>
            <w:tcW w:w="2232" w:type="dxa"/>
            <w:tcBorders>
              <w:top w:val="nil"/>
              <w:left w:val="nil"/>
              <w:bottom w:val="nil"/>
              <w:right w:val="nil"/>
            </w:tcBorders>
          </w:tcPr>
          <w:p w14:paraId="16A73951" w14:textId="77777777" w:rsidR="00C54A1D" w:rsidRDefault="00C54A1D" w:rsidP="00CC3B9A">
            <w:pPr>
              <w:spacing w:after="0" w:line="276" w:lineRule="auto"/>
              <w:jc w:val="center"/>
              <w:rPr>
                <w:color w:val="000000"/>
                <w:sz w:val="16"/>
                <w:szCs w:val="16"/>
                <w:lang w:val="en-GB"/>
              </w:rPr>
            </w:pPr>
            <w:r>
              <w:rPr>
                <w:color w:val="000000"/>
                <w:sz w:val="16"/>
                <w:szCs w:val="16"/>
                <w:lang w:val="en-GB"/>
              </w:rPr>
              <w:t>0.313</w:t>
            </w:r>
          </w:p>
        </w:tc>
      </w:tr>
      <w:tr w:rsidR="00C54A1D" w14:paraId="279B7ADE" w14:textId="77777777" w:rsidTr="00CC3B9A">
        <w:trPr>
          <w:trHeight w:val="217"/>
        </w:trPr>
        <w:tc>
          <w:tcPr>
            <w:tcW w:w="2518" w:type="dxa"/>
            <w:tcBorders>
              <w:top w:val="nil"/>
              <w:left w:val="nil"/>
              <w:bottom w:val="single" w:sz="4" w:space="0" w:color="auto"/>
              <w:right w:val="nil"/>
            </w:tcBorders>
            <w:vAlign w:val="center"/>
          </w:tcPr>
          <w:p w14:paraId="68B5EA73" w14:textId="77F0B19C" w:rsidR="00C54A1D" w:rsidRPr="00F070AF" w:rsidRDefault="00D11C34" w:rsidP="00CC3B9A">
            <w:pPr>
              <w:spacing w:after="0" w:line="276" w:lineRule="auto"/>
              <w:rPr>
                <w:b/>
                <w:color w:val="000000"/>
                <w:sz w:val="16"/>
                <w:szCs w:val="16"/>
                <w:lang w:val="en-GB"/>
              </w:rPr>
            </w:pPr>
            <w:r>
              <w:rPr>
                <w:b/>
                <w:color w:val="000000"/>
                <w:sz w:val="16"/>
                <w:szCs w:val="16"/>
                <w:lang w:val="en-GB"/>
              </w:rPr>
              <w:t>A</w:t>
            </w:r>
            <w:r w:rsidRPr="00D11C34">
              <w:rPr>
                <w:b/>
                <w:color w:val="000000"/>
                <w:sz w:val="16"/>
                <w:szCs w:val="16"/>
                <w:lang w:val="en-GB"/>
              </w:rPr>
              <w:t>ngiopoietin-2/1 ratio</w:t>
            </w:r>
          </w:p>
        </w:tc>
        <w:tc>
          <w:tcPr>
            <w:tcW w:w="2454" w:type="dxa"/>
            <w:tcBorders>
              <w:top w:val="nil"/>
              <w:left w:val="nil"/>
              <w:bottom w:val="single" w:sz="4" w:space="0" w:color="auto"/>
              <w:right w:val="nil"/>
            </w:tcBorders>
            <w:vAlign w:val="bottom"/>
          </w:tcPr>
          <w:p w14:paraId="25F02CC0" w14:textId="77777777" w:rsidR="00C54A1D" w:rsidRDefault="00C54A1D" w:rsidP="00CC3B9A">
            <w:pPr>
              <w:spacing w:after="0" w:line="276" w:lineRule="auto"/>
              <w:jc w:val="center"/>
              <w:rPr>
                <w:color w:val="000000"/>
                <w:sz w:val="16"/>
                <w:szCs w:val="16"/>
                <w:lang w:val="en-GB"/>
              </w:rPr>
            </w:pPr>
            <w:r>
              <w:rPr>
                <w:color w:val="000000"/>
                <w:sz w:val="16"/>
                <w:szCs w:val="16"/>
                <w:lang w:val="en-GB"/>
              </w:rPr>
              <w:t>Borderline</w:t>
            </w:r>
          </w:p>
        </w:tc>
        <w:tc>
          <w:tcPr>
            <w:tcW w:w="2454" w:type="dxa"/>
            <w:tcBorders>
              <w:top w:val="nil"/>
              <w:left w:val="nil"/>
              <w:bottom w:val="single" w:sz="4" w:space="0" w:color="auto"/>
              <w:right w:val="nil"/>
            </w:tcBorders>
            <w:vAlign w:val="bottom"/>
          </w:tcPr>
          <w:p w14:paraId="09F1759B" w14:textId="77777777" w:rsidR="00C54A1D" w:rsidRDefault="00C54A1D" w:rsidP="00CC3B9A">
            <w:pPr>
              <w:spacing w:after="0" w:line="276" w:lineRule="auto"/>
              <w:jc w:val="center"/>
              <w:rPr>
                <w:color w:val="000000"/>
                <w:sz w:val="16"/>
                <w:szCs w:val="16"/>
                <w:lang w:val="en-GB"/>
              </w:rPr>
            </w:pPr>
            <w:r>
              <w:rPr>
                <w:color w:val="000000"/>
                <w:sz w:val="16"/>
                <w:szCs w:val="16"/>
                <w:lang w:val="en-GB"/>
              </w:rPr>
              <w:t>0.167</w:t>
            </w:r>
          </w:p>
        </w:tc>
        <w:tc>
          <w:tcPr>
            <w:tcW w:w="2232" w:type="dxa"/>
            <w:tcBorders>
              <w:top w:val="nil"/>
              <w:left w:val="nil"/>
              <w:bottom w:val="single" w:sz="4" w:space="0" w:color="auto"/>
              <w:right w:val="nil"/>
            </w:tcBorders>
          </w:tcPr>
          <w:p w14:paraId="0F396319" w14:textId="77777777" w:rsidR="00C54A1D" w:rsidRDefault="00C54A1D" w:rsidP="00CC3B9A">
            <w:pPr>
              <w:spacing w:after="0" w:line="276" w:lineRule="auto"/>
              <w:jc w:val="center"/>
              <w:rPr>
                <w:color w:val="000000"/>
                <w:sz w:val="16"/>
                <w:szCs w:val="16"/>
                <w:lang w:val="en-GB"/>
              </w:rPr>
            </w:pPr>
            <w:r>
              <w:rPr>
                <w:color w:val="000000"/>
                <w:sz w:val="16"/>
                <w:szCs w:val="16"/>
                <w:lang w:val="en-GB"/>
              </w:rPr>
              <w:t>0.157</w:t>
            </w:r>
          </w:p>
        </w:tc>
      </w:tr>
      <w:tr w:rsidR="00C54A1D" w14:paraId="3567623C" w14:textId="77777777" w:rsidTr="00CC3B9A">
        <w:trPr>
          <w:trHeight w:val="231"/>
        </w:trPr>
        <w:tc>
          <w:tcPr>
            <w:tcW w:w="7427" w:type="dxa"/>
            <w:gridSpan w:val="3"/>
            <w:tcBorders>
              <w:top w:val="single" w:sz="4" w:space="0" w:color="auto"/>
              <w:left w:val="nil"/>
              <w:bottom w:val="single" w:sz="4" w:space="0" w:color="auto"/>
              <w:right w:val="nil"/>
            </w:tcBorders>
            <w:vAlign w:val="center"/>
          </w:tcPr>
          <w:p w14:paraId="12C566C0" w14:textId="77777777" w:rsidR="00C54A1D" w:rsidRDefault="00C54A1D" w:rsidP="00CC3B9A">
            <w:pPr>
              <w:spacing w:after="0" w:line="276" w:lineRule="auto"/>
              <w:rPr>
                <w:color w:val="000000"/>
                <w:sz w:val="16"/>
                <w:szCs w:val="16"/>
                <w:lang w:val="en-GB"/>
              </w:rPr>
            </w:pPr>
            <w:r w:rsidRPr="00F070AF">
              <w:rPr>
                <w:b/>
                <w:color w:val="000000"/>
                <w:sz w:val="16"/>
                <w:szCs w:val="16"/>
                <w:lang w:val="en-GB"/>
              </w:rPr>
              <w:t>Coagulation</w:t>
            </w:r>
            <w:r>
              <w:rPr>
                <w:b/>
                <w:color w:val="000000"/>
                <w:sz w:val="16"/>
                <w:szCs w:val="16"/>
                <w:lang w:val="en-GB"/>
              </w:rPr>
              <w:t xml:space="preserve"> activation</w:t>
            </w:r>
          </w:p>
        </w:tc>
        <w:tc>
          <w:tcPr>
            <w:tcW w:w="2232" w:type="dxa"/>
            <w:tcBorders>
              <w:top w:val="single" w:sz="4" w:space="0" w:color="auto"/>
              <w:left w:val="nil"/>
              <w:bottom w:val="single" w:sz="4" w:space="0" w:color="auto"/>
              <w:right w:val="nil"/>
            </w:tcBorders>
          </w:tcPr>
          <w:p w14:paraId="3A038DE5" w14:textId="77777777" w:rsidR="00C54A1D" w:rsidRPr="00F070AF" w:rsidRDefault="00C54A1D" w:rsidP="00CC3B9A">
            <w:pPr>
              <w:spacing w:after="0" w:line="276" w:lineRule="auto"/>
              <w:rPr>
                <w:b/>
                <w:color w:val="000000"/>
                <w:sz w:val="16"/>
                <w:szCs w:val="16"/>
                <w:lang w:val="en-GB"/>
              </w:rPr>
            </w:pPr>
          </w:p>
        </w:tc>
      </w:tr>
      <w:tr w:rsidR="00C54A1D" w14:paraId="77632AA7" w14:textId="77777777" w:rsidTr="00CC3B9A">
        <w:trPr>
          <w:trHeight w:val="217"/>
        </w:trPr>
        <w:tc>
          <w:tcPr>
            <w:tcW w:w="2518" w:type="dxa"/>
            <w:tcBorders>
              <w:top w:val="single" w:sz="4" w:space="0" w:color="auto"/>
              <w:left w:val="nil"/>
              <w:bottom w:val="nil"/>
              <w:right w:val="nil"/>
            </w:tcBorders>
            <w:vAlign w:val="center"/>
          </w:tcPr>
          <w:p w14:paraId="5A305BAE"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Platelet count (x 10^9/L)</w:t>
            </w:r>
          </w:p>
        </w:tc>
        <w:tc>
          <w:tcPr>
            <w:tcW w:w="2454" w:type="dxa"/>
            <w:tcBorders>
              <w:top w:val="single" w:sz="4" w:space="0" w:color="auto"/>
              <w:left w:val="nil"/>
              <w:bottom w:val="nil"/>
              <w:right w:val="nil"/>
            </w:tcBorders>
            <w:vAlign w:val="bottom"/>
          </w:tcPr>
          <w:p w14:paraId="0C3A11C8"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single" w:sz="4" w:space="0" w:color="auto"/>
              <w:left w:val="nil"/>
              <w:bottom w:val="nil"/>
              <w:right w:val="nil"/>
            </w:tcBorders>
            <w:vAlign w:val="bottom"/>
          </w:tcPr>
          <w:p w14:paraId="2AC8EAE4"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002</w:t>
            </w:r>
          </w:p>
        </w:tc>
        <w:tc>
          <w:tcPr>
            <w:tcW w:w="2232" w:type="dxa"/>
            <w:tcBorders>
              <w:top w:val="single" w:sz="4" w:space="0" w:color="auto"/>
              <w:left w:val="nil"/>
              <w:bottom w:val="nil"/>
              <w:right w:val="nil"/>
            </w:tcBorders>
          </w:tcPr>
          <w:p w14:paraId="78E8005F" w14:textId="77777777" w:rsidR="00C54A1D" w:rsidRPr="00C04262" w:rsidRDefault="00C54A1D" w:rsidP="00CC3B9A">
            <w:pPr>
              <w:spacing w:after="0" w:line="276" w:lineRule="auto"/>
              <w:jc w:val="center"/>
              <w:rPr>
                <w:color w:val="000000"/>
                <w:sz w:val="16"/>
                <w:szCs w:val="16"/>
                <w:lang w:val="en-GB"/>
              </w:rPr>
            </w:pPr>
            <w:r w:rsidRPr="00C04262">
              <w:rPr>
                <w:color w:val="000000"/>
                <w:sz w:val="16"/>
                <w:szCs w:val="16"/>
                <w:lang w:val="en-GB"/>
              </w:rPr>
              <w:t>-</w:t>
            </w:r>
          </w:p>
        </w:tc>
      </w:tr>
      <w:tr w:rsidR="00C54A1D" w14:paraId="687C90E9" w14:textId="77777777" w:rsidTr="00CC3B9A">
        <w:trPr>
          <w:trHeight w:val="231"/>
        </w:trPr>
        <w:tc>
          <w:tcPr>
            <w:tcW w:w="2518" w:type="dxa"/>
            <w:tcBorders>
              <w:top w:val="nil"/>
              <w:left w:val="nil"/>
              <w:bottom w:val="nil"/>
              <w:right w:val="nil"/>
            </w:tcBorders>
            <w:vAlign w:val="center"/>
          </w:tcPr>
          <w:p w14:paraId="32684979"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PT (sec)</w:t>
            </w:r>
          </w:p>
        </w:tc>
        <w:tc>
          <w:tcPr>
            <w:tcW w:w="2454" w:type="dxa"/>
            <w:tcBorders>
              <w:top w:val="nil"/>
              <w:left w:val="nil"/>
              <w:bottom w:val="nil"/>
              <w:right w:val="nil"/>
            </w:tcBorders>
            <w:vAlign w:val="bottom"/>
          </w:tcPr>
          <w:p w14:paraId="65D763B9"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131995F6"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404</w:t>
            </w:r>
          </w:p>
        </w:tc>
        <w:tc>
          <w:tcPr>
            <w:tcW w:w="2232" w:type="dxa"/>
            <w:tcBorders>
              <w:top w:val="nil"/>
              <w:left w:val="nil"/>
              <w:bottom w:val="nil"/>
              <w:right w:val="nil"/>
            </w:tcBorders>
          </w:tcPr>
          <w:p w14:paraId="579ACB78" w14:textId="77777777" w:rsidR="00C54A1D" w:rsidRPr="00C04262" w:rsidRDefault="00C54A1D" w:rsidP="00CC3B9A">
            <w:pPr>
              <w:spacing w:after="0" w:line="276" w:lineRule="auto"/>
              <w:jc w:val="center"/>
              <w:rPr>
                <w:color w:val="000000"/>
                <w:sz w:val="16"/>
                <w:szCs w:val="16"/>
                <w:lang w:val="en-GB"/>
              </w:rPr>
            </w:pPr>
            <w:r w:rsidRPr="00C04262">
              <w:rPr>
                <w:color w:val="000000"/>
                <w:sz w:val="16"/>
                <w:szCs w:val="16"/>
                <w:lang w:val="en-GB"/>
              </w:rPr>
              <w:t>-</w:t>
            </w:r>
          </w:p>
        </w:tc>
      </w:tr>
      <w:tr w:rsidR="00C54A1D" w14:paraId="5D5E9B2A" w14:textId="77777777" w:rsidTr="00CC3B9A">
        <w:trPr>
          <w:trHeight w:val="217"/>
        </w:trPr>
        <w:tc>
          <w:tcPr>
            <w:tcW w:w="2518" w:type="dxa"/>
            <w:tcBorders>
              <w:top w:val="nil"/>
              <w:left w:val="nil"/>
              <w:bottom w:val="nil"/>
              <w:right w:val="nil"/>
            </w:tcBorders>
            <w:vAlign w:val="center"/>
          </w:tcPr>
          <w:p w14:paraId="0DD01E14"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D-Dimer (</w:t>
            </w:r>
            <w:proofErr w:type="spellStart"/>
            <w:r w:rsidRPr="00F070AF">
              <w:rPr>
                <w:b/>
                <w:color w:val="000000"/>
                <w:sz w:val="16"/>
                <w:szCs w:val="16"/>
                <w:lang w:val="en-GB"/>
              </w:rPr>
              <w:t>microg</w:t>
            </w:r>
            <w:proofErr w:type="spellEnd"/>
            <w:r w:rsidRPr="00F070AF">
              <w:rPr>
                <w:b/>
                <w:color w:val="000000"/>
                <w:sz w:val="16"/>
                <w:szCs w:val="16"/>
                <w:lang w:val="en-GB"/>
              </w:rPr>
              <w:t>/mL)</w:t>
            </w:r>
          </w:p>
        </w:tc>
        <w:tc>
          <w:tcPr>
            <w:tcW w:w="2454" w:type="dxa"/>
            <w:tcBorders>
              <w:top w:val="nil"/>
              <w:left w:val="nil"/>
              <w:bottom w:val="nil"/>
              <w:right w:val="nil"/>
            </w:tcBorders>
            <w:vAlign w:val="bottom"/>
          </w:tcPr>
          <w:p w14:paraId="041E9A2B"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250D203D"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070</w:t>
            </w:r>
          </w:p>
        </w:tc>
        <w:tc>
          <w:tcPr>
            <w:tcW w:w="2232" w:type="dxa"/>
            <w:tcBorders>
              <w:top w:val="nil"/>
              <w:left w:val="nil"/>
              <w:bottom w:val="nil"/>
              <w:right w:val="nil"/>
            </w:tcBorders>
          </w:tcPr>
          <w:p w14:paraId="039A9BFB" w14:textId="77777777" w:rsidR="00C54A1D" w:rsidRPr="00C04262" w:rsidRDefault="00C54A1D" w:rsidP="00CC3B9A">
            <w:pPr>
              <w:spacing w:after="0" w:line="276" w:lineRule="auto"/>
              <w:jc w:val="center"/>
              <w:rPr>
                <w:color w:val="000000"/>
                <w:sz w:val="16"/>
                <w:szCs w:val="16"/>
                <w:lang w:val="en-GB"/>
              </w:rPr>
            </w:pPr>
            <w:r w:rsidRPr="00C04262">
              <w:rPr>
                <w:color w:val="000000"/>
                <w:sz w:val="16"/>
                <w:szCs w:val="16"/>
                <w:lang w:val="en-GB"/>
              </w:rPr>
              <w:t>-</w:t>
            </w:r>
          </w:p>
        </w:tc>
      </w:tr>
      <w:tr w:rsidR="00C54A1D" w14:paraId="411C3213" w14:textId="77777777" w:rsidTr="00CC3B9A">
        <w:trPr>
          <w:trHeight w:val="231"/>
        </w:trPr>
        <w:tc>
          <w:tcPr>
            <w:tcW w:w="2518" w:type="dxa"/>
            <w:tcBorders>
              <w:top w:val="nil"/>
              <w:left w:val="nil"/>
              <w:bottom w:val="nil"/>
              <w:right w:val="nil"/>
            </w:tcBorders>
            <w:vAlign w:val="center"/>
          </w:tcPr>
          <w:p w14:paraId="11736FD4" w14:textId="77777777" w:rsidR="00C54A1D" w:rsidRPr="00F070AF" w:rsidRDefault="00C54A1D" w:rsidP="00CC3B9A">
            <w:pPr>
              <w:spacing w:after="0" w:line="276" w:lineRule="auto"/>
              <w:rPr>
                <w:b/>
                <w:color w:val="000000"/>
                <w:sz w:val="16"/>
                <w:szCs w:val="16"/>
                <w:lang w:val="en-GB"/>
              </w:rPr>
            </w:pPr>
            <w:proofErr w:type="spellStart"/>
            <w:r w:rsidRPr="00F070AF">
              <w:rPr>
                <w:b/>
                <w:color w:val="000000"/>
                <w:sz w:val="16"/>
                <w:szCs w:val="16"/>
                <w:lang w:val="en-GB"/>
              </w:rPr>
              <w:t>Antitrombin</w:t>
            </w:r>
            <w:proofErr w:type="spellEnd"/>
            <w:r w:rsidRPr="00F070AF">
              <w:rPr>
                <w:b/>
                <w:color w:val="000000"/>
                <w:sz w:val="16"/>
                <w:szCs w:val="16"/>
                <w:lang w:val="en-GB"/>
              </w:rPr>
              <w:t xml:space="preserve"> (ng/mL)</w:t>
            </w:r>
          </w:p>
        </w:tc>
        <w:tc>
          <w:tcPr>
            <w:tcW w:w="2454" w:type="dxa"/>
            <w:tcBorders>
              <w:top w:val="nil"/>
              <w:left w:val="nil"/>
              <w:bottom w:val="nil"/>
              <w:right w:val="nil"/>
            </w:tcBorders>
            <w:vAlign w:val="bottom"/>
          </w:tcPr>
          <w:p w14:paraId="1495DC21"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nil"/>
              <w:right w:val="nil"/>
            </w:tcBorders>
            <w:vAlign w:val="bottom"/>
          </w:tcPr>
          <w:p w14:paraId="542A95BC"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493</w:t>
            </w:r>
          </w:p>
        </w:tc>
        <w:tc>
          <w:tcPr>
            <w:tcW w:w="2232" w:type="dxa"/>
            <w:tcBorders>
              <w:top w:val="nil"/>
              <w:left w:val="nil"/>
              <w:bottom w:val="nil"/>
              <w:right w:val="nil"/>
            </w:tcBorders>
          </w:tcPr>
          <w:p w14:paraId="00BF2C89" w14:textId="77777777" w:rsidR="00C54A1D" w:rsidRPr="00C04262" w:rsidRDefault="00C54A1D" w:rsidP="00CC3B9A">
            <w:pPr>
              <w:spacing w:after="0" w:line="276" w:lineRule="auto"/>
              <w:jc w:val="center"/>
              <w:rPr>
                <w:color w:val="000000"/>
                <w:sz w:val="16"/>
                <w:szCs w:val="16"/>
                <w:lang w:val="en-GB"/>
              </w:rPr>
            </w:pPr>
            <w:r w:rsidRPr="00C04262">
              <w:rPr>
                <w:color w:val="000000"/>
                <w:sz w:val="16"/>
                <w:szCs w:val="16"/>
                <w:lang w:val="en-GB"/>
              </w:rPr>
              <w:t>-</w:t>
            </w:r>
          </w:p>
        </w:tc>
      </w:tr>
      <w:tr w:rsidR="00C54A1D" w14:paraId="4C31AEB3" w14:textId="77777777" w:rsidTr="00CC3B9A">
        <w:trPr>
          <w:trHeight w:val="217"/>
        </w:trPr>
        <w:tc>
          <w:tcPr>
            <w:tcW w:w="2518" w:type="dxa"/>
            <w:tcBorders>
              <w:top w:val="nil"/>
              <w:left w:val="nil"/>
              <w:bottom w:val="single" w:sz="4" w:space="0" w:color="auto"/>
              <w:right w:val="nil"/>
            </w:tcBorders>
            <w:vAlign w:val="center"/>
          </w:tcPr>
          <w:p w14:paraId="71B9E67B" w14:textId="77777777" w:rsidR="00C54A1D" w:rsidRPr="00F070AF" w:rsidRDefault="00C54A1D" w:rsidP="00CC3B9A">
            <w:pPr>
              <w:spacing w:after="0" w:line="276" w:lineRule="auto"/>
              <w:rPr>
                <w:b/>
                <w:color w:val="000000"/>
                <w:sz w:val="16"/>
                <w:szCs w:val="16"/>
                <w:lang w:val="en-GB"/>
              </w:rPr>
            </w:pPr>
            <w:r w:rsidRPr="00F070AF">
              <w:rPr>
                <w:b/>
                <w:color w:val="000000"/>
                <w:sz w:val="16"/>
                <w:szCs w:val="16"/>
                <w:lang w:val="en-GB"/>
              </w:rPr>
              <w:t>Protein C (ng/mL)</w:t>
            </w:r>
          </w:p>
        </w:tc>
        <w:tc>
          <w:tcPr>
            <w:tcW w:w="2454" w:type="dxa"/>
            <w:tcBorders>
              <w:top w:val="nil"/>
              <w:left w:val="nil"/>
              <w:bottom w:val="single" w:sz="4" w:space="0" w:color="auto"/>
              <w:right w:val="nil"/>
            </w:tcBorders>
            <w:vAlign w:val="bottom"/>
          </w:tcPr>
          <w:p w14:paraId="03CBF15A" w14:textId="77777777" w:rsidR="00C54A1D" w:rsidRDefault="00C54A1D" w:rsidP="00CC3B9A">
            <w:pPr>
              <w:spacing w:after="0" w:line="276" w:lineRule="auto"/>
              <w:jc w:val="center"/>
              <w:rPr>
                <w:color w:val="000000"/>
                <w:sz w:val="16"/>
                <w:szCs w:val="16"/>
                <w:lang w:val="en-GB"/>
              </w:rPr>
            </w:pPr>
            <w:r>
              <w:rPr>
                <w:color w:val="000000"/>
                <w:sz w:val="16"/>
                <w:szCs w:val="16"/>
                <w:lang w:val="en-GB"/>
              </w:rPr>
              <w:t>Yes</w:t>
            </w:r>
          </w:p>
        </w:tc>
        <w:tc>
          <w:tcPr>
            <w:tcW w:w="2454" w:type="dxa"/>
            <w:tcBorders>
              <w:top w:val="nil"/>
              <w:left w:val="nil"/>
              <w:bottom w:val="single" w:sz="4" w:space="0" w:color="auto"/>
              <w:right w:val="nil"/>
            </w:tcBorders>
            <w:vAlign w:val="bottom"/>
          </w:tcPr>
          <w:p w14:paraId="41F6B621" w14:textId="77777777" w:rsidR="00C54A1D" w:rsidRDefault="00C54A1D" w:rsidP="00CC3B9A">
            <w:pPr>
              <w:spacing w:after="0" w:line="276" w:lineRule="auto"/>
              <w:jc w:val="center"/>
              <w:rPr>
                <w:color w:val="000000"/>
                <w:sz w:val="16"/>
                <w:szCs w:val="16"/>
                <w:lang w:val="en-GB"/>
              </w:rPr>
            </w:pPr>
            <w:r w:rsidRPr="001B0952">
              <w:rPr>
                <w:color w:val="000000"/>
                <w:sz w:val="16"/>
                <w:szCs w:val="16"/>
                <w:lang w:val="en-GB"/>
              </w:rPr>
              <w:t>0</w:t>
            </w:r>
            <w:r>
              <w:rPr>
                <w:color w:val="000000"/>
                <w:sz w:val="16"/>
                <w:szCs w:val="16"/>
                <w:lang w:val="en-GB"/>
              </w:rPr>
              <w:t>.</w:t>
            </w:r>
            <w:r w:rsidRPr="001B0952">
              <w:rPr>
                <w:color w:val="000000"/>
                <w:sz w:val="16"/>
                <w:szCs w:val="16"/>
                <w:lang w:val="en-GB"/>
              </w:rPr>
              <w:t>051</w:t>
            </w:r>
          </w:p>
        </w:tc>
        <w:tc>
          <w:tcPr>
            <w:tcW w:w="2232" w:type="dxa"/>
            <w:tcBorders>
              <w:top w:val="nil"/>
              <w:left w:val="nil"/>
              <w:bottom w:val="single" w:sz="4" w:space="0" w:color="auto"/>
              <w:right w:val="nil"/>
            </w:tcBorders>
          </w:tcPr>
          <w:p w14:paraId="30B5DED0" w14:textId="77777777" w:rsidR="00C54A1D" w:rsidRPr="00C04262" w:rsidRDefault="00C54A1D" w:rsidP="00CC3B9A">
            <w:pPr>
              <w:spacing w:after="0" w:line="276" w:lineRule="auto"/>
              <w:jc w:val="center"/>
              <w:rPr>
                <w:color w:val="000000"/>
                <w:sz w:val="16"/>
                <w:szCs w:val="16"/>
                <w:lang w:val="en-GB"/>
              </w:rPr>
            </w:pPr>
            <w:r w:rsidRPr="00C04262">
              <w:rPr>
                <w:color w:val="000000"/>
                <w:sz w:val="16"/>
                <w:szCs w:val="16"/>
                <w:lang w:val="en-GB"/>
              </w:rPr>
              <w:t>-</w:t>
            </w:r>
          </w:p>
        </w:tc>
      </w:tr>
      <w:tr w:rsidR="00C54A1D" w:rsidRPr="00D067B4" w14:paraId="2D525EF0" w14:textId="77777777" w:rsidTr="00CC3B9A">
        <w:trPr>
          <w:trHeight w:val="1066"/>
        </w:trPr>
        <w:tc>
          <w:tcPr>
            <w:tcW w:w="9660" w:type="dxa"/>
            <w:gridSpan w:val="4"/>
            <w:tcBorders>
              <w:top w:val="single" w:sz="4" w:space="0" w:color="auto"/>
              <w:left w:val="nil"/>
              <w:bottom w:val="nil"/>
              <w:right w:val="nil"/>
            </w:tcBorders>
            <w:vAlign w:val="center"/>
          </w:tcPr>
          <w:p w14:paraId="2907DA67" w14:textId="21F79D3A" w:rsidR="00C54A1D" w:rsidRPr="00213A49" w:rsidRDefault="00C54A1D" w:rsidP="00D11C34">
            <w:pPr>
              <w:spacing w:line="276" w:lineRule="auto"/>
              <w:rPr>
                <w:sz w:val="16"/>
                <w:szCs w:val="16"/>
                <w:vertAlign w:val="superscript"/>
                <w:lang w:val="en-GB"/>
              </w:rPr>
            </w:pPr>
            <w:r w:rsidRPr="00525A9B">
              <w:rPr>
                <w:rFonts w:cstheme="minorHAnsi"/>
                <w:sz w:val="16"/>
                <w:szCs w:val="16"/>
                <w:lang w:val="en-GB"/>
              </w:rPr>
              <w:t>Abbreviations:</w:t>
            </w:r>
            <w:r>
              <w:rPr>
                <w:rFonts w:cstheme="minorHAnsi"/>
                <w:sz w:val="16"/>
                <w:szCs w:val="16"/>
                <w:lang w:val="en-GB"/>
              </w:rPr>
              <w:t xml:space="preserve"> </w:t>
            </w:r>
            <w:r w:rsidRPr="00FA6A09">
              <w:rPr>
                <w:sz w:val="16"/>
                <w:szCs w:val="16"/>
                <w:lang w:val="en-GB"/>
              </w:rPr>
              <w:t>CRP: C-reactive protein, MMP-8: matrix metalloproteinase-8, TIMP-1: tissue inhibitor of metalloproteinase 1, IL-6: interleukin 6, IL-8: interleukin 8, IL-10: interleukin 10</w:t>
            </w:r>
            <w:r>
              <w:rPr>
                <w:sz w:val="16"/>
                <w:szCs w:val="16"/>
                <w:lang w:val="en-GB"/>
              </w:rPr>
              <w:t xml:space="preserve">, </w:t>
            </w:r>
            <w:proofErr w:type="spellStart"/>
            <w:r w:rsidRPr="00FA6A09">
              <w:rPr>
                <w:sz w:val="16"/>
                <w:szCs w:val="16"/>
                <w:lang w:val="en-GB"/>
              </w:rPr>
              <w:t>s</w:t>
            </w:r>
            <w:r>
              <w:rPr>
                <w:sz w:val="16"/>
                <w:szCs w:val="16"/>
                <w:lang w:val="en-GB"/>
              </w:rPr>
              <w:t>E</w:t>
            </w:r>
            <w:proofErr w:type="spellEnd"/>
            <w:r>
              <w:rPr>
                <w:sz w:val="16"/>
                <w:szCs w:val="16"/>
                <w:lang w:val="en-GB"/>
              </w:rPr>
              <w:t xml:space="preserve">-selectin: soluble E-Selectin, </w:t>
            </w:r>
            <w:proofErr w:type="spellStart"/>
            <w:r>
              <w:rPr>
                <w:sz w:val="16"/>
                <w:szCs w:val="16"/>
                <w:lang w:val="en-GB"/>
              </w:rPr>
              <w:t>sICAM</w:t>
            </w:r>
            <w:proofErr w:type="spellEnd"/>
            <w:r>
              <w:rPr>
                <w:sz w:val="16"/>
                <w:szCs w:val="16"/>
                <w:lang w:val="en-GB"/>
              </w:rPr>
              <w:t>: soluble intercellular adhesion m</w:t>
            </w:r>
            <w:r w:rsidRPr="00FA6A09">
              <w:rPr>
                <w:sz w:val="16"/>
                <w:szCs w:val="16"/>
                <w:lang w:val="en-GB"/>
              </w:rPr>
              <w:t xml:space="preserve">olecule </w:t>
            </w:r>
            <w:r>
              <w:rPr>
                <w:sz w:val="16"/>
                <w:szCs w:val="16"/>
                <w:lang w:val="en-GB"/>
              </w:rPr>
              <w:t>1</w:t>
            </w:r>
            <w:r w:rsidRPr="00FA6A09">
              <w:rPr>
                <w:sz w:val="16"/>
                <w:szCs w:val="16"/>
                <w:lang w:val="en-GB"/>
              </w:rPr>
              <w:t xml:space="preserve">, </w:t>
            </w:r>
            <w:r>
              <w:rPr>
                <w:sz w:val="16"/>
                <w:szCs w:val="16"/>
                <w:lang w:val="en-GB"/>
              </w:rPr>
              <w:t>PT: P</w:t>
            </w:r>
            <w:r w:rsidRPr="00FA6A09">
              <w:rPr>
                <w:sz w:val="16"/>
                <w:szCs w:val="16"/>
                <w:lang w:val="en-GB"/>
              </w:rPr>
              <w:t>rothrombin time</w:t>
            </w:r>
            <w:r>
              <w:rPr>
                <w:sz w:val="16"/>
                <w:szCs w:val="16"/>
                <w:lang w:val="en-GB"/>
              </w:rPr>
              <w:br/>
              <w:t xml:space="preserve">* after </w:t>
            </w:r>
            <w:proofErr w:type="spellStart"/>
            <w:r>
              <w:rPr>
                <w:sz w:val="16"/>
                <w:szCs w:val="16"/>
                <w:lang w:val="en-GB"/>
              </w:rPr>
              <w:t>boxcox</w:t>
            </w:r>
            <w:proofErr w:type="spellEnd"/>
            <w:r>
              <w:rPr>
                <w:sz w:val="16"/>
                <w:szCs w:val="16"/>
                <w:lang w:val="en-GB"/>
              </w:rPr>
              <w:t xml:space="preserve"> transformation of the biomarker</w:t>
            </w:r>
            <w:r>
              <w:rPr>
                <w:sz w:val="16"/>
                <w:szCs w:val="16"/>
                <w:lang w:val="en-US"/>
              </w:rPr>
              <w:br/>
            </w:r>
            <w:r w:rsidRPr="00525A9B">
              <w:rPr>
                <w:rFonts w:ascii="Open Sans" w:hAnsi="Open Sans" w:cs="Open Sans"/>
                <w:color w:val="666666"/>
                <w:sz w:val="16"/>
                <w:szCs w:val="16"/>
                <w:lang w:val="en-GB"/>
              </w:rPr>
              <w:t>†</w:t>
            </w:r>
            <w:r>
              <w:rPr>
                <w:sz w:val="16"/>
                <w:szCs w:val="16"/>
                <w:lang w:val="en-US"/>
              </w:rPr>
              <w:t xml:space="preserve"> p-value is calculated based on the coefficient of age in a linear regression analysis followed by a </w:t>
            </w:r>
            <w:proofErr w:type="spellStart"/>
            <w:r>
              <w:rPr>
                <w:sz w:val="16"/>
                <w:szCs w:val="16"/>
                <w:lang w:val="en-US"/>
              </w:rPr>
              <w:t>Benjamini</w:t>
            </w:r>
            <w:proofErr w:type="spellEnd"/>
            <w:r>
              <w:rPr>
                <w:sz w:val="16"/>
                <w:szCs w:val="16"/>
                <w:lang w:val="en-US"/>
              </w:rPr>
              <w:t>-Hochberg correction for multiple testing for the conduction of 17 regressions</w:t>
            </w:r>
            <w:r>
              <w:rPr>
                <w:sz w:val="16"/>
                <w:szCs w:val="16"/>
                <w:lang w:val="en-US"/>
              </w:rPr>
              <w:br/>
            </w:r>
            <w:r w:rsidRPr="00525A9B">
              <w:rPr>
                <w:rFonts w:ascii="Open Sans" w:hAnsi="Open Sans" w:cs="Open Sans"/>
                <w:color w:val="666666"/>
                <w:sz w:val="16"/>
                <w:szCs w:val="16"/>
                <w:lang w:val="en-GB"/>
              </w:rPr>
              <w:t>‡</w:t>
            </w:r>
            <w:r>
              <w:rPr>
                <w:sz w:val="16"/>
                <w:szCs w:val="16"/>
                <w:vertAlign w:val="superscript"/>
                <w:lang w:val="en-US"/>
              </w:rPr>
              <w:t xml:space="preserve"> </w:t>
            </w:r>
            <w:r>
              <w:rPr>
                <w:sz w:val="16"/>
                <w:szCs w:val="16"/>
                <w:lang w:val="en-US"/>
              </w:rPr>
              <w:t xml:space="preserve"> p-value is calculated based on the total contribution (including all terms) of age modelled as a restricted cubic spline using 3 internal knots </w:t>
            </w:r>
            <w:r>
              <w:rPr>
                <w:sz w:val="16"/>
                <w:szCs w:val="16"/>
                <w:lang w:val="en-US"/>
              </w:rPr>
              <w:br/>
              <w:t xml:space="preserve">followed by a </w:t>
            </w:r>
            <w:proofErr w:type="spellStart"/>
            <w:r>
              <w:rPr>
                <w:sz w:val="16"/>
                <w:szCs w:val="16"/>
                <w:lang w:val="en-US"/>
              </w:rPr>
              <w:t>Benjamini</w:t>
            </w:r>
            <w:proofErr w:type="spellEnd"/>
            <w:r>
              <w:rPr>
                <w:sz w:val="16"/>
                <w:szCs w:val="16"/>
                <w:lang w:val="en-US"/>
              </w:rPr>
              <w:t>-Hochberg correction to correct for multiple testing for the conduction of 17 regressions</w:t>
            </w:r>
            <w:r w:rsidR="008A4A26">
              <w:rPr>
                <w:sz w:val="16"/>
                <w:szCs w:val="16"/>
                <w:lang w:val="en-US"/>
              </w:rPr>
              <w:t xml:space="preserve"> (testing </w:t>
            </w:r>
            <w:r w:rsidR="003678FC">
              <w:rPr>
                <w:sz w:val="16"/>
                <w:szCs w:val="16"/>
                <w:lang w:val="en-US"/>
              </w:rPr>
              <w:t xml:space="preserve">of </w:t>
            </w:r>
            <w:r w:rsidR="008A4A26">
              <w:rPr>
                <w:sz w:val="16"/>
                <w:szCs w:val="16"/>
                <w:lang w:val="en-US"/>
              </w:rPr>
              <w:t>17 biomarkers).</w:t>
            </w:r>
          </w:p>
        </w:tc>
      </w:tr>
    </w:tbl>
    <w:p w14:paraId="274D91F1" w14:textId="19E1E3DE" w:rsidR="00C54A1D" w:rsidRDefault="00C54A1D" w:rsidP="00371683">
      <w:pPr>
        <w:spacing w:after="200" w:line="276" w:lineRule="auto"/>
        <w:rPr>
          <w:sz w:val="16"/>
          <w:szCs w:val="16"/>
          <w:vertAlign w:val="superscript"/>
          <w:lang w:val="en-GB"/>
        </w:rPr>
      </w:pPr>
    </w:p>
    <w:p w14:paraId="5EB60124" w14:textId="273D42F3" w:rsidR="00F10577" w:rsidRDefault="00F10577" w:rsidP="00371683">
      <w:pPr>
        <w:spacing w:after="200" w:line="276" w:lineRule="auto"/>
        <w:rPr>
          <w:sz w:val="16"/>
          <w:szCs w:val="16"/>
          <w:vertAlign w:val="superscript"/>
          <w:lang w:val="en-GB"/>
        </w:rPr>
      </w:pPr>
    </w:p>
    <w:p w14:paraId="40A8F7D4" w14:textId="55D299C3" w:rsidR="00F10577" w:rsidRPr="00F10577" w:rsidRDefault="00860564">
      <w:pPr>
        <w:spacing w:after="200" w:line="276" w:lineRule="auto"/>
        <w:rPr>
          <w:rFonts w:asciiTheme="majorHAnsi" w:eastAsiaTheme="majorEastAsia" w:hAnsiTheme="majorHAnsi" w:cstheme="majorBidi"/>
          <w:color w:val="365F91" w:themeColor="accent1" w:themeShade="BF"/>
          <w:sz w:val="16"/>
          <w:szCs w:val="16"/>
          <w:lang w:val="en-US"/>
        </w:rPr>
      </w:pPr>
      <w:r>
        <w:rPr>
          <w:rFonts w:asciiTheme="majorHAnsi" w:eastAsiaTheme="majorEastAsia" w:hAnsiTheme="majorHAnsi" w:cstheme="majorBidi"/>
          <w:color w:val="365F91" w:themeColor="accent1" w:themeShade="BF"/>
          <w:sz w:val="16"/>
          <w:szCs w:val="16"/>
          <w:lang w:val="en-US"/>
        </w:rPr>
        <w:br w:type="page"/>
      </w:r>
    </w:p>
    <w:p w14:paraId="07A853F4" w14:textId="61DB8EC5" w:rsidR="00F96867" w:rsidRPr="00F96867" w:rsidRDefault="00F96867" w:rsidP="00EB0D35">
      <w:pPr>
        <w:pStyle w:val="Heading2"/>
        <w:numPr>
          <w:ilvl w:val="0"/>
          <w:numId w:val="2"/>
        </w:numPr>
        <w:spacing w:line="276" w:lineRule="auto"/>
        <w:ind w:left="0" w:right="-568"/>
        <w:rPr>
          <w:lang w:val="en-US"/>
        </w:rPr>
      </w:pPr>
      <w:bookmarkStart w:id="56" w:name="_Toc115709543"/>
      <w:r>
        <w:rPr>
          <w:lang w:val="en-US"/>
        </w:rPr>
        <w:lastRenderedPageBreak/>
        <w:t>Demographics and c</w:t>
      </w:r>
      <w:r w:rsidR="00974678">
        <w:rPr>
          <w:lang w:val="en-US"/>
        </w:rPr>
        <w:t xml:space="preserve">linical outcomes of whole blood </w:t>
      </w:r>
      <w:r>
        <w:rPr>
          <w:lang w:val="en-US"/>
        </w:rPr>
        <w:t>transcriptome cohort</w:t>
      </w:r>
      <w:bookmarkEnd w:id="56"/>
    </w:p>
    <w:p w14:paraId="476130C0" w14:textId="544C63AF" w:rsidR="003B4253" w:rsidRDefault="00F96867" w:rsidP="00E97A75">
      <w:pPr>
        <w:spacing w:line="276" w:lineRule="auto"/>
        <w:ind w:right="-568"/>
        <w:rPr>
          <w:rFonts w:cstheme="minorHAnsi"/>
          <w:color w:val="1F497D" w:themeColor="text2"/>
          <w:sz w:val="18"/>
          <w:szCs w:val="18"/>
          <w:lang w:val="en-GB"/>
        </w:rPr>
      </w:pPr>
      <w:r>
        <w:rPr>
          <w:rFonts w:cstheme="minorHAnsi"/>
          <w:color w:val="1F497D" w:themeColor="text2"/>
          <w:sz w:val="18"/>
          <w:szCs w:val="18"/>
          <w:lang w:val="en-GB"/>
        </w:rPr>
        <w:t>S</w:t>
      </w:r>
      <w:r w:rsidR="000D20C0">
        <w:rPr>
          <w:rFonts w:cstheme="minorHAnsi"/>
          <w:color w:val="1F497D" w:themeColor="text2"/>
          <w:sz w:val="18"/>
          <w:szCs w:val="18"/>
          <w:lang w:val="en-GB"/>
        </w:rPr>
        <w:t xml:space="preserve">upplementary </w:t>
      </w:r>
      <w:r w:rsidR="0047428B">
        <w:rPr>
          <w:rFonts w:cstheme="minorHAnsi"/>
          <w:color w:val="1F497D" w:themeColor="text2"/>
          <w:sz w:val="18"/>
          <w:szCs w:val="18"/>
          <w:lang w:val="en-GB"/>
        </w:rPr>
        <w:t>Table S</w:t>
      </w:r>
      <w:r w:rsidR="006D35EC">
        <w:rPr>
          <w:rFonts w:cstheme="minorHAnsi"/>
          <w:color w:val="1F497D" w:themeColor="text2"/>
          <w:sz w:val="18"/>
          <w:szCs w:val="18"/>
          <w:lang w:val="en-GB"/>
        </w:rPr>
        <w:t>6</w:t>
      </w:r>
      <w:r w:rsidR="00217043">
        <w:rPr>
          <w:rFonts w:cstheme="minorHAnsi"/>
          <w:color w:val="1F497D" w:themeColor="text2"/>
          <w:sz w:val="18"/>
          <w:szCs w:val="18"/>
          <w:lang w:val="en-GB"/>
        </w:rPr>
        <w:t xml:space="preserve">: </w:t>
      </w:r>
      <w:r w:rsidR="00217043" w:rsidRPr="00217043">
        <w:rPr>
          <w:rFonts w:cstheme="minorHAnsi"/>
          <w:color w:val="1F497D" w:themeColor="text2"/>
          <w:sz w:val="18"/>
          <w:szCs w:val="18"/>
          <w:lang w:val="en-GB"/>
        </w:rPr>
        <w:t>Baseline characteristics of critically ill sepsis patients (whole blood transcriptome cohort)</w:t>
      </w:r>
    </w:p>
    <w:tbl>
      <w:tblPr>
        <w:tblW w:w="10267" w:type="dxa"/>
        <w:tblCellMar>
          <w:left w:w="0" w:type="dxa"/>
          <w:right w:w="0" w:type="dxa"/>
        </w:tblCellMar>
        <w:tblLook w:val="04A0" w:firstRow="1" w:lastRow="0" w:firstColumn="1" w:lastColumn="0" w:noHBand="0" w:noVBand="1"/>
      </w:tblPr>
      <w:tblGrid>
        <w:gridCol w:w="2312"/>
        <w:gridCol w:w="1851"/>
        <w:gridCol w:w="313"/>
        <w:gridCol w:w="1784"/>
        <w:gridCol w:w="1780"/>
        <w:gridCol w:w="1458"/>
        <w:gridCol w:w="769"/>
      </w:tblGrid>
      <w:tr w:rsidR="00EA1B48" w:rsidRPr="00217043" w14:paraId="06CDC9B9"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317E6F21" w14:textId="77777777" w:rsidR="00EA1B48" w:rsidRPr="004C2310" w:rsidRDefault="00EA1B48" w:rsidP="00EA1B48">
            <w:pPr>
              <w:pStyle w:val="NoSpacing"/>
              <w:spacing w:line="276" w:lineRule="auto"/>
              <w:ind w:right="-1"/>
              <w:rPr>
                <w:rFonts w:ascii="Arial" w:eastAsia="Times New Roman" w:hAnsi="Arial" w:cs="Arial"/>
                <w:sz w:val="16"/>
                <w:szCs w:val="16"/>
                <w:lang w:eastAsia="en-GB"/>
              </w:rPr>
            </w:pPr>
            <w:r w:rsidRPr="004C2310">
              <w:rPr>
                <w:rFonts w:eastAsiaTheme="minorEastAsia" w:hAnsi="Calibri"/>
                <w:color w:val="000000" w:themeColor="text1"/>
                <w:kern w:val="24"/>
                <w:sz w:val="16"/>
                <w:szCs w:val="16"/>
                <w:lang w:eastAsia="en-GB"/>
              </w:rPr>
              <w:t> </w:t>
            </w:r>
          </w:p>
        </w:tc>
        <w:tc>
          <w:tcPr>
            <w:tcW w:w="2164" w:type="dxa"/>
            <w:gridSpan w:val="2"/>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5A7A1742"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lang w:val="en-GB"/>
              </w:rPr>
              <w:t>&lt;50 years</w:t>
            </w:r>
          </w:p>
        </w:tc>
        <w:tc>
          <w:tcPr>
            <w:tcW w:w="1784"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18DB29C1"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≥50 - &lt;60 years</w:t>
            </w:r>
          </w:p>
        </w:tc>
        <w:tc>
          <w:tcPr>
            <w:tcW w:w="1780"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2ADD7E5F"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≥60 - &lt;70 years</w:t>
            </w:r>
          </w:p>
        </w:tc>
        <w:tc>
          <w:tcPr>
            <w:tcW w:w="1458"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0E45D144"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w:t>
            </w:r>
            <w:r w:rsidRPr="00217043">
              <w:rPr>
                <w:rFonts w:eastAsia="Times New Roman" w:cstheme="minorHAnsi"/>
                <w:b/>
                <w:color w:val="000000" w:themeColor="text1"/>
                <w:kern w:val="24"/>
                <w:sz w:val="16"/>
                <w:szCs w:val="16"/>
                <w:lang w:eastAsia="en-GB"/>
              </w:rPr>
              <w:t>70 years</w:t>
            </w:r>
          </w:p>
        </w:tc>
        <w:tc>
          <w:tcPr>
            <w:tcW w:w="769"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2779CD82" w14:textId="77777777" w:rsidR="00EA1B48" w:rsidRPr="00217043" w:rsidRDefault="00EA1B48" w:rsidP="00EA1B48">
            <w:pPr>
              <w:pStyle w:val="NoSpacing"/>
              <w:spacing w:line="276" w:lineRule="auto"/>
              <w:ind w:right="-1"/>
              <w:jc w:val="right"/>
              <w:rPr>
                <w:rFonts w:ascii="Arial" w:eastAsia="Times New Roman" w:hAnsi="Arial" w:cs="Arial"/>
                <w:b/>
                <w:sz w:val="16"/>
                <w:szCs w:val="16"/>
                <w:lang w:eastAsia="en-GB"/>
              </w:rPr>
            </w:pPr>
            <w:r w:rsidRPr="00217043">
              <w:rPr>
                <w:rFonts w:eastAsiaTheme="minorEastAsia" w:hAnsi="Calibri"/>
                <w:b/>
                <w:color w:val="000000" w:themeColor="text1"/>
                <w:kern w:val="24"/>
                <w:sz w:val="16"/>
                <w:szCs w:val="16"/>
                <w:lang w:eastAsia="en-GB"/>
              </w:rPr>
              <w:t>p-value</w:t>
            </w:r>
          </w:p>
        </w:tc>
      </w:tr>
      <w:tr w:rsidR="00EA1B48" w:rsidRPr="004C2310" w14:paraId="2B5C2643" w14:textId="77777777" w:rsidTr="00EA1B48">
        <w:trPr>
          <w:trHeight w:val="20"/>
        </w:trPr>
        <w:tc>
          <w:tcPr>
            <w:tcW w:w="2312"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1FC07B5A" w14:textId="7777777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hAnsi="Calibri"/>
                <w:b/>
                <w:color w:val="000000" w:themeColor="text1"/>
                <w:kern w:val="24"/>
                <w:sz w:val="16"/>
                <w:szCs w:val="16"/>
                <w:lang w:eastAsia="en-GB"/>
              </w:rPr>
              <w:t>n</w:t>
            </w:r>
          </w:p>
        </w:tc>
        <w:tc>
          <w:tcPr>
            <w:tcW w:w="2164" w:type="dxa"/>
            <w:gridSpan w:val="2"/>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648E790" w14:textId="77777777" w:rsidR="00EA1B48" w:rsidRPr="00610B6B" w:rsidRDefault="00EA1B48" w:rsidP="00EA1B48">
            <w:pPr>
              <w:pStyle w:val="NoSpacing"/>
              <w:spacing w:line="276" w:lineRule="auto"/>
              <w:ind w:right="-1"/>
              <w:jc w:val="center"/>
              <w:rPr>
                <w:sz w:val="16"/>
                <w:szCs w:val="16"/>
              </w:rPr>
            </w:pPr>
            <w:r>
              <w:rPr>
                <w:rFonts w:ascii="Calibri" w:hAnsi="Calibri" w:cs="Calibri"/>
                <w:color w:val="000000"/>
                <w:sz w:val="16"/>
                <w:szCs w:val="16"/>
              </w:rPr>
              <w:t>88</w:t>
            </w:r>
          </w:p>
        </w:tc>
        <w:tc>
          <w:tcPr>
            <w:tcW w:w="178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25E85E2C" w14:textId="77777777" w:rsidR="00EA1B48" w:rsidRPr="00610B6B" w:rsidRDefault="00EA1B48" w:rsidP="00EA1B48">
            <w:pPr>
              <w:pStyle w:val="NoSpacing"/>
              <w:spacing w:line="276" w:lineRule="auto"/>
              <w:ind w:right="-1"/>
              <w:jc w:val="center"/>
              <w:rPr>
                <w:sz w:val="16"/>
                <w:szCs w:val="16"/>
              </w:rPr>
            </w:pPr>
            <w:r>
              <w:rPr>
                <w:rFonts w:ascii="Calibri" w:hAnsi="Calibri" w:cs="Calibri"/>
                <w:color w:val="000000"/>
                <w:sz w:val="16"/>
                <w:szCs w:val="16"/>
              </w:rPr>
              <w:t>79</w:t>
            </w:r>
          </w:p>
        </w:tc>
        <w:tc>
          <w:tcPr>
            <w:tcW w:w="1780"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E71962C" w14:textId="77777777" w:rsidR="00EA1B48" w:rsidRPr="00610B6B" w:rsidRDefault="00EA1B48" w:rsidP="00EA1B48">
            <w:pPr>
              <w:pStyle w:val="NoSpacing"/>
              <w:spacing w:line="276" w:lineRule="auto"/>
              <w:ind w:right="-1"/>
              <w:jc w:val="center"/>
              <w:rPr>
                <w:sz w:val="16"/>
                <w:szCs w:val="16"/>
              </w:rPr>
            </w:pPr>
            <w:r>
              <w:rPr>
                <w:rFonts w:ascii="Calibri" w:hAnsi="Calibri" w:cs="Calibri"/>
                <w:color w:val="000000"/>
                <w:sz w:val="16"/>
                <w:szCs w:val="16"/>
              </w:rPr>
              <w:t>153</w:t>
            </w:r>
          </w:p>
        </w:tc>
        <w:tc>
          <w:tcPr>
            <w:tcW w:w="1458"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69B0E2B" w14:textId="77777777" w:rsidR="00EA1B48" w:rsidRPr="00610B6B" w:rsidRDefault="00EA1B48" w:rsidP="00EA1B48">
            <w:pPr>
              <w:pStyle w:val="NoSpacing"/>
              <w:spacing w:line="276" w:lineRule="auto"/>
              <w:ind w:right="-1"/>
              <w:jc w:val="center"/>
              <w:rPr>
                <w:sz w:val="16"/>
                <w:szCs w:val="16"/>
              </w:rPr>
            </w:pPr>
            <w:r>
              <w:rPr>
                <w:rFonts w:ascii="Calibri" w:hAnsi="Calibri" w:cs="Calibri"/>
                <w:color w:val="000000"/>
                <w:sz w:val="16"/>
                <w:szCs w:val="16"/>
              </w:rPr>
              <w:t>168</w:t>
            </w:r>
          </w:p>
        </w:tc>
        <w:tc>
          <w:tcPr>
            <w:tcW w:w="769"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457B6EF2" w14:textId="77777777" w:rsidR="00EA1B48" w:rsidRPr="004C2310" w:rsidRDefault="00EA1B48" w:rsidP="00EA1B48">
            <w:pPr>
              <w:pStyle w:val="NoSpacing"/>
              <w:spacing w:line="276" w:lineRule="auto"/>
              <w:ind w:right="-1"/>
              <w:jc w:val="right"/>
              <w:rPr>
                <w:rFonts w:ascii="Arial" w:eastAsia="Times New Roman" w:hAnsi="Arial" w:cs="Arial"/>
                <w:sz w:val="16"/>
                <w:szCs w:val="16"/>
                <w:lang w:eastAsia="en-GB"/>
              </w:rPr>
            </w:pPr>
          </w:p>
        </w:tc>
      </w:tr>
      <w:tr w:rsidR="00EA1B48" w:rsidRPr="004C2310" w14:paraId="08363340" w14:textId="77777777" w:rsidTr="00EA1B48">
        <w:trPr>
          <w:trHeight w:val="20"/>
        </w:trPr>
        <w:tc>
          <w:tcPr>
            <w:tcW w:w="2312"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0934A4D8" w14:textId="6A669D63"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Demographics</w:t>
            </w:r>
          </w:p>
        </w:tc>
        <w:tc>
          <w:tcPr>
            <w:tcW w:w="2164" w:type="dxa"/>
            <w:gridSpan w:val="2"/>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43A4B767"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784"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211CC875"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780"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6842E267"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458"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68F48892"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769"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08282C3F" w14:textId="77777777" w:rsidR="00EA1B48" w:rsidRPr="004C2310" w:rsidRDefault="00EA1B48" w:rsidP="00EA1B48">
            <w:pPr>
              <w:pStyle w:val="NoSpacing"/>
              <w:spacing w:line="276" w:lineRule="auto"/>
              <w:ind w:right="-1"/>
              <w:jc w:val="right"/>
              <w:rPr>
                <w:rFonts w:ascii="Arial" w:eastAsia="Times New Roman" w:hAnsi="Arial" w:cs="Arial"/>
                <w:sz w:val="16"/>
                <w:szCs w:val="16"/>
                <w:lang w:eastAsia="en-GB"/>
              </w:rPr>
            </w:pPr>
          </w:p>
        </w:tc>
      </w:tr>
      <w:tr w:rsidR="00EA1B48" w14:paraId="314BC0A8" w14:textId="77777777" w:rsidTr="00EA1B48">
        <w:trPr>
          <w:trHeight w:val="20"/>
        </w:trPr>
        <w:tc>
          <w:tcPr>
            <w:tcW w:w="2312" w:type="dxa"/>
            <w:tcBorders>
              <w:top w:val="single" w:sz="8" w:space="0" w:color="000000"/>
              <w:left w:val="nil"/>
              <w:bottom w:val="nil"/>
              <w:right w:val="nil"/>
            </w:tcBorders>
            <w:shd w:val="clear" w:color="auto" w:fill="auto"/>
            <w:tcMar>
              <w:top w:w="15" w:type="dxa"/>
              <w:left w:w="98" w:type="dxa"/>
              <w:bottom w:w="0" w:type="dxa"/>
              <w:right w:w="98" w:type="dxa"/>
            </w:tcMar>
            <w:vAlign w:val="bottom"/>
            <w:hideMark/>
          </w:tcPr>
          <w:p w14:paraId="2258C0DE" w14:textId="03351FE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Age years, median [IQR]</w:t>
            </w:r>
          </w:p>
        </w:tc>
        <w:tc>
          <w:tcPr>
            <w:tcW w:w="2164"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1EBDB5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39.50 [30.00, 47.00]</w:t>
            </w:r>
          </w:p>
        </w:tc>
        <w:tc>
          <w:tcPr>
            <w:tcW w:w="178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04A788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55.00 [53.00, 57.50]</w:t>
            </w:r>
          </w:p>
        </w:tc>
        <w:tc>
          <w:tcPr>
            <w:tcW w:w="178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3FE269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64.00 [62.00, 67.00]</w:t>
            </w:r>
          </w:p>
        </w:tc>
        <w:tc>
          <w:tcPr>
            <w:tcW w:w="14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81C138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75.00 [72.00, 79.00]</w:t>
            </w:r>
          </w:p>
        </w:tc>
        <w:tc>
          <w:tcPr>
            <w:tcW w:w="76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825E841"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14:paraId="1E3FFEBB"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422ACBF7" w14:textId="6066274B"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Male sex, n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7EDFA1E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44 (50.0)</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6452758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47 (59.5)</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4A73A3D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102 (66.7)</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516078B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96 (57.1)</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7D0404F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0.075</w:t>
            </w:r>
          </w:p>
        </w:tc>
      </w:tr>
      <w:tr w:rsidR="00EA1B48" w14:paraId="1AF975FD"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181C14FE" w14:textId="3C92DCA3"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 xml:space="preserve">White race, n (%)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085E0B9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61 (70.1)</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1AEEBBD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68 (86.1)</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53A87B0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140 (92.1)</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01855CB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159 (95.2)</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7441CA44"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14:paraId="15EE1CCD"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6F301D7C" w14:textId="1D353069"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BMI, median [IQR]</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23E80F3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22.86 [21.02, 25.55]</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189B891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24.84 [21.56, 27.70]</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21E628D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25.39 [22.84, 28.83]</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15B9ADE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25.15 [22.86, 27.76]</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0F504830"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14:paraId="3B0F7DAB" w14:textId="77777777" w:rsidTr="00EA1B48">
        <w:trPr>
          <w:trHeight w:val="20"/>
        </w:trPr>
        <w:tc>
          <w:tcPr>
            <w:tcW w:w="2312"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6AD3A343" w14:textId="32B7EAD2"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Medical admission, n (%)</w:t>
            </w:r>
          </w:p>
        </w:tc>
        <w:tc>
          <w:tcPr>
            <w:tcW w:w="2164" w:type="dxa"/>
            <w:gridSpan w:val="2"/>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542B236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64 (72.7)</w:t>
            </w:r>
          </w:p>
        </w:tc>
        <w:tc>
          <w:tcPr>
            <w:tcW w:w="178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5FAB73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48 (60.8)</w:t>
            </w:r>
          </w:p>
        </w:tc>
        <w:tc>
          <w:tcPr>
            <w:tcW w:w="178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4E5439D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114 (74.5)</w:t>
            </w:r>
          </w:p>
        </w:tc>
        <w:tc>
          <w:tcPr>
            <w:tcW w:w="1458"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03B93B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125 (74.4)</w:t>
            </w:r>
          </w:p>
        </w:tc>
        <w:tc>
          <w:tcPr>
            <w:tcW w:w="769"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589DDC0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0.115</w:t>
            </w:r>
          </w:p>
        </w:tc>
      </w:tr>
      <w:tr w:rsidR="00EA1B48" w:rsidRPr="004C2310" w14:paraId="6E0DD3A8" w14:textId="77777777" w:rsidTr="00EA1B48">
        <w:trPr>
          <w:trHeight w:val="20"/>
        </w:trPr>
        <w:tc>
          <w:tcPr>
            <w:tcW w:w="2312"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5C54E3A2" w14:textId="3AFC9024"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Comorbidity</w:t>
            </w:r>
          </w:p>
        </w:tc>
        <w:tc>
          <w:tcPr>
            <w:tcW w:w="2164" w:type="dxa"/>
            <w:gridSpan w:val="2"/>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3FADA7E0"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784"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040E170B"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780"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2B96AC3B"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1458"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4E5A25DB" w14:textId="77777777" w:rsidR="00EA1B48" w:rsidRPr="004C2310" w:rsidRDefault="00EA1B48" w:rsidP="00EA1B48">
            <w:pPr>
              <w:pStyle w:val="NoSpacing"/>
              <w:spacing w:line="276" w:lineRule="auto"/>
              <w:ind w:right="-1"/>
              <w:jc w:val="center"/>
              <w:rPr>
                <w:rFonts w:ascii="Arial" w:eastAsia="Times New Roman" w:hAnsi="Arial" w:cs="Arial"/>
                <w:sz w:val="16"/>
                <w:szCs w:val="16"/>
                <w:lang w:eastAsia="en-GB"/>
              </w:rPr>
            </w:pPr>
          </w:p>
        </w:tc>
        <w:tc>
          <w:tcPr>
            <w:tcW w:w="769" w:type="dxa"/>
            <w:tcBorders>
              <w:top w:val="single" w:sz="8" w:space="0" w:color="000000"/>
              <w:left w:val="nil"/>
              <w:bottom w:val="single" w:sz="8" w:space="0" w:color="000000"/>
              <w:right w:val="nil"/>
            </w:tcBorders>
            <w:shd w:val="clear" w:color="auto" w:fill="auto"/>
            <w:tcMar>
              <w:top w:w="15" w:type="dxa"/>
              <w:left w:w="98" w:type="dxa"/>
              <w:bottom w:w="0" w:type="dxa"/>
              <w:right w:w="98" w:type="dxa"/>
            </w:tcMar>
            <w:vAlign w:val="bottom"/>
            <w:hideMark/>
          </w:tcPr>
          <w:p w14:paraId="736B14E7" w14:textId="77777777" w:rsidR="00EA1B48" w:rsidRPr="004C2310" w:rsidRDefault="00EA1B48" w:rsidP="00EA1B48">
            <w:pPr>
              <w:pStyle w:val="NoSpacing"/>
              <w:spacing w:line="276" w:lineRule="auto"/>
              <w:ind w:right="-1"/>
              <w:jc w:val="right"/>
              <w:rPr>
                <w:rFonts w:ascii="Arial" w:eastAsia="Times New Roman" w:hAnsi="Arial" w:cs="Arial"/>
                <w:sz w:val="16"/>
                <w:szCs w:val="16"/>
                <w:lang w:eastAsia="en-GB"/>
              </w:rPr>
            </w:pPr>
          </w:p>
        </w:tc>
      </w:tr>
      <w:tr w:rsidR="00EA1B48" w:rsidRPr="0019794B" w14:paraId="5819B014" w14:textId="77777777" w:rsidTr="00EA1B48">
        <w:trPr>
          <w:trHeight w:val="20"/>
        </w:trPr>
        <w:tc>
          <w:tcPr>
            <w:tcW w:w="2312" w:type="dxa"/>
            <w:tcBorders>
              <w:top w:val="single" w:sz="8" w:space="0" w:color="000000"/>
              <w:left w:val="nil"/>
              <w:bottom w:val="nil"/>
              <w:right w:val="nil"/>
            </w:tcBorders>
            <w:shd w:val="clear" w:color="auto" w:fill="auto"/>
            <w:tcMar>
              <w:top w:w="15" w:type="dxa"/>
              <w:left w:w="98" w:type="dxa"/>
              <w:bottom w:w="0" w:type="dxa"/>
              <w:right w:w="98" w:type="dxa"/>
            </w:tcMar>
            <w:vAlign w:val="bottom"/>
            <w:hideMark/>
          </w:tcPr>
          <w:p w14:paraId="237DCA0C" w14:textId="5A6598C7" w:rsidR="00EA1B48" w:rsidRPr="00217043" w:rsidRDefault="00EA1B48" w:rsidP="00EA1B48">
            <w:pPr>
              <w:pStyle w:val="NoSpacing"/>
              <w:spacing w:line="276" w:lineRule="auto"/>
              <w:ind w:right="-1"/>
              <w:rPr>
                <w:rFonts w:ascii="Arial" w:eastAsia="Times New Roman" w:hAnsi="Arial" w:cs="Arial"/>
                <w:b/>
                <w:sz w:val="16"/>
                <w:szCs w:val="16"/>
                <w:lang w:eastAsia="en-GB"/>
              </w:rPr>
            </w:pPr>
            <w:proofErr w:type="spellStart"/>
            <w:r w:rsidRPr="00217043">
              <w:rPr>
                <w:rFonts w:eastAsiaTheme="minorEastAsia" w:cstheme="minorHAnsi"/>
                <w:b/>
                <w:color w:val="000000" w:themeColor="text1"/>
                <w:kern w:val="24"/>
                <w:sz w:val="16"/>
                <w:szCs w:val="16"/>
                <w:lang w:eastAsia="en-GB"/>
              </w:rPr>
              <w:t>Charlson</w:t>
            </w:r>
            <w:proofErr w:type="spellEnd"/>
            <w:r w:rsidRPr="00217043">
              <w:rPr>
                <w:rFonts w:eastAsiaTheme="minorEastAsia" w:cstheme="minorHAnsi"/>
                <w:b/>
                <w:color w:val="000000" w:themeColor="text1"/>
                <w:kern w:val="24"/>
                <w:sz w:val="16"/>
                <w:szCs w:val="16"/>
                <w:lang w:eastAsia="en-GB"/>
              </w:rPr>
              <w:t xml:space="preserve"> score</w:t>
            </w:r>
            <w:r>
              <w:rPr>
                <w:rFonts w:eastAsiaTheme="minorEastAsia" w:cstheme="minorHAnsi"/>
                <w:b/>
                <w:color w:val="000000" w:themeColor="text1"/>
                <w:kern w:val="24"/>
                <w:sz w:val="16"/>
                <w:szCs w:val="16"/>
                <w:lang w:eastAsia="en-GB"/>
              </w:rPr>
              <w:t xml:space="preserve"> *</w:t>
            </w:r>
            <w:r w:rsidRPr="00217043">
              <w:rPr>
                <w:rFonts w:eastAsiaTheme="minorEastAsia" w:cstheme="minorHAnsi"/>
                <w:b/>
                <w:color w:val="000000" w:themeColor="text1"/>
                <w:kern w:val="24"/>
                <w:sz w:val="16"/>
                <w:szCs w:val="16"/>
                <w:lang w:eastAsia="en-GB"/>
              </w:rPr>
              <w:t>, median [IQR]</w:t>
            </w:r>
            <w:r w:rsidRPr="00217043">
              <w:rPr>
                <w:rFonts w:eastAsiaTheme="minorEastAsia" w:cstheme="minorHAnsi"/>
                <w:b/>
                <w:color w:val="000000" w:themeColor="text1"/>
                <w:kern w:val="24"/>
                <w:position w:val="5"/>
                <w:sz w:val="16"/>
                <w:szCs w:val="16"/>
                <w:vertAlign w:val="superscript"/>
                <w:lang w:eastAsia="en-GB"/>
              </w:rPr>
              <w:t xml:space="preserve">  </w:t>
            </w:r>
          </w:p>
        </w:tc>
        <w:tc>
          <w:tcPr>
            <w:tcW w:w="2164"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2BBCE522" w14:textId="77777777" w:rsidR="00EA1B48" w:rsidRPr="0019794B" w:rsidRDefault="00EA1B48" w:rsidP="00EA1B48">
            <w:pPr>
              <w:pStyle w:val="NoSpacing"/>
              <w:spacing w:line="276" w:lineRule="auto"/>
              <w:ind w:right="-1"/>
              <w:jc w:val="center"/>
              <w:rPr>
                <w:rFonts w:ascii="Calibri" w:hAnsi="Calibri" w:cs="Calibri"/>
                <w:color w:val="000000"/>
                <w:sz w:val="16"/>
                <w:szCs w:val="16"/>
              </w:rPr>
            </w:pPr>
            <w:r>
              <w:rPr>
                <w:rFonts w:ascii="Calibri" w:hAnsi="Calibri" w:cs="Calibri"/>
                <w:color w:val="000000"/>
                <w:sz w:val="16"/>
                <w:szCs w:val="16"/>
              </w:rPr>
              <w:t>0.00 [0.00, 2.00]</w:t>
            </w:r>
          </w:p>
        </w:tc>
        <w:tc>
          <w:tcPr>
            <w:tcW w:w="178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8AF1ABA" w14:textId="77777777" w:rsidR="00EA1B48" w:rsidRPr="0019794B" w:rsidRDefault="00EA1B48" w:rsidP="00EA1B48">
            <w:pPr>
              <w:pStyle w:val="NoSpacing"/>
              <w:spacing w:line="276" w:lineRule="auto"/>
              <w:ind w:right="-1"/>
              <w:jc w:val="center"/>
              <w:rPr>
                <w:rFonts w:ascii="Calibri" w:hAnsi="Calibri" w:cs="Calibri"/>
                <w:color w:val="000000"/>
                <w:sz w:val="16"/>
                <w:szCs w:val="16"/>
              </w:rPr>
            </w:pPr>
            <w:r>
              <w:rPr>
                <w:rFonts w:ascii="Calibri" w:hAnsi="Calibri" w:cs="Calibri"/>
                <w:color w:val="000000"/>
                <w:sz w:val="16"/>
                <w:szCs w:val="16"/>
              </w:rPr>
              <w:t>2.00 [0.00, 3.50]</w:t>
            </w:r>
          </w:p>
        </w:tc>
        <w:tc>
          <w:tcPr>
            <w:tcW w:w="178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0A10F16" w14:textId="77777777" w:rsidR="00EA1B48" w:rsidRPr="0019794B" w:rsidRDefault="00EA1B48" w:rsidP="00EA1B48">
            <w:pPr>
              <w:pStyle w:val="NoSpacing"/>
              <w:spacing w:line="276" w:lineRule="auto"/>
              <w:ind w:right="-1"/>
              <w:jc w:val="center"/>
              <w:rPr>
                <w:rFonts w:ascii="Calibri" w:hAnsi="Calibri" w:cs="Calibri"/>
                <w:color w:val="000000"/>
                <w:sz w:val="16"/>
                <w:szCs w:val="16"/>
              </w:rPr>
            </w:pPr>
            <w:r>
              <w:rPr>
                <w:rFonts w:ascii="Calibri" w:hAnsi="Calibri" w:cs="Calibri"/>
                <w:color w:val="000000"/>
                <w:sz w:val="16"/>
                <w:szCs w:val="16"/>
              </w:rPr>
              <w:t>2.00 [0.00, 4.00]</w:t>
            </w:r>
          </w:p>
        </w:tc>
        <w:tc>
          <w:tcPr>
            <w:tcW w:w="14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DCC9DB3" w14:textId="77777777" w:rsidR="00EA1B48" w:rsidRPr="0019794B" w:rsidRDefault="00EA1B48" w:rsidP="00EA1B48">
            <w:pPr>
              <w:pStyle w:val="NoSpacing"/>
              <w:spacing w:line="276" w:lineRule="auto"/>
              <w:ind w:right="-1"/>
              <w:jc w:val="center"/>
              <w:rPr>
                <w:rFonts w:ascii="Calibri" w:hAnsi="Calibri" w:cs="Calibri"/>
                <w:color w:val="000000"/>
                <w:sz w:val="16"/>
                <w:szCs w:val="16"/>
              </w:rPr>
            </w:pPr>
            <w:r>
              <w:rPr>
                <w:rFonts w:ascii="Calibri" w:hAnsi="Calibri" w:cs="Calibri"/>
                <w:color w:val="000000"/>
                <w:sz w:val="16"/>
                <w:szCs w:val="16"/>
              </w:rPr>
              <w:t>2.00 [0.00, 3.00]</w:t>
            </w:r>
          </w:p>
        </w:tc>
        <w:tc>
          <w:tcPr>
            <w:tcW w:w="76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2DCACCA5" w14:textId="77777777" w:rsidR="00EA1B48" w:rsidRPr="0019794B" w:rsidRDefault="00EA1B48" w:rsidP="00EA1B48">
            <w:pPr>
              <w:pStyle w:val="NoSpacing"/>
              <w:spacing w:line="276" w:lineRule="auto"/>
              <w:ind w:right="-1"/>
              <w:jc w:val="right"/>
              <w:rPr>
                <w:rFonts w:ascii="Calibri" w:hAnsi="Calibri" w:cs="Calibri"/>
                <w:color w:val="000000"/>
                <w:sz w:val="16"/>
                <w:szCs w:val="16"/>
              </w:rPr>
            </w:pPr>
            <w:r>
              <w:rPr>
                <w:rFonts w:ascii="Calibri" w:hAnsi="Calibri" w:cs="Calibri"/>
                <w:color w:val="000000"/>
                <w:sz w:val="16"/>
                <w:szCs w:val="16"/>
              </w:rPr>
              <w:t>0.006</w:t>
            </w:r>
          </w:p>
        </w:tc>
      </w:tr>
      <w:tr w:rsidR="00EA1B48" w14:paraId="2029DBE0"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6C84DCCF" w14:textId="343045D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Cardiovascular, n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4017E07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(10.2)</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6F0B2B6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 (20.3)</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1A8C865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34 (22.2)</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1C0A06A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45 (26.8)</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47AF0399"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0.023</w:t>
            </w:r>
          </w:p>
        </w:tc>
      </w:tr>
      <w:tr w:rsidR="00EA1B48" w14:paraId="6B8C97C5"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00E4EB4F" w14:textId="425AD62F"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Respiratory insufficiency, n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6923DB6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 (8.0)</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1FA44CD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 (2.5)</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7D23C9C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(6.5)</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6101186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13 (7.7)</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021144E4"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0.431</w:t>
            </w:r>
          </w:p>
        </w:tc>
      </w:tr>
      <w:tr w:rsidR="00EA1B48" w14:paraId="5AFF355C"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0BA76293" w14:textId="3580FFFD"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Hypertension, n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2F7D4B2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 (15.9)</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74B85E3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 (31.6)</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600388B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47 (30.7)</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02A1F1B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66 (39.3)</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19C2A34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0.002</w:t>
            </w:r>
          </w:p>
        </w:tc>
      </w:tr>
      <w:tr w:rsidR="00EA1B48" w14:paraId="02A7E602"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0BAEF559" w14:textId="0126B2D2"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Diabetes, n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5207128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 (8.0)</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745E8B8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12 (15.2)</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6A1C772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35 (22.9)</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61136E8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42 (25.0)</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418411B3"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0.005</w:t>
            </w:r>
          </w:p>
        </w:tc>
      </w:tr>
      <w:tr w:rsidR="00EA1B48" w14:paraId="0C2F3EE1"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7E2F965E" w14:textId="4DA0462E"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Malignancy, n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02A8847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 (15.9)</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15EEC4C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24 (30.4)</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0400410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40 (26.1)</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18CB19D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47 (28.0)</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42A9EE7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0.121</w:t>
            </w:r>
          </w:p>
        </w:tc>
      </w:tr>
      <w:tr w:rsidR="00EA1B48" w14:paraId="437541D3" w14:textId="77777777" w:rsidTr="00EA1B48">
        <w:trPr>
          <w:trHeight w:val="20"/>
        </w:trPr>
        <w:tc>
          <w:tcPr>
            <w:tcW w:w="2312" w:type="dxa"/>
            <w:tcBorders>
              <w:top w:val="nil"/>
              <w:left w:val="nil"/>
              <w:bottom w:val="nil"/>
              <w:right w:val="nil"/>
            </w:tcBorders>
            <w:shd w:val="clear" w:color="auto" w:fill="auto"/>
            <w:tcMar>
              <w:top w:w="15" w:type="dxa"/>
              <w:left w:w="98" w:type="dxa"/>
              <w:bottom w:w="0" w:type="dxa"/>
              <w:right w:w="98" w:type="dxa"/>
            </w:tcMar>
            <w:vAlign w:val="bottom"/>
            <w:hideMark/>
          </w:tcPr>
          <w:p w14:paraId="0B8BEED2" w14:textId="60E724CE"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Renal disease, n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1255A0C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(11.4)</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7A064F8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 (20.3)</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5F26E32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27 (17.6)</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71E671C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27 (16.1)</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30A84BE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0.445</w:t>
            </w:r>
          </w:p>
        </w:tc>
      </w:tr>
      <w:tr w:rsidR="00EA1B48" w14:paraId="79D5247D" w14:textId="77777777" w:rsidTr="00EA1B48">
        <w:trPr>
          <w:trHeight w:val="20"/>
        </w:trPr>
        <w:tc>
          <w:tcPr>
            <w:tcW w:w="2312"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046B1220" w14:textId="11E8B22C"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Immunocompromised, n (%)</w:t>
            </w:r>
          </w:p>
        </w:tc>
        <w:tc>
          <w:tcPr>
            <w:tcW w:w="2164" w:type="dxa"/>
            <w:gridSpan w:val="2"/>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AA2FA4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33 (37.5)</w:t>
            </w:r>
          </w:p>
        </w:tc>
        <w:tc>
          <w:tcPr>
            <w:tcW w:w="178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7967D5B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 (29.1)</w:t>
            </w:r>
          </w:p>
        </w:tc>
        <w:tc>
          <w:tcPr>
            <w:tcW w:w="178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1F7EFDF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38 (24.8)</w:t>
            </w:r>
          </w:p>
        </w:tc>
        <w:tc>
          <w:tcPr>
            <w:tcW w:w="1458"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65E0B10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21 (12.5)</w:t>
            </w:r>
          </w:p>
        </w:tc>
        <w:tc>
          <w:tcPr>
            <w:tcW w:w="769"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77F47FB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rsidRPr="004C2310" w14:paraId="41F93211" w14:textId="77777777" w:rsidTr="00EA1B48">
        <w:trPr>
          <w:trHeight w:val="20"/>
        </w:trPr>
        <w:tc>
          <w:tcPr>
            <w:tcW w:w="2312" w:type="dxa"/>
            <w:tcBorders>
              <w:top w:val="single" w:sz="8" w:space="0" w:color="000000"/>
              <w:left w:val="nil"/>
              <w:bottom w:val="nil"/>
              <w:right w:val="nil"/>
            </w:tcBorders>
            <w:shd w:val="clear" w:color="auto" w:fill="auto"/>
            <w:tcMar>
              <w:top w:w="15" w:type="dxa"/>
              <w:left w:w="98" w:type="dxa"/>
              <w:bottom w:w="0" w:type="dxa"/>
              <w:right w:w="98" w:type="dxa"/>
            </w:tcMar>
            <w:vAlign w:val="bottom"/>
          </w:tcPr>
          <w:p w14:paraId="00E5BD7C" w14:textId="7A18223D"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lang w:eastAsia="en-GB"/>
              </w:rPr>
              <w:t>Chronic medication, n (%)</w:t>
            </w:r>
          </w:p>
        </w:tc>
        <w:tc>
          <w:tcPr>
            <w:tcW w:w="2164"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tcPr>
          <w:p w14:paraId="08A2EB15"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84"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6D213E79"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80"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2F6695FE"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458"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0D94EE0B"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769"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257CDB63" w14:textId="77777777" w:rsidR="00EA1B48" w:rsidRPr="004C2310" w:rsidRDefault="00EA1B48" w:rsidP="00EA1B48">
            <w:pPr>
              <w:pStyle w:val="NoSpacing"/>
              <w:spacing w:line="276" w:lineRule="auto"/>
              <w:ind w:right="-1"/>
              <w:jc w:val="right"/>
              <w:rPr>
                <w:rFonts w:ascii="Calibri" w:eastAsia="Times New Roman" w:hAnsi="Calibri" w:cs="Calibri"/>
                <w:color w:val="000000"/>
                <w:kern w:val="24"/>
                <w:sz w:val="16"/>
                <w:szCs w:val="16"/>
                <w:lang w:eastAsia="en-GB"/>
              </w:rPr>
            </w:pPr>
          </w:p>
        </w:tc>
      </w:tr>
      <w:tr w:rsidR="00EA1B48" w14:paraId="3A5B1161" w14:textId="77777777" w:rsidTr="00EA1B48">
        <w:trPr>
          <w:trHeight w:val="20"/>
        </w:trPr>
        <w:tc>
          <w:tcPr>
            <w:tcW w:w="2312" w:type="dxa"/>
            <w:tcBorders>
              <w:top w:val="single" w:sz="8" w:space="0" w:color="000000"/>
              <w:left w:val="nil"/>
              <w:bottom w:val="nil"/>
              <w:right w:val="nil"/>
            </w:tcBorders>
            <w:shd w:val="clear" w:color="auto" w:fill="auto"/>
            <w:tcMar>
              <w:top w:w="15" w:type="dxa"/>
              <w:left w:w="98" w:type="dxa"/>
              <w:bottom w:w="0" w:type="dxa"/>
              <w:right w:w="98" w:type="dxa"/>
            </w:tcMar>
            <w:vAlign w:val="bottom"/>
            <w:hideMark/>
          </w:tcPr>
          <w:p w14:paraId="10028C7F" w14:textId="477F080D"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Anticoagulants</w:t>
            </w:r>
          </w:p>
        </w:tc>
        <w:tc>
          <w:tcPr>
            <w:tcW w:w="2164"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CD4A13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 (9.1)</w:t>
            </w:r>
          </w:p>
        </w:tc>
        <w:tc>
          <w:tcPr>
            <w:tcW w:w="178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439232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(13.9)</w:t>
            </w:r>
          </w:p>
        </w:tc>
        <w:tc>
          <w:tcPr>
            <w:tcW w:w="178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F06722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 (16.3)</w:t>
            </w:r>
          </w:p>
        </w:tc>
        <w:tc>
          <w:tcPr>
            <w:tcW w:w="14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555F39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29 (17.3)</w:t>
            </w:r>
          </w:p>
        </w:tc>
        <w:tc>
          <w:tcPr>
            <w:tcW w:w="76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2D6FF01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0.337</w:t>
            </w:r>
          </w:p>
        </w:tc>
      </w:tr>
      <w:tr w:rsidR="00EA1B48" w14:paraId="7199AD67" w14:textId="77777777" w:rsidTr="00EA1B48">
        <w:trPr>
          <w:trHeight w:val="20"/>
        </w:trPr>
        <w:tc>
          <w:tcPr>
            <w:tcW w:w="2312" w:type="dxa"/>
            <w:tcBorders>
              <w:top w:val="nil"/>
              <w:left w:val="nil"/>
              <w:bottom w:val="single" w:sz="8" w:space="0" w:color="000000"/>
              <w:right w:val="nil"/>
            </w:tcBorders>
            <w:shd w:val="clear" w:color="auto" w:fill="auto"/>
            <w:tcMar>
              <w:top w:w="15" w:type="dxa"/>
              <w:left w:w="98" w:type="dxa"/>
              <w:bottom w:w="0" w:type="dxa"/>
              <w:right w:w="98" w:type="dxa"/>
            </w:tcMar>
            <w:vAlign w:val="bottom"/>
            <w:hideMark/>
          </w:tcPr>
          <w:p w14:paraId="52B67A59" w14:textId="03228480"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Antiplatelet drugs</w:t>
            </w:r>
          </w:p>
        </w:tc>
        <w:tc>
          <w:tcPr>
            <w:tcW w:w="2164" w:type="dxa"/>
            <w:gridSpan w:val="2"/>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3D80867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(5.0)</w:t>
            </w:r>
          </w:p>
        </w:tc>
        <w:tc>
          <w:tcPr>
            <w:tcW w:w="178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6B27C4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13 (17.1)</w:t>
            </w:r>
          </w:p>
        </w:tc>
        <w:tc>
          <w:tcPr>
            <w:tcW w:w="178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856D13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34 (24.1)</w:t>
            </w:r>
          </w:p>
        </w:tc>
        <w:tc>
          <w:tcPr>
            <w:tcW w:w="1458"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5A4020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 (43.2)</w:t>
            </w:r>
          </w:p>
        </w:tc>
        <w:tc>
          <w:tcPr>
            <w:tcW w:w="769"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7FEE3CA6"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&lt;0.001</w:t>
            </w:r>
          </w:p>
        </w:tc>
      </w:tr>
      <w:tr w:rsidR="00EA1B48" w:rsidRPr="004C2310" w14:paraId="6147D9F8" w14:textId="77777777" w:rsidTr="00EA1B48">
        <w:trPr>
          <w:trHeight w:val="20"/>
        </w:trPr>
        <w:tc>
          <w:tcPr>
            <w:tcW w:w="2312" w:type="dxa"/>
            <w:tcBorders>
              <w:top w:val="single" w:sz="8" w:space="0" w:color="000000"/>
              <w:left w:val="nil"/>
              <w:bottom w:val="single" w:sz="4" w:space="0" w:color="auto"/>
              <w:right w:val="nil"/>
            </w:tcBorders>
            <w:shd w:val="clear" w:color="auto" w:fill="auto"/>
            <w:tcMar>
              <w:top w:w="15" w:type="dxa"/>
              <w:left w:w="108" w:type="dxa"/>
              <w:bottom w:w="0" w:type="dxa"/>
              <w:right w:w="108" w:type="dxa"/>
            </w:tcMar>
            <w:vAlign w:val="bottom"/>
          </w:tcPr>
          <w:p w14:paraId="2F9E476C" w14:textId="1ECBE8B9"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Site of infection, n (%)</w:t>
            </w:r>
          </w:p>
        </w:tc>
        <w:tc>
          <w:tcPr>
            <w:tcW w:w="2164" w:type="dxa"/>
            <w:gridSpan w:val="2"/>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6626CF93"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84"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79F63655"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80"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758F4559"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458"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14646BE2"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769" w:type="dxa"/>
            <w:tcBorders>
              <w:top w:val="single" w:sz="8" w:space="0" w:color="000000"/>
              <w:left w:val="nil"/>
              <w:bottom w:val="single" w:sz="4" w:space="0" w:color="auto"/>
              <w:right w:val="nil"/>
            </w:tcBorders>
            <w:shd w:val="clear" w:color="auto" w:fill="auto"/>
            <w:tcMar>
              <w:top w:w="15" w:type="dxa"/>
              <w:left w:w="15" w:type="dxa"/>
              <w:bottom w:w="0" w:type="dxa"/>
              <w:right w:w="15" w:type="dxa"/>
            </w:tcMar>
            <w:vAlign w:val="bottom"/>
          </w:tcPr>
          <w:p w14:paraId="6B8B7D03" w14:textId="77777777" w:rsidR="00EA1B48" w:rsidRPr="004C2310" w:rsidRDefault="00EA1B48" w:rsidP="00EA1B48">
            <w:pPr>
              <w:pStyle w:val="NoSpacing"/>
              <w:spacing w:line="276" w:lineRule="auto"/>
              <w:ind w:right="-1"/>
              <w:jc w:val="right"/>
              <w:rPr>
                <w:rFonts w:ascii="Calibri" w:eastAsia="Times New Roman" w:hAnsi="Calibri" w:cs="Calibri"/>
                <w:color w:val="000000"/>
                <w:kern w:val="24"/>
                <w:sz w:val="16"/>
                <w:szCs w:val="16"/>
                <w:lang w:eastAsia="en-GB"/>
              </w:rPr>
            </w:pPr>
          </w:p>
        </w:tc>
      </w:tr>
      <w:tr w:rsidR="00EA1B48" w14:paraId="136A73F2" w14:textId="77777777" w:rsidTr="00EA1B48">
        <w:trPr>
          <w:trHeight w:val="20"/>
        </w:trPr>
        <w:tc>
          <w:tcPr>
            <w:tcW w:w="2312" w:type="dxa"/>
            <w:tcBorders>
              <w:top w:val="single" w:sz="4" w:space="0" w:color="auto"/>
              <w:left w:val="nil"/>
              <w:right w:val="nil"/>
            </w:tcBorders>
            <w:shd w:val="clear" w:color="auto" w:fill="auto"/>
            <w:tcMar>
              <w:top w:w="15" w:type="dxa"/>
              <w:left w:w="108" w:type="dxa"/>
              <w:bottom w:w="0" w:type="dxa"/>
              <w:right w:w="108" w:type="dxa"/>
            </w:tcMar>
            <w:vAlign w:val="bottom"/>
          </w:tcPr>
          <w:p w14:paraId="1C81DEEE" w14:textId="48EC12FF"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Cardiovascular</w:t>
            </w:r>
          </w:p>
        </w:tc>
        <w:tc>
          <w:tcPr>
            <w:tcW w:w="2164" w:type="dxa"/>
            <w:gridSpan w:val="2"/>
            <w:tcBorders>
              <w:top w:val="single" w:sz="4" w:space="0" w:color="auto"/>
              <w:left w:val="nil"/>
              <w:right w:val="nil"/>
            </w:tcBorders>
            <w:shd w:val="clear" w:color="auto" w:fill="auto"/>
            <w:tcMar>
              <w:top w:w="15" w:type="dxa"/>
              <w:left w:w="15" w:type="dxa"/>
              <w:bottom w:w="0" w:type="dxa"/>
              <w:right w:w="15" w:type="dxa"/>
            </w:tcMar>
            <w:vAlign w:val="bottom"/>
          </w:tcPr>
          <w:p w14:paraId="3D52102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 (5.7)</w:t>
            </w:r>
          </w:p>
        </w:tc>
        <w:tc>
          <w:tcPr>
            <w:tcW w:w="1784" w:type="dxa"/>
            <w:tcBorders>
              <w:top w:val="single" w:sz="4" w:space="0" w:color="auto"/>
              <w:left w:val="nil"/>
              <w:right w:val="nil"/>
            </w:tcBorders>
            <w:shd w:val="clear" w:color="auto" w:fill="auto"/>
            <w:tcMar>
              <w:top w:w="15" w:type="dxa"/>
              <w:left w:w="15" w:type="dxa"/>
              <w:bottom w:w="0" w:type="dxa"/>
              <w:right w:w="15" w:type="dxa"/>
            </w:tcMar>
            <w:vAlign w:val="bottom"/>
          </w:tcPr>
          <w:p w14:paraId="10426AC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(5.1)</w:t>
            </w:r>
          </w:p>
        </w:tc>
        <w:tc>
          <w:tcPr>
            <w:tcW w:w="1780" w:type="dxa"/>
            <w:tcBorders>
              <w:top w:val="single" w:sz="4" w:space="0" w:color="auto"/>
              <w:left w:val="nil"/>
              <w:right w:val="nil"/>
            </w:tcBorders>
            <w:shd w:val="clear" w:color="auto" w:fill="auto"/>
            <w:tcMar>
              <w:top w:w="15" w:type="dxa"/>
              <w:left w:w="15" w:type="dxa"/>
              <w:bottom w:w="0" w:type="dxa"/>
              <w:right w:w="15" w:type="dxa"/>
            </w:tcMar>
            <w:vAlign w:val="bottom"/>
          </w:tcPr>
          <w:p w14:paraId="5F07407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 (2.0)</w:t>
            </w:r>
          </w:p>
        </w:tc>
        <w:tc>
          <w:tcPr>
            <w:tcW w:w="1458" w:type="dxa"/>
            <w:tcBorders>
              <w:top w:val="single" w:sz="4" w:space="0" w:color="auto"/>
              <w:left w:val="nil"/>
              <w:right w:val="nil"/>
            </w:tcBorders>
            <w:shd w:val="clear" w:color="auto" w:fill="auto"/>
            <w:tcMar>
              <w:top w:w="15" w:type="dxa"/>
              <w:left w:w="15" w:type="dxa"/>
              <w:bottom w:w="0" w:type="dxa"/>
              <w:right w:w="15" w:type="dxa"/>
            </w:tcMar>
            <w:vAlign w:val="bottom"/>
          </w:tcPr>
          <w:p w14:paraId="3441E05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 (4.2)</w:t>
            </w:r>
          </w:p>
        </w:tc>
        <w:tc>
          <w:tcPr>
            <w:tcW w:w="769" w:type="dxa"/>
            <w:tcBorders>
              <w:top w:val="single" w:sz="4" w:space="0" w:color="auto"/>
              <w:left w:val="nil"/>
              <w:right w:val="nil"/>
            </w:tcBorders>
            <w:shd w:val="clear" w:color="auto" w:fill="auto"/>
            <w:tcMar>
              <w:top w:w="15" w:type="dxa"/>
              <w:left w:w="15" w:type="dxa"/>
              <w:bottom w:w="0" w:type="dxa"/>
              <w:right w:w="15" w:type="dxa"/>
            </w:tcMar>
            <w:vAlign w:val="bottom"/>
          </w:tcPr>
          <w:p w14:paraId="5E4836C8"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0.457</w:t>
            </w:r>
          </w:p>
        </w:tc>
      </w:tr>
      <w:tr w:rsidR="00EA1B48" w14:paraId="645482A7" w14:textId="77777777" w:rsidTr="00EA1B48">
        <w:trPr>
          <w:trHeight w:val="20"/>
        </w:trPr>
        <w:tc>
          <w:tcPr>
            <w:tcW w:w="2312" w:type="dxa"/>
            <w:tcBorders>
              <w:left w:val="nil"/>
              <w:right w:val="nil"/>
            </w:tcBorders>
            <w:shd w:val="clear" w:color="auto" w:fill="auto"/>
            <w:tcMar>
              <w:top w:w="15" w:type="dxa"/>
              <w:left w:w="108" w:type="dxa"/>
              <w:bottom w:w="0" w:type="dxa"/>
              <w:right w:w="108" w:type="dxa"/>
            </w:tcMar>
            <w:vAlign w:val="bottom"/>
          </w:tcPr>
          <w:p w14:paraId="75EEC3DB" w14:textId="0A486524"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Pulmonary</w:t>
            </w:r>
          </w:p>
        </w:tc>
        <w:tc>
          <w:tcPr>
            <w:tcW w:w="2164" w:type="dxa"/>
            <w:gridSpan w:val="2"/>
            <w:tcBorders>
              <w:left w:val="nil"/>
              <w:right w:val="nil"/>
            </w:tcBorders>
            <w:shd w:val="clear" w:color="auto" w:fill="auto"/>
            <w:tcMar>
              <w:top w:w="15" w:type="dxa"/>
              <w:left w:w="15" w:type="dxa"/>
              <w:bottom w:w="0" w:type="dxa"/>
              <w:right w:w="15" w:type="dxa"/>
            </w:tcMar>
            <w:vAlign w:val="bottom"/>
          </w:tcPr>
          <w:p w14:paraId="63DCAA8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34 (38.6)</w:t>
            </w:r>
          </w:p>
        </w:tc>
        <w:tc>
          <w:tcPr>
            <w:tcW w:w="1784" w:type="dxa"/>
            <w:tcBorders>
              <w:left w:val="nil"/>
              <w:right w:val="nil"/>
            </w:tcBorders>
            <w:shd w:val="clear" w:color="auto" w:fill="auto"/>
            <w:tcMar>
              <w:top w:w="15" w:type="dxa"/>
              <w:left w:w="15" w:type="dxa"/>
              <w:bottom w:w="0" w:type="dxa"/>
              <w:right w:w="15" w:type="dxa"/>
            </w:tcMar>
            <w:vAlign w:val="bottom"/>
          </w:tcPr>
          <w:p w14:paraId="23880F7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22 (27.8)</w:t>
            </w:r>
          </w:p>
        </w:tc>
        <w:tc>
          <w:tcPr>
            <w:tcW w:w="1780" w:type="dxa"/>
            <w:tcBorders>
              <w:left w:val="nil"/>
              <w:right w:val="nil"/>
            </w:tcBorders>
            <w:shd w:val="clear" w:color="auto" w:fill="auto"/>
            <w:tcMar>
              <w:top w:w="15" w:type="dxa"/>
              <w:left w:w="15" w:type="dxa"/>
              <w:bottom w:w="0" w:type="dxa"/>
              <w:right w:w="15" w:type="dxa"/>
            </w:tcMar>
            <w:vAlign w:val="bottom"/>
          </w:tcPr>
          <w:p w14:paraId="35C6D23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65 (42.5)</w:t>
            </w:r>
          </w:p>
        </w:tc>
        <w:tc>
          <w:tcPr>
            <w:tcW w:w="1458" w:type="dxa"/>
            <w:tcBorders>
              <w:left w:val="nil"/>
              <w:right w:val="nil"/>
            </w:tcBorders>
            <w:shd w:val="clear" w:color="auto" w:fill="auto"/>
            <w:tcMar>
              <w:top w:w="15" w:type="dxa"/>
              <w:left w:w="15" w:type="dxa"/>
              <w:bottom w:w="0" w:type="dxa"/>
              <w:right w:w="15" w:type="dxa"/>
            </w:tcMar>
            <w:vAlign w:val="bottom"/>
          </w:tcPr>
          <w:p w14:paraId="277BCE2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67 (39.9)</w:t>
            </w:r>
          </w:p>
        </w:tc>
        <w:tc>
          <w:tcPr>
            <w:tcW w:w="769" w:type="dxa"/>
            <w:tcBorders>
              <w:left w:val="nil"/>
              <w:right w:val="nil"/>
            </w:tcBorders>
            <w:shd w:val="clear" w:color="auto" w:fill="auto"/>
            <w:tcMar>
              <w:top w:w="15" w:type="dxa"/>
              <w:left w:w="15" w:type="dxa"/>
              <w:bottom w:w="0" w:type="dxa"/>
              <w:right w:w="15" w:type="dxa"/>
            </w:tcMar>
            <w:vAlign w:val="bottom"/>
          </w:tcPr>
          <w:p w14:paraId="53A10BF4"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0.176</w:t>
            </w:r>
          </w:p>
        </w:tc>
      </w:tr>
      <w:tr w:rsidR="00EA1B48" w14:paraId="167CBFA9" w14:textId="77777777" w:rsidTr="00EA1B48">
        <w:trPr>
          <w:trHeight w:val="20"/>
        </w:trPr>
        <w:tc>
          <w:tcPr>
            <w:tcW w:w="2312" w:type="dxa"/>
            <w:tcBorders>
              <w:left w:val="nil"/>
              <w:right w:val="nil"/>
            </w:tcBorders>
            <w:shd w:val="clear" w:color="auto" w:fill="auto"/>
            <w:tcMar>
              <w:top w:w="15" w:type="dxa"/>
              <w:left w:w="108" w:type="dxa"/>
              <w:bottom w:w="0" w:type="dxa"/>
              <w:right w:w="108" w:type="dxa"/>
            </w:tcMar>
            <w:vAlign w:val="bottom"/>
          </w:tcPr>
          <w:p w14:paraId="192539E8" w14:textId="025F2ABC"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Urinary</w:t>
            </w:r>
          </w:p>
        </w:tc>
        <w:tc>
          <w:tcPr>
            <w:tcW w:w="2164" w:type="dxa"/>
            <w:gridSpan w:val="2"/>
            <w:tcBorders>
              <w:left w:val="nil"/>
              <w:right w:val="nil"/>
            </w:tcBorders>
            <w:shd w:val="clear" w:color="auto" w:fill="auto"/>
            <w:tcMar>
              <w:top w:w="15" w:type="dxa"/>
              <w:left w:w="15" w:type="dxa"/>
              <w:bottom w:w="0" w:type="dxa"/>
              <w:right w:w="15" w:type="dxa"/>
            </w:tcMar>
            <w:vAlign w:val="bottom"/>
          </w:tcPr>
          <w:p w14:paraId="442B28B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(4.5)</w:t>
            </w:r>
          </w:p>
        </w:tc>
        <w:tc>
          <w:tcPr>
            <w:tcW w:w="1784" w:type="dxa"/>
            <w:tcBorders>
              <w:left w:val="nil"/>
              <w:right w:val="nil"/>
            </w:tcBorders>
            <w:shd w:val="clear" w:color="auto" w:fill="auto"/>
            <w:tcMar>
              <w:top w:w="15" w:type="dxa"/>
              <w:left w:w="15" w:type="dxa"/>
              <w:bottom w:w="0" w:type="dxa"/>
              <w:right w:w="15" w:type="dxa"/>
            </w:tcMar>
            <w:vAlign w:val="bottom"/>
          </w:tcPr>
          <w:p w14:paraId="46C5A72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 (3.8)</w:t>
            </w:r>
          </w:p>
        </w:tc>
        <w:tc>
          <w:tcPr>
            <w:tcW w:w="1780" w:type="dxa"/>
            <w:tcBorders>
              <w:left w:val="nil"/>
              <w:right w:val="nil"/>
            </w:tcBorders>
            <w:shd w:val="clear" w:color="auto" w:fill="auto"/>
            <w:tcMar>
              <w:top w:w="15" w:type="dxa"/>
              <w:left w:w="15" w:type="dxa"/>
              <w:bottom w:w="0" w:type="dxa"/>
              <w:right w:w="15" w:type="dxa"/>
            </w:tcMar>
            <w:vAlign w:val="bottom"/>
          </w:tcPr>
          <w:p w14:paraId="27A9951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15 (9.8)</w:t>
            </w:r>
          </w:p>
        </w:tc>
        <w:tc>
          <w:tcPr>
            <w:tcW w:w="1458" w:type="dxa"/>
            <w:tcBorders>
              <w:left w:val="nil"/>
              <w:right w:val="nil"/>
            </w:tcBorders>
            <w:shd w:val="clear" w:color="auto" w:fill="auto"/>
            <w:tcMar>
              <w:top w:w="15" w:type="dxa"/>
              <w:left w:w="15" w:type="dxa"/>
              <w:bottom w:w="0" w:type="dxa"/>
              <w:right w:w="15" w:type="dxa"/>
            </w:tcMar>
            <w:vAlign w:val="bottom"/>
          </w:tcPr>
          <w:p w14:paraId="2FC9C07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(5.4)</w:t>
            </w:r>
          </w:p>
        </w:tc>
        <w:tc>
          <w:tcPr>
            <w:tcW w:w="769" w:type="dxa"/>
            <w:tcBorders>
              <w:left w:val="nil"/>
              <w:right w:val="nil"/>
            </w:tcBorders>
            <w:shd w:val="clear" w:color="auto" w:fill="auto"/>
            <w:tcMar>
              <w:top w:w="15" w:type="dxa"/>
              <w:left w:w="15" w:type="dxa"/>
              <w:bottom w:w="0" w:type="dxa"/>
              <w:right w:w="15" w:type="dxa"/>
            </w:tcMar>
            <w:vAlign w:val="bottom"/>
          </w:tcPr>
          <w:p w14:paraId="69E87927"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0.196</w:t>
            </w:r>
          </w:p>
        </w:tc>
      </w:tr>
      <w:tr w:rsidR="00EA1B48" w14:paraId="73D8BA45" w14:textId="77777777" w:rsidTr="00EA1B48">
        <w:trPr>
          <w:trHeight w:val="20"/>
        </w:trPr>
        <w:tc>
          <w:tcPr>
            <w:tcW w:w="2312" w:type="dxa"/>
            <w:tcBorders>
              <w:left w:val="nil"/>
              <w:right w:val="nil"/>
            </w:tcBorders>
            <w:shd w:val="clear" w:color="auto" w:fill="auto"/>
            <w:tcMar>
              <w:top w:w="15" w:type="dxa"/>
              <w:left w:w="108" w:type="dxa"/>
              <w:bottom w:w="0" w:type="dxa"/>
              <w:right w:w="108" w:type="dxa"/>
            </w:tcMar>
            <w:vAlign w:val="bottom"/>
          </w:tcPr>
          <w:p w14:paraId="4AD17EDA" w14:textId="7D8169FD"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Skin</w:t>
            </w:r>
          </w:p>
        </w:tc>
        <w:tc>
          <w:tcPr>
            <w:tcW w:w="2164" w:type="dxa"/>
            <w:gridSpan w:val="2"/>
            <w:tcBorders>
              <w:left w:val="nil"/>
              <w:right w:val="nil"/>
            </w:tcBorders>
            <w:shd w:val="clear" w:color="auto" w:fill="auto"/>
            <w:tcMar>
              <w:top w:w="15" w:type="dxa"/>
              <w:left w:w="15" w:type="dxa"/>
              <w:bottom w:w="0" w:type="dxa"/>
              <w:right w:w="15" w:type="dxa"/>
            </w:tcMar>
            <w:vAlign w:val="bottom"/>
          </w:tcPr>
          <w:p w14:paraId="61FC3D7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(4.5)</w:t>
            </w:r>
          </w:p>
        </w:tc>
        <w:tc>
          <w:tcPr>
            <w:tcW w:w="1784" w:type="dxa"/>
            <w:tcBorders>
              <w:left w:val="nil"/>
              <w:right w:val="nil"/>
            </w:tcBorders>
            <w:shd w:val="clear" w:color="auto" w:fill="auto"/>
            <w:tcMar>
              <w:top w:w="15" w:type="dxa"/>
              <w:left w:w="15" w:type="dxa"/>
              <w:bottom w:w="0" w:type="dxa"/>
              <w:right w:w="15" w:type="dxa"/>
            </w:tcMar>
            <w:vAlign w:val="bottom"/>
          </w:tcPr>
          <w:p w14:paraId="24CF215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 (10.1)</w:t>
            </w:r>
          </w:p>
        </w:tc>
        <w:tc>
          <w:tcPr>
            <w:tcW w:w="1780" w:type="dxa"/>
            <w:tcBorders>
              <w:left w:val="nil"/>
              <w:right w:val="nil"/>
            </w:tcBorders>
            <w:shd w:val="clear" w:color="auto" w:fill="auto"/>
            <w:tcMar>
              <w:top w:w="15" w:type="dxa"/>
              <w:left w:w="15" w:type="dxa"/>
              <w:bottom w:w="0" w:type="dxa"/>
              <w:right w:w="15" w:type="dxa"/>
            </w:tcMar>
            <w:vAlign w:val="bottom"/>
          </w:tcPr>
          <w:p w14:paraId="393F3DB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(2.6)</w:t>
            </w:r>
          </w:p>
        </w:tc>
        <w:tc>
          <w:tcPr>
            <w:tcW w:w="1458" w:type="dxa"/>
            <w:tcBorders>
              <w:left w:val="nil"/>
              <w:right w:val="nil"/>
            </w:tcBorders>
            <w:shd w:val="clear" w:color="auto" w:fill="auto"/>
            <w:tcMar>
              <w:top w:w="15" w:type="dxa"/>
              <w:left w:w="15" w:type="dxa"/>
              <w:bottom w:w="0" w:type="dxa"/>
              <w:right w:w="15" w:type="dxa"/>
            </w:tcMar>
            <w:vAlign w:val="bottom"/>
          </w:tcPr>
          <w:p w14:paraId="4A30061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 (1.2)</w:t>
            </w:r>
          </w:p>
        </w:tc>
        <w:tc>
          <w:tcPr>
            <w:tcW w:w="769" w:type="dxa"/>
            <w:tcBorders>
              <w:left w:val="nil"/>
              <w:right w:val="nil"/>
            </w:tcBorders>
            <w:shd w:val="clear" w:color="auto" w:fill="auto"/>
            <w:tcMar>
              <w:top w:w="15" w:type="dxa"/>
              <w:left w:w="15" w:type="dxa"/>
              <w:bottom w:w="0" w:type="dxa"/>
              <w:right w:w="15" w:type="dxa"/>
            </w:tcMar>
            <w:vAlign w:val="bottom"/>
          </w:tcPr>
          <w:p w14:paraId="2F65EA42"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0.005</w:t>
            </w:r>
          </w:p>
        </w:tc>
      </w:tr>
      <w:tr w:rsidR="00EA1B48" w14:paraId="6CE16C3D" w14:textId="77777777" w:rsidTr="00EA1B48">
        <w:trPr>
          <w:trHeight w:val="20"/>
        </w:trPr>
        <w:tc>
          <w:tcPr>
            <w:tcW w:w="2312" w:type="dxa"/>
            <w:tcBorders>
              <w:left w:val="nil"/>
              <w:right w:val="nil"/>
            </w:tcBorders>
            <w:shd w:val="clear" w:color="auto" w:fill="auto"/>
            <w:tcMar>
              <w:top w:w="15" w:type="dxa"/>
              <w:left w:w="108" w:type="dxa"/>
              <w:bottom w:w="0" w:type="dxa"/>
              <w:right w:w="108" w:type="dxa"/>
            </w:tcMar>
            <w:vAlign w:val="bottom"/>
          </w:tcPr>
          <w:p w14:paraId="5C6ED02B" w14:textId="798EC4B5"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Abdominal</w:t>
            </w:r>
          </w:p>
        </w:tc>
        <w:tc>
          <w:tcPr>
            <w:tcW w:w="2164" w:type="dxa"/>
            <w:gridSpan w:val="2"/>
            <w:tcBorders>
              <w:left w:val="nil"/>
              <w:right w:val="nil"/>
            </w:tcBorders>
            <w:shd w:val="clear" w:color="auto" w:fill="auto"/>
            <w:tcMar>
              <w:top w:w="15" w:type="dxa"/>
              <w:left w:w="15" w:type="dxa"/>
              <w:bottom w:w="0" w:type="dxa"/>
              <w:right w:w="15" w:type="dxa"/>
            </w:tcMar>
            <w:vAlign w:val="bottom"/>
          </w:tcPr>
          <w:p w14:paraId="2234D91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 (18.2)</w:t>
            </w:r>
          </w:p>
        </w:tc>
        <w:tc>
          <w:tcPr>
            <w:tcW w:w="1784" w:type="dxa"/>
            <w:tcBorders>
              <w:left w:val="nil"/>
              <w:right w:val="nil"/>
            </w:tcBorders>
            <w:shd w:val="clear" w:color="auto" w:fill="auto"/>
            <w:tcMar>
              <w:top w:w="15" w:type="dxa"/>
              <w:left w:w="15" w:type="dxa"/>
              <w:bottom w:w="0" w:type="dxa"/>
              <w:right w:w="15" w:type="dxa"/>
            </w:tcMar>
            <w:vAlign w:val="bottom"/>
          </w:tcPr>
          <w:p w14:paraId="607813A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 (20.3)</w:t>
            </w:r>
          </w:p>
        </w:tc>
        <w:tc>
          <w:tcPr>
            <w:tcW w:w="1780" w:type="dxa"/>
            <w:tcBorders>
              <w:left w:val="nil"/>
              <w:right w:val="nil"/>
            </w:tcBorders>
            <w:shd w:val="clear" w:color="auto" w:fill="auto"/>
            <w:tcMar>
              <w:top w:w="15" w:type="dxa"/>
              <w:left w:w="15" w:type="dxa"/>
              <w:bottom w:w="0" w:type="dxa"/>
              <w:right w:w="15" w:type="dxa"/>
            </w:tcMar>
            <w:vAlign w:val="bottom"/>
          </w:tcPr>
          <w:p w14:paraId="7997BE0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 (16.3)</w:t>
            </w:r>
          </w:p>
        </w:tc>
        <w:tc>
          <w:tcPr>
            <w:tcW w:w="1458" w:type="dxa"/>
            <w:tcBorders>
              <w:left w:val="nil"/>
              <w:right w:val="nil"/>
            </w:tcBorders>
            <w:shd w:val="clear" w:color="auto" w:fill="auto"/>
            <w:tcMar>
              <w:top w:w="15" w:type="dxa"/>
              <w:left w:w="15" w:type="dxa"/>
              <w:bottom w:w="0" w:type="dxa"/>
              <w:right w:w="15" w:type="dxa"/>
            </w:tcMar>
            <w:vAlign w:val="bottom"/>
          </w:tcPr>
          <w:p w14:paraId="4D61AE6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31 (18.5)</w:t>
            </w:r>
          </w:p>
        </w:tc>
        <w:tc>
          <w:tcPr>
            <w:tcW w:w="769" w:type="dxa"/>
            <w:tcBorders>
              <w:left w:val="nil"/>
              <w:right w:val="nil"/>
            </w:tcBorders>
            <w:shd w:val="clear" w:color="auto" w:fill="auto"/>
            <w:tcMar>
              <w:top w:w="15" w:type="dxa"/>
              <w:left w:w="15" w:type="dxa"/>
              <w:bottom w:w="0" w:type="dxa"/>
              <w:right w:w="15" w:type="dxa"/>
            </w:tcMar>
            <w:vAlign w:val="bottom"/>
          </w:tcPr>
          <w:p w14:paraId="376D083A"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0.901</w:t>
            </w:r>
          </w:p>
        </w:tc>
      </w:tr>
      <w:tr w:rsidR="00EA1B48" w14:paraId="5057A645" w14:textId="77777777" w:rsidTr="00EA1B48">
        <w:trPr>
          <w:trHeight w:val="20"/>
        </w:trPr>
        <w:tc>
          <w:tcPr>
            <w:tcW w:w="2312" w:type="dxa"/>
            <w:tcBorders>
              <w:left w:val="nil"/>
              <w:right w:val="nil"/>
            </w:tcBorders>
            <w:shd w:val="clear" w:color="auto" w:fill="auto"/>
            <w:tcMar>
              <w:top w:w="15" w:type="dxa"/>
              <w:left w:w="108" w:type="dxa"/>
              <w:bottom w:w="0" w:type="dxa"/>
              <w:right w:w="108" w:type="dxa"/>
            </w:tcMar>
            <w:vAlign w:val="bottom"/>
          </w:tcPr>
          <w:p w14:paraId="1F0251D4" w14:textId="7FC91F94"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Central nervous system</w:t>
            </w:r>
          </w:p>
        </w:tc>
        <w:tc>
          <w:tcPr>
            <w:tcW w:w="2164" w:type="dxa"/>
            <w:gridSpan w:val="2"/>
            <w:tcBorders>
              <w:left w:val="nil"/>
              <w:right w:val="nil"/>
            </w:tcBorders>
            <w:shd w:val="clear" w:color="auto" w:fill="auto"/>
            <w:tcMar>
              <w:top w:w="15" w:type="dxa"/>
              <w:left w:w="15" w:type="dxa"/>
              <w:bottom w:w="0" w:type="dxa"/>
              <w:right w:w="15" w:type="dxa"/>
            </w:tcMar>
            <w:vAlign w:val="bottom"/>
          </w:tcPr>
          <w:p w14:paraId="3709FA9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 (3.4)</w:t>
            </w:r>
          </w:p>
        </w:tc>
        <w:tc>
          <w:tcPr>
            <w:tcW w:w="1784" w:type="dxa"/>
            <w:tcBorders>
              <w:left w:val="nil"/>
              <w:right w:val="nil"/>
            </w:tcBorders>
            <w:shd w:val="clear" w:color="auto" w:fill="auto"/>
            <w:tcMar>
              <w:top w:w="15" w:type="dxa"/>
              <w:left w:w="15" w:type="dxa"/>
              <w:bottom w:w="0" w:type="dxa"/>
              <w:right w:w="15" w:type="dxa"/>
            </w:tcMar>
            <w:vAlign w:val="bottom"/>
          </w:tcPr>
          <w:p w14:paraId="14E07FF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0 (0.0)</w:t>
            </w:r>
          </w:p>
        </w:tc>
        <w:tc>
          <w:tcPr>
            <w:tcW w:w="1780" w:type="dxa"/>
            <w:tcBorders>
              <w:left w:val="nil"/>
              <w:right w:val="nil"/>
            </w:tcBorders>
            <w:shd w:val="clear" w:color="auto" w:fill="auto"/>
            <w:tcMar>
              <w:top w:w="15" w:type="dxa"/>
              <w:left w:w="15" w:type="dxa"/>
              <w:bottom w:w="0" w:type="dxa"/>
              <w:right w:w="15" w:type="dxa"/>
            </w:tcMar>
            <w:vAlign w:val="bottom"/>
          </w:tcPr>
          <w:p w14:paraId="039A67F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(2.6)</w:t>
            </w:r>
          </w:p>
        </w:tc>
        <w:tc>
          <w:tcPr>
            <w:tcW w:w="1458" w:type="dxa"/>
            <w:tcBorders>
              <w:left w:val="nil"/>
              <w:right w:val="nil"/>
            </w:tcBorders>
            <w:shd w:val="clear" w:color="auto" w:fill="auto"/>
            <w:tcMar>
              <w:top w:w="15" w:type="dxa"/>
              <w:left w:w="15" w:type="dxa"/>
              <w:bottom w:w="0" w:type="dxa"/>
              <w:right w:w="15" w:type="dxa"/>
            </w:tcMar>
            <w:vAlign w:val="bottom"/>
          </w:tcPr>
          <w:p w14:paraId="5593803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 (0.6)</w:t>
            </w:r>
          </w:p>
        </w:tc>
        <w:tc>
          <w:tcPr>
            <w:tcW w:w="769" w:type="dxa"/>
            <w:tcBorders>
              <w:left w:val="nil"/>
              <w:right w:val="nil"/>
            </w:tcBorders>
            <w:shd w:val="clear" w:color="auto" w:fill="auto"/>
            <w:tcMar>
              <w:top w:w="15" w:type="dxa"/>
              <w:left w:w="15" w:type="dxa"/>
              <w:bottom w:w="0" w:type="dxa"/>
              <w:right w:w="15" w:type="dxa"/>
            </w:tcMar>
            <w:vAlign w:val="bottom"/>
          </w:tcPr>
          <w:p w14:paraId="16AB9AA0"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0.167</w:t>
            </w:r>
          </w:p>
        </w:tc>
      </w:tr>
      <w:tr w:rsidR="00EA1B48" w14:paraId="0AD6C912" w14:textId="77777777" w:rsidTr="00EA1B48">
        <w:trPr>
          <w:trHeight w:val="20"/>
        </w:trPr>
        <w:tc>
          <w:tcPr>
            <w:tcW w:w="2312" w:type="dxa"/>
            <w:tcBorders>
              <w:left w:val="nil"/>
              <w:right w:val="nil"/>
            </w:tcBorders>
            <w:shd w:val="clear" w:color="auto" w:fill="auto"/>
            <w:tcMar>
              <w:top w:w="15" w:type="dxa"/>
              <w:left w:w="108" w:type="dxa"/>
              <w:bottom w:w="0" w:type="dxa"/>
              <w:right w:w="108" w:type="dxa"/>
            </w:tcMar>
            <w:vAlign w:val="bottom"/>
          </w:tcPr>
          <w:p w14:paraId="4D927D1B" w14:textId="229E9E65" w:rsidR="00EA1B48" w:rsidRPr="00217043" w:rsidRDefault="00EA1B48" w:rsidP="00EA1B48">
            <w:pPr>
              <w:pStyle w:val="NoSpacing"/>
              <w:spacing w:line="276" w:lineRule="auto"/>
              <w:ind w:right="-1"/>
              <w:rPr>
                <w:rFonts w:eastAsiaTheme="minorEastAsia" w:hAnsi="Calibri"/>
                <w:b/>
                <w:color w:val="000000" w:themeColor="text1"/>
                <w:kern w:val="24"/>
                <w:sz w:val="16"/>
                <w:szCs w:val="16"/>
                <w:vertAlign w:val="superscript"/>
                <w:lang w:eastAsia="en-GB"/>
              </w:rPr>
            </w:pPr>
            <w:r w:rsidRPr="00217043">
              <w:rPr>
                <w:rFonts w:eastAsiaTheme="minorEastAsia" w:cstheme="minorHAnsi"/>
                <w:b/>
                <w:color w:val="000000" w:themeColor="text1"/>
                <w:kern w:val="24"/>
                <w:sz w:val="16"/>
                <w:szCs w:val="16"/>
              </w:rPr>
              <w:t xml:space="preserve">Other infection site </w:t>
            </w:r>
            <w:r w:rsidRPr="00525A9B">
              <w:rPr>
                <w:rFonts w:ascii="Open Sans" w:hAnsi="Open Sans" w:cs="Open Sans"/>
                <w:color w:val="666666"/>
                <w:sz w:val="16"/>
                <w:szCs w:val="16"/>
                <w:lang w:val="en-GB"/>
              </w:rPr>
              <w:t>†</w:t>
            </w:r>
          </w:p>
        </w:tc>
        <w:tc>
          <w:tcPr>
            <w:tcW w:w="2164" w:type="dxa"/>
            <w:gridSpan w:val="2"/>
            <w:tcBorders>
              <w:left w:val="nil"/>
              <w:right w:val="nil"/>
            </w:tcBorders>
            <w:shd w:val="clear" w:color="auto" w:fill="auto"/>
            <w:tcMar>
              <w:top w:w="15" w:type="dxa"/>
              <w:left w:w="15" w:type="dxa"/>
              <w:bottom w:w="0" w:type="dxa"/>
              <w:right w:w="15" w:type="dxa"/>
            </w:tcMar>
            <w:vAlign w:val="bottom"/>
          </w:tcPr>
          <w:p w14:paraId="07D65F1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 (3.4)</w:t>
            </w:r>
          </w:p>
        </w:tc>
        <w:tc>
          <w:tcPr>
            <w:tcW w:w="1784" w:type="dxa"/>
            <w:tcBorders>
              <w:left w:val="nil"/>
              <w:right w:val="nil"/>
            </w:tcBorders>
            <w:shd w:val="clear" w:color="auto" w:fill="auto"/>
            <w:tcMar>
              <w:top w:w="15" w:type="dxa"/>
              <w:left w:w="15" w:type="dxa"/>
              <w:bottom w:w="0" w:type="dxa"/>
              <w:right w:w="15" w:type="dxa"/>
            </w:tcMar>
            <w:vAlign w:val="bottom"/>
          </w:tcPr>
          <w:p w14:paraId="46098BA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 (6.3)</w:t>
            </w:r>
          </w:p>
        </w:tc>
        <w:tc>
          <w:tcPr>
            <w:tcW w:w="1780" w:type="dxa"/>
            <w:tcBorders>
              <w:left w:val="nil"/>
              <w:right w:val="nil"/>
            </w:tcBorders>
            <w:shd w:val="clear" w:color="auto" w:fill="auto"/>
            <w:tcMar>
              <w:top w:w="15" w:type="dxa"/>
              <w:left w:w="15" w:type="dxa"/>
              <w:bottom w:w="0" w:type="dxa"/>
              <w:right w:w="15" w:type="dxa"/>
            </w:tcMar>
            <w:vAlign w:val="bottom"/>
          </w:tcPr>
          <w:p w14:paraId="773F714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 (3.9)</w:t>
            </w:r>
          </w:p>
        </w:tc>
        <w:tc>
          <w:tcPr>
            <w:tcW w:w="1458" w:type="dxa"/>
            <w:tcBorders>
              <w:left w:val="nil"/>
              <w:right w:val="nil"/>
            </w:tcBorders>
            <w:shd w:val="clear" w:color="auto" w:fill="auto"/>
            <w:tcMar>
              <w:top w:w="15" w:type="dxa"/>
              <w:left w:w="15" w:type="dxa"/>
              <w:bottom w:w="0" w:type="dxa"/>
              <w:right w:w="15" w:type="dxa"/>
            </w:tcMar>
            <w:vAlign w:val="bottom"/>
          </w:tcPr>
          <w:p w14:paraId="57E9113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 (4.2)</w:t>
            </w:r>
          </w:p>
        </w:tc>
        <w:tc>
          <w:tcPr>
            <w:tcW w:w="769" w:type="dxa"/>
            <w:tcBorders>
              <w:left w:val="nil"/>
              <w:right w:val="nil"/>
            </w:tcBorders>
            <w:shd w:val="clear" w:color="auto" w:fill="auto"/>
            <w:tcMar>
              <w:top w:w="15" w:type="dxa"/>
              <w:left w:w="15" w:type="dxa"/>
              <w:bottom w:w="0" w:type="dxa"/>
              <w:right w:w="15" w:type="dxa"/>
            </w:tcMar>
            <w:vAlign w:val="bottom"/>
          </w:tcPr>
          <w:p w14:paraId="23478C1C"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0.796</w:t>
            </w:r>
          </w:p>
        </w:tc>
      </w:tr>
      <w:tr w:rsidR="00EA1B48" w14:paraId="4FECFD31" w14:textId="77777777" w:rsidTr="00EA1B48">
        <w:trPr>
          <w:trHeight w:val="20"/>
        </w:trPr>
        <w:tc>
          <w:tcPr>
            <w:tcW w:w="2312" w:type="dxa"/>
            <w:tcBorders>
              <w:left w:val="nil"/>
              <w:bottom w:val="nil"/>
              <w:right w:val="nil"/>
            </w:tcBorders>
            <w:shd w:val="clear" w:color="auto" w:fill="auto"/>
            <w:tcMar>
              <w:top w:w="15" w:type="dxa"/>
              <w:left w:w="108" w:type="dxa"/>
              <w:bottom w:w="0" w:type="dxa"/>
              <w:right w:w="108" w:type="dxa"/>
            </w:tcMar>
            <w:vAlign w:val="bottom"/>
          </w:tcPr>
          <w:p w14:paraId="6CEC622C" w14:textId="41212F6C"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rPr>
              <w:t>Mixed infection</w:t>
            </w:r>
          </w:p>
        </w:tc>
        <w:tc>
          <w:tcPr>
            <w:tcW w:w="2164" w:type="dxa"/>
            <w:gridSpan w:val="2"/>
            <w:tcBorders>
              <w:left w:val="nil"/>
              <w:bottom w:val="nil"/>
              <w:right w:val="nil"/>
            </w:tcBorders>
            <w:shd w:val="clear" w:color="auto" w:fill="auto"/>
            <w:tcMar>
              <w:top w:w="15" w:type="dxa"/>
              <w:left w:w="15" w:type="dxa"/>
              <w:bottom w:w="0" w:type="dxa"/>
              <w:right w:w="15" w:type="dxa"/>
            </w:tcMar>
            <w:vAlign w:val="bottom"/>
          </w:tcPr>
          <w:p w14:paraId="437F196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18 (20.5)</w:t>
            </w:r>
          </w:p>
        </w:tc>
        <w:tc>
          <w:tcPr>
            <w:tcW w:w="1784" w:type="dxa"/>
            <w:tcBorders>
              <w:left w:val="nil"/>
              <w:bottom w:val="nil"/>
              <w:right w:val="nil"/>
            </w:tcBorders>
            <w:shd w:val="clear" w:color="auto" w:fill="auto"/>
            <w:tcMar>
              <w:top w:w="15" w:type="dxa"/>
              <w:left w:w="15" w:type="dxa"/>
              <w:bottom w:w="0" w:type="dxa"/>
              <w:right w:w="15" w:type="dxa"/>
            </w:tcMar>
            <w:vAlign w:val="bottom"/>
          </w:tcPr>
          <w:p w14:paraId="7DFDB7E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22 (27.8)</w:t>
            </w:r>
          </w:p>
        </w:tc>
        <w:tc>
          <w:tcPr>
            <w:tcW w:w="1780" w:type="dxa"/>
            <w:tcBorders>
              <w:left w:val="nil"/>
              <w:bottom w:val="nil"/>
              <w:right w:val="nil"/>
            </w:tcBorders>
            <w:shd w:val="clear" w:color="auto" w:fill="auto"/>
            <w:tcMar>
              <w:top w:w="15" w:type="dxa"/>
              <w:left w:w="15" w:type="dxa"/>
              <w:bottom w:w="0" w:type="dxa"/>
              <w:right w:w="15" w:type="dxa"/>
            </w:tcMar>
            <w:vAlign w:val="bottom"/>
          </w:tcPr>
          <w:p w14:paraId="09857AC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31 (20.3)</w:t>
            </w:r>
          </w:p>
        </w:tc>
        <w:tc>
          <w:tcPr>
            <w:tcW w:w="1458" w:type="dxa"/>
            <w:tcBorders>
              <w:left w:val="nil"/>
              <w:bottom w:val="nil"/>
              <w:right w:val="nil"/>
            </w:tcBorders>
            <w:shd w:val="clear" w:color="auto" w:fill="auto"/>
            <w:tcMar>
              <w:top w:w="15" w:type="dxa"/>
              <w:left w:w="15" w:type="dxa"/>
              <w:bottom w:w="0" w:type="dxa"/>
              <w:right w:w="15" w:type="dxa"/>
            </w:tcMar>
            <w:vAlign w:val="bottom"/>
          </w:tcPr>
          <w:p w14:paraId="60C3039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43 (25.6)</w:t>
            </w:r>
          </w:p>
        </w:tc>
        <w:tc>
          <w:tcPr>
            <w:tcW w:w="769" w:type="dxa"/>
            <w:tcBorders>
              <w:left w:val="nil"/>
              <w:bottom w:val="nil"/>
              <w:right w:val="nil"/>
            </w:tcBorders>
            <w:shd w:val="clear" w:color="auto" w:fill="auto"/>
            <w:tcMar>
              <w:top w:w="15" w:type="dxa"/>
              <w:left w:w="15" w:type="dxa"/>
              <w:bottom w:w="0" w:type="dxa"/>
              <w:right w:w="15" w:type="dxa"/>
            </w:tcMar>
            <w:vAlign w:val="bottom"/>
          </w:tcPr>
          <w:p w14:paraId="346CE07D"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0.459</w:t>
            </w:r>
          </w:p>
        </w:tc>
      </w:tr>
      <w:tr w:rsidR="00EA1B48" w14:paraId="032545EA" w14:textId="77777777" w:rsidTr="00EA1B48">
        <w:trPr>
          <w:trHeight w:val="20"/>
        </w:trPr>
        <w:tc>
          <w:tcPr>
            <w:tcW w:w="2312" w:type="dxa"/>
            <w:tcBorders>
              <w:left w:val="nil"/>
              <w:bottom w:val="nil"/>
              <w:right w:val="nil"/>
            </w:tcBorders>
            <w:shd w:val="clear" w:color="auto" w:fill="auto"/>
            <w:tcMar>
              <w:top w:w="15" w:type="dxa"/>
              <w:left w:w="108" w:type="dxa"/>
              <w:bottom w:w="0" w:type="dxa"/>
              <w:right w:w="108" w:type="dxa"/>
            </w:tcMar>
            <w:vAlign w:val="bottom"/>
          </w:tcPr>
          <w:p w14:paraId="51BA1C36" w14:textId="783FB03C" w:rsidR="00EA1B48" w:rsidRPr="00217043" w:rsidRDefault="00EA1B48" w:rsidP="00EA1B48">
            <w:pPr>
              <w:pStyle w:val="NoSpacing"/>
              <w:spacing w:line="276" w:lineRule="auto"/>
              <w:ind w:right="-1"/>
              <w:rPr>
                <w:rFonts w:eastAsiaTheme="minorEastAsia" w:cstheme="minorHAnsi"/>
                <w:b/>
                <w:color w:val="000000" w:themeColor="text1"/>
                <w:kern w:val="24"/>
                <w:sz w:val="16"/>
                <w:szCs w:val="16"/>
              </w:rPr>
            </w:pPr>
            <w:r w:rsidRPr="00217043">
              <w:rPr>
                <w:rFonts w:eastAsiaTheme="minorEastAsia" w:cstheme="minorHAnsi"/>
                <w:b/>
                <w:color w:val="000000" w:themeColor="text1"/>
                <w:kern w:val="24"/>
                <w:sz w:val="16"/>
                <w:szCs w:val="16"/>
              </w:rPr>
              <w:t xml:space="preserve">Unknown site </w:t>
            </w:r>
            <w:r w:rsidRPr="00525A9B">
              <w:rPr>
                <w:rFonts w:ascii="Open Sans" w:hAnsi="Open Sans" w:cs="Open Sans"/>
                <w:color w:val="666666"/>
                <w:sz w:val="16"/>
                <w:szCs w:val="16"/>
                <w:lang w:val="en-GB"/>
              </w:rPr>
              <w:t>‡</w:t>
            </w:r>
            <w:r w:rsidRPr="00525A9B">
              <w:rPr>
                <w:rFonts w:cstheme="minorHAnsi"/>
                <w:sz w:val="16"/>
                <w:szCs w:val="16"/>
                <w:lang w:val="en-GB"/>
              </w:rPr>
              <w:t xml:space="preserve"> </w:t>
            </w:r>
          </w:p>
        </w:tc>
        <w:tc>
          <w:tcPr>
            <w:tcW w:w="2164" w:type="dxa"/>
            <w:gridSpan w:val="2"/>
            <w:tcBorders>
              <w:left w:val="nil"/>
              <w:bottom w:val="nil"/>
              <w:right w:val="nil"/>
            </w:tcBorders>
            <w:shd w:val="clear" w:color="auto" w:fill="auto"/>
            <w:tcMar>
              <w:top w:w="15" w:type="dxa"/>
              <w:left w:w="15" w:type="dxa"/>
              <w:bottom w:w="0" w:type="dxa"/>
              <w:right w:w="15" w:type="dxa"/>
            </w:tcMar>
            <w:vAlign w:val="bottom"/>
          </w:tcPr>
          <w:p w14:paraId="6BD9348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 (3.4)</w:t>
            </w:r>
          </w:p>
        </w:tc>
        <w:tc>
          <w:tcPr>
            <w:tcW w:w="1784" w:type="dxa"/>
            <w:tcBorders>
              <w:left w:val="nil"/>
              <w:bottom w:val="nil"/>
              <w:right w:val="nil"/>
            </w:tcBorders>
            <w:shd w:val="clear" w:color="auto" w:fill="auto"/>
            <w:tcMar>
              <w:top w:w="15" w:type="dxa"/>
              <w:left w:w="15" w:type="dxa"/>
              <w:bottom w:w="0" w:type="dxa"/>
              <w:right w:w="15" w:type="dxa"/>
            </w:tcMar>
            <w:vAlign w:val="bottom"/>
          </w:tcPr>
          <w:p w14:paraId="06C13B5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 (1.3)</w:t>
            </w:r>
          </w:p>
        </w:tc>
        <w:tc>
          <w:tcPr>
            <w:tcW w:w="1780" w:type="dxa"/>
            <w:tcBorders>
              <w:left w:val="nil"/>
              <w:bottom w:val="nil"/>
              <w:right w:val="nil"/>
            </w:tcBorders>
            <w:shd w:val="clear" w:color="auto" w:fill="auto"/>
            <w:tcMar>
              <w:top w:w="15" w:type="dxa"/>
              <w:left w:w="15" w:type="dxa"/>
              <w:bottom w:w="0" w:type="dxa"/>
              <w:right w:w="15" w:type="dxa"/>
            </w:tcMar>
            <w:vAlign w:val="bottom"/>
          </w:tcPr>
          <w:p w14:paraId="3E0E753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 (0.7)</w:t>
            </w:r>
          </w:p>
        </w:tc>
        <w:tc>
          <w:tcPr>
            <w:tcW w:w="1458" w:type="dxa"/>
            <w:tcBorders>
              <w:left w:val="nil"/>
              <w:bottom w:val="nil"/>
              <w:right w:val="nil"/>
            </w:tcBorders>
            <w:shd w:val="clear" w:color="auto" w:fill="auto"/>
            <w:tcMar>
              <w:top w:w="15" w:type="dxa"/>
              <w:left w:w="15" w:type="dxa"/>
              <w:bottom w:w="0" w:type="dxa"/>
              <w:right w:w="15" w:type="dxa"/>
            </w:tcMar>
            <w:vAlign w:val="bottom"/>
          </w:tcPr>
          <w:p w14:paraId="4BB3751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(2.4)</w:t>
            </w:r>
          </w:p>
        </w:tc>
        <w:tc>
          <w:tcPr>
            <w:tcW w:w="769" w:type="dxa"/>
            <w:tcBorders>
              <w:left w:val="nil"/>
              <w:bottom w:val="nil"/>
              <w:right w:val="nil"/>
            </w:tcBorders>
            <w:shd w:val="clear" w:color="auto" w:fill="auto"/>
            <w:tcMar>
              <w:top w:w="15" w:type="dxa"/>
              <w:left w:w="15" w:type="dxa"/>
              <w:bottom w:w="0" w:type="dxa"/>
              <w:right w:w="15" w:type="dxa"/>
            </w:tcMar>
            <w:vAlign w:val="bottom"/>
          </w:tcPr>
          <w:p w14:paraId="3E9F5FA6"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0.423</w:t>
            </w:r>
          </w:p>
        </w:tc>
      </w:tr>
      <w:tr w:rsidR="00EA1B48" w:rsidRPr="00D067B4" w14:paraId="5A68EAB9" w14:textId="77777777" w:rsidTr="00EA1B48">
        <w:trPr>
          <w:trHeight w:val="20"/>
        </w:trPr>
        <w:tc>
          <w:tcPr>
            <w:tcW w:w="4163" w:type="dxa"/>
            <w:gridSpan w:val="2"/>
            <w:tcBorders>
              <w:top w:val="single" w:sz="8" w:space="0" w:color="000000"/>
              <w:left w:val="nil"/>
              <w:bottom w:val="nil"/>
              <w:right w:val="nil"/>
            </w:tcBorders>
            <w:shd w:val="clear" w:color="auto" w:fill="auto"/>
            <w:tcMar>
              <w:top w:w="15" w:type="dxa"/>
              <w:left w:w="108" w:type="dxa"/>
              <w:bottom w:w="0" w:type="dxa"/>
              <w:right w:w="108" w:type="dxa"/>
            </w:tcMar>
            <w:vAlign w:val="bottom"/>
          </w:tcPr>
          <w:p w14:paraId="47F7D6FB" w14:textId="7319FA0E" w:rsidR="00EA1B48" w:rsidRPr="00217043" w:rsidRDefault="00EA1B48" w:rsidP="00EA1B48">
            <w:pPr>
              <w:pStyle w:val="NoSpacing"/>
              <w:spacing w:line="276" w:lineRule="auto"/>
              <w:ind w:right="-1"/>
              <w:rPr>
                <w:rFonts w:eastAsiaTheme="minorEastAsia" w:hAnsi="Calibri"/>
                <w:b/>
                <w:color w:val="000000" w:themeColor="text1"/>
                <w:kern w:val="24"/>
                <w:sz w:val="16"/>
                <w:szCs w:val="16"/>
                <w:lang w:eastAsia="en-GB"/>
              </w:rPr>
            </w:pPr>
            <w:r w:rsidRPr="00217043">
              <w:rPr>
                <w:rFonts w:eastAsiaTheme="minorEastAsia" w:cstheme="minorHAnsi"/>
                <w:b/>
                <w:color w:val="000000" w:themeColor="text1"/>
                <w:kern w:val="24"/>
                <w:sz w:val="16"/>
                <w:szCs w:val="16"/>
                <w:lang w:eastAsia="en-GB"/>
              </w:rPr>
              <w:t xml:space="preserve">Causative pathogen primary site of infection </w:t>
            </w:r>
            <w:r w:rsidRPr="00525A9B">
              <w:rPr>
                <w:rFonts w:ascii="Open Sans" w:hAnsi="Open Sans" w:cs="Open Sans"/>
                <w:color w:val="666666"/>
                <w:sz w:val="16"/>
                <w:szCs w:val="16"/>
                <w:lang w:val="en-GB"/>
              </w:rPr>
              <w:t>§</w:t>
            </w:r>
            <w:r w:rsidRPr="00217043">
              <w:rPr>
                <w:rFonts w:eastAsiaTheme="minorEastAsia" w:cstheme="minorHAnsi"/>
                <w:b/>
                <w:color w:val="000000" w:themeColor="text1"/>
                <w:kern w:val="24"/>
                <w:sz w:val="16"/>
                <w:szCs w:val="16"/>
                <w:lang w:eastAsia="en-GB"/>
              </w:rPr>
              <w:t>, n (%)</w:t>
            </w:r>
          </w:p>
        </w:tc>
        <w:tc>
          <w:tcPr>
            <w:tcW w:w="313"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09FF4523"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84"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210C140D"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780"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676A035F"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1458"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69104CBE" w14:textId="77777777" w:rsidR="00EA1B48" w:rsidRPr="004C2310" w:rsidRDefault="00EA1B48" w:rsidP="00EA1B48">
            <w:pPr>
              <w:pStyle w:val="NoSpacing"/>
              <w:spacing w:line="276" w:lineRule="auto"/>
              <w:ind w:right="-1"/>
              <w:jc w:val="center"/>
              <w:rPr>
                <w:rFonts w:ascii="Calibri" w:eastAsia="Times New Roman" w:hAnsi="Calibri" w:cs="Calibri"/>
                <w:color w:val="000000"/>
                <w:kern w:val="24"/>
                <w:sz w:val="16"/>
                <w:szCs w:val="16"/>
                <w:lang w:eastAsia="en-GB"/>
              </w:rPr>
            </w:pPr>
          </w:p>
        </w:tc>
        <w:tc>
          <w:tcPr>
            <w:tcW w:w="769" w:type="dxa"/>
            <w:tcBorders>
              <w:top w:val="single" w:sz="8" w:space="0" w:color="000000"/>
              <w:left w:val="nil"/>
              <w:bottom w:val="nil"/>
              <w:right w:val="nil"/>
            </w:tcBorders>
            <w:shd w:val="clear" w:color="auto" w:fill="auto"/>
            <w:tcMar>
              <w:top w:w="15" w:type="dxa"/>
              <w:left w:w="15" w:type="dxa"/>
              <w:bottom w:w="0" w:type="dxa"/>
              <w:right w:w="15" w:type="dxa"/>
            </w:tcMar>
            <w:vAlign w:val="bottom"/>
          </w:tcPr>
          <w:p w14:paraId="315D112E" w14:textId="77777777" w:rsidR="00EA1B48" w:rsidRPr="004C2310" w:rsidRDefault="00EA1B48" w:rsidP="00EA1B48">
            <w:pPr>
              <w:pStyle w:val="NoSpacing"/>
              <w:spacing w:line="276" w:lineRule="auto"/>
              <w:ind w:right="-1"/>
              <w:jc w:val="right"/>
              <w:rPr>
                <w:rFonts w:ascii="Calibri" w:eastAsia="Times New Roman" w:hAnsi="Calibri" w:cs="Calibri"/>
                <w:color w:val="000000"/>
                <w:kern w:val="24"/>
                <w:sz w:val="16"/>
                <w:szCs w:val="16"/>
                <w:lang w:eastAsia="en-GB"/>
              </w:rPr>
            </w:pPr>
          </w:p>
        </w:tc>
      </w:tr>
      <w:tr w:rsidR="00EA1B48" w14:paraId="470F94D1" w14:textId="77777777" w:rsidTr="00EA1B48">
        <w:trPr>
          <w:trHeight w:val="20"/>
        </w:trPr>
        <w:tc>
          <w:tcPr>
            <w:tcW w:w="2312" w:type="dxa"/>
            <w:tcBorders>
              <w:top w:val="single" w:sz="8" w:space="0" w:color="000000"/>
              <w:left w:val="nil"/>
              <w:bottom w:val="nil"/>
              <w:right w:val="nil"/>
            </w:tcBorders>
            <w:shd w:val="clear" w:color="auto" w:fill="auto"/>
            <w:tcMar>
              <w:top w:w="15" w:type="dxa"/>
              <w:left w:w="108" w:type="dxa"/>
              <w:bottom w:w="0" w:type="dxa"/>
              <w:right w:w="108" w:type="dxa"/>
            </w:tcMar>
            <w:vAlign w:val="bottom"/>
            <w:hideMark/>
          </w:tcPr>
          <w:p w14:paraId="0601B352" w14:textId="3D5E88F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Gram-positive bacteria</w:t>
            </w:r>
          </w:p>
        </w:tc>
        <w:tc>
          <w:tcPr>
            <w:tcW w:w="2164"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A490AC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38 (43.2)</w:t>
            </w:r>
          </w:p>
        </w:tc>
        <w:tc>
          <w:tcPr>
            <w:tcW w:w="178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2F2F8B2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34 (43.0)</w:t>
            </w:r>
          </w:p>
        </w:tc>
        <w:tc>
          <w:tcPr>
            <w:tcW w:w="178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DF916C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64 (41.8)</w:t>
            </w:r>
          </w:p>
        </w:tc>
        <w:tc>
          <w:tcPr>
            <w:tcW w:w="14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7EAB29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69 (41.1)</w:t>
            </w:r>
          </w:p>
        </w:tc>
        <w:tc>
          <w:tcPr>
            <w:tcW w:w="76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1D15751"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0.986</w:t>
            </w:r>
          </w:p>
        </w:tc>
      </w:tr>
      <w:tr w:rsidR="00EA1B48" w14:paraId="091B60BD" w14:textId="77777777" w:rsidTr="00EA1B48">
        <w:trPr>
          <w:trHeight w:val="20"/>
        </w:trPr>
        <w:tc>
          <w:tcPr>
            <w:tcW w:w="2312" w:type="dxa"/>
            <w:tcBorders>
              <w:top w:val="nil"/>
              <w:left w:val="nil"/>
              <w:bottom w:val="nil"/>
              <w:right w:val="nil"/>
            </w:tcBorders>
            <w:shd w:val="clear" w:color="auto" w:fill="auto"/>
            <w:tcMar>
              <w:top w:w="15" w:type="dxa"/>
              <w:left w:w="108" w:type="dxa"/>
              <w:bottom w:w="0" w:type="dxa"/>
              <w:right w:w="108" w:type="dxa"/>
            </w:tcMar>
            <w:vAlign w:val="bottom"/>
            <w:hideMark/>
          </w:tcPr>
          <w:p w14:paraId="3BCD0053" w14:textId="31F3F3B8"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Gram-negative bacteria</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4292474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34 (38.6)</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00C5EB9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41 (51.9)</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43EC473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71 (46.4)</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5A75D64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80 (47.6)</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75A9AB3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0.363</w:t>
            </w:r>
          </w:p>
        </w:tc>
      </w:tr>
      <w:tr w:rsidR="00EA1B48" w14:paraId="0ECD9FC9" w14:textId="77777777" w:rsidTr="00EA1B48">
        <w:trPr>
          <w:trHeight w:val="20"/>
        </w:trPr>
        <w:tc>
          <w:tcPr>
            <w:tcW w:w="2312" w:type="dxa"/>
            <w:tcBorders>
              <w:top w:val="nil"/>
              <w:left w:val="nil"/>
              <w:bottom w:val="nil"/>
              <w:right w:val="nil"/>
            </w:tcBorders>
            <w:shd w:val="clear" w:color="auto" w:fill="auto"/>
            <w:tcMar>
              <w:top w:w="15" w:type="dxa"/>
              <w:left w:w="108" w:type="dxa"/>
              <w:bottom w:w="0" w:type="dxa"/>
              <w:right w:w="108" w:type="dxa"/>
            </w:tcMar>
            <w:vAlign w:val="bottom"/>
            <w:hideMark/>
          </w:tcPr>
          <w:p w14:paraId="7A5AE5D5" w14:textId="1479842B"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Fungi</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0C301EE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15 (17.0)</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2D1E6DF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(12.7)</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036C913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25 (16.3)</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770BBC9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15 (8.9)</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184E4C31"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0.164</w:t>
            </w:r>
          </w:p>
        </w:tc>
      </w:tr>
      <w:tr w:rsidR="00EA1B48" w14:paraId="306A31F2" w14:textId="77777777" w:rsidTr="00EA1B48">
        <w:trPr>
          <w:trHeight w:val="20"/>
        </w:trPr>
        <w:tc>
          <w:tcPr>
            <w:tcW w:w="2312" w:type="dxa"/>
            <w:tcBorders>
              <w:top w:val="nil"/>
              <w:left w:val="nil"/>
              <w:bottom w:val="nil"/>
              <w:right w:val="nil"/>
            </w:tcBorders>
            <w:shd w:val="clear" w:color="auto" w:fill="auto"/>
            <w:tcMar>
              <w:top w:w="15" w:type="dxa"/>
              <w:left w:w="108" w:type="dxa"/>
              <w:bottom w:w="0" w:type="dxa"/>
              <w:right w:w="108" w:type="dxa"/>
            </w:tcMar>
            <w:vAlign w:val="bottom"/>
            <w:hideMark/>
          </w:tcPr>
          <w:p w14:paraId="0177AD67" w14:textId="10FA87C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Virus</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6743F18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 (5.7)</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3496A3B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(5.1)</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12135B3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 (3.9)</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0B9F9F4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(2.4)</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05AF4802"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0.558</w:t>
            </w:r>
          </w:p>
        </w:tc>
      </w:tr>
      <w:tr w:rsidR="00EA1B48" w14:paraId="043100D4" w14:textId="77777777" w:rsidTr="00EA1B48">
        <w:trPr>
          <w:trHeight w:val="20"/>
        </w:trPr>
        <w:tc>
          <w:tcPr>
            <w:tcW w:w="2312" w:type="dxa"/>
            <w:tcBorders>
              <w:top w:val="nil"/>
              <w:left w:val="nil"/>
              <w:bottom w:val="nil"/>
              <w:right w:val="nil"/>
            </w:tcBorders>
            <w:shd w:val="clear" w:color="auto" w:fill="auto"/>
            <w:tcMar>
              <w:top w:w="15" w:type="dxa"/>
              <w:left w:w="108" w:type="dxa"/>
              <w:bottom w:w="0" w:type="dxa"/>
              <w:right w:w="108" w:type="dxa"/>
            </w:tcMar>
            <w:vAlign w:val="bottom"/>
            <w:hideMark/>
          </w:tcPr>
          <w:p w14:paraId="750AD3BF" w14:textId="2A9CF022"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Other</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3B6A477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(10.2)</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77455F0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 (3.8)</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3B5C4AF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 (3.9)</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5EB5C10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 (3.0)</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7DBAD958"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0.059</w:t>
            </w:r>
          </w:p>
        </w:tc>
      </w:tr>
      <w:tr w:rsidR="00EA1B48" w14:paraId="6E15C0A1" w14:textId="77777777" w:rsidTr="00EA1B48">
        <w:trPr>
          <w:trHeight w:val="20"/>
        </w:trPr>
        <w:tc>
          <w:tcPr>
            <w:tcW w:w="2312"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66F9823B" w14:textId="791C2F7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Unknown</w:t>
            </w:r>
          </w:p>
        </w:tc>
        <w:tc>
          <w:tcPr>
            <w:tcW w:w="2164" w:type="dxa"/>
            <w:gridSpan w:val="2"/>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D05FAA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14 (15.9)</w:t>
            </w:r>
          </w:p>
        </w:tc>
        <w:tc>
          <w:tcPr>
            <w:tcW w:w="178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396CF39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9 (11.4)</w:t>
            </w:r>
          </w:p>
        </w:tc>
        <w:tc>
          <w:tcPr>
            <w:tcW w:w="1780"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3C9C06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26 (17.0)</w:t>
            </w:r>
          </w:p>
        </w:tc>
        <w:tc>
          <w:tcPr>
            <w:tcW w:w="1458"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DE7BD8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33 (19.6)</w:t>
            </w:r>
          </w:p>
        </w:tc>
        <w:tc>
          <w:tcPr>
            <w:tcW w:w="769"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E5F037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0.444</w:t>
            </w:r>
          </w:p>
        </w:tc>
      </w:tr>
      <w:tr w:rsidR="00EA1B48" w:rsidRPr="00EA1B48" w14:paraId="33948D89" w14:textId="77777777" w:rsidTr="00EA1B48">
        <w:trPr>
          <w:trHeight w:val="20"/>
        </w:trPr>
        <w:tc>
          <w:tcPr>
            <w:tcW w:w="10267" w:type="dxa"/>
            <w:gridSpan w:val="7"/>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538BC1BF" w14:textId="5A75A9B1" w:rsidR="00EA1B48" w:rsidRPr="00217043" w:rsidRDefault="00EA1B48" w:rsidP="00EA1B48">
            <w:pPr>
              <w:pStyle w:val="NoSpacing"/>
              <w:spacing w:line="276" w:lineRule="auto"/>
              <w:ind w:right="-1"/>
              <w:rPr>
                <w:rFonts w:ascii="Arial" w:eastAsia="Times New Roman" w:hAnsi="Arial" w:cs="Arial"/>
                <w:b/>
                <w:sz w:val="16"/>
                <w:szCs w:val="16"/>
                <w:lang w:eastAsia="en-GB"/>
              </w:rPr>
            </w:pPr>
            <w:r>
              <w:rPr>
                <w:rFonts w:eastAsiaTheme="minorEastAsia" w:cstheme="minorHAnsi"/>
                <w:b/>
                <w:color w:val="000000" w:themeColor="text1"/>
                <w:kern w:val="24"/>
                <w:sz w:val="16"/>
                <w:szCs w:val="16"/>
                <w:lang w:eastAsia="en-GB"/>
              </w:rPr>
              <w:t>Disease severity on admission</w:t>
            </w:r>
          </w:p>
        </w:tc>
      </w:tr>
      <w:tr w:rsidR="00EA1B48" w14:paraId="41A874F9" w14:textId="77777777" w:rsidTr="00EA1B48">
        <w:trPr>
          <w:trHeight w:val="20"/>
        </w:trPr>
        <w:tc>
          <w:tcPr>
            <w:tcW w:w="2312" w:type="dxa"/>
            <w:tcBorders>
              <w:top w:val="single" w:sz="8" w:space="0" w:color="000000"/>
              <w:left w:val="nil"/>
              <w:bottom w:val="nil"/>
              <w:right w:val="nil"/>
            </w:tcBorders>
            <w:shd w:val="clear" w:color="auto" w:fill="auto"/>
            <w:tcMar>
              <w:top w:w="15" w:type="dxa"/>
              <w:left w:w="108" w:type="dxa"/>
              <w:bottom w:w="0" w:type="dxa"/>
              <w:right w:w="108" w:type="dxa"/>
            </w:tcMar>
            <w:vAlign w:val="bottom"/>
            <w:hideMark/>
          </w:tcPr>
          <w:p w14:paraId="65068FBE" w14:textId="4BEC261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APACHE IV APS, median [IQR]</w:t>
            </w:r>
          </w:p>
        </w:tc>
        <w:tc>
          <w:tcPr>
            <w:tcW w:w="2164" w:type="dxa"/>
            <w:gridSpan w:val="2"/>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7C5571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69.00 [50.00, 92.25]</w:t>
            </w:r>
          </w:p>
        </w:tc>
        <w:tc>
          <w:tcPr>
            <w:tcW w:w="178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8AB233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70.00 [54.50, 90.50]</w:t>
            </w:r>
          </w:p>
        </w:tc>
        <w:tc>
          <w:tcPr>
            <w:tcW w:w="1780"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872B33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67.00 [51.00, 86.00]</w:t>
            </w:r>
          </w:p>
        </w:tc>
        <w:tc>
          <w:tcPr>
            <w:tcW w:w="1458"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3534FA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69.00 [54.75, 85.00]</w:t>
            </w:r>
          </w:p>
        </w:tc>
        <w:tc>
          <w:tcPr>
            <w:tcW w:w="769"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E22A1DC"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0.688</w:t>
            </w:r>
          </w:p>
        </w:tc>
      </w:tr>
      <w:tr w:rsidR="00EA1B48" w14:paraId="4DDC0F57" w14:textId="77777777" w:rsidTr="00EA1B48">
        <w:trPr>
          <w:trHeight w:val="20"/>
        </w:trPr>
        <w:tc>
          <w:tcPr>
            <w:tcW w:w="2312" w:type="dxa"/>
            <w:tcBorders>
              <w:top w:val="nil"/>
              <w:left w:val="nil"/>
              <w:bottom w:val="nil"/>
              <w:right w:val="nil"/>
            </w:tcBorders>
            <w:shd w:val="clear" w:color="auto" w:fill="auto"/>
            <w:tcMar>
              <w:top w:w="15" w:type="dxa"/>
              <w:left w:w="108" w:type="dxa"/>
              <w:bottom w:w="0" w:type="dxa"/>
              <w:right w:w="108" w:type="dxa"/>
            </w:tcMar>
            <w:vAlign w:val="bottom"/>
            <w:hideMark/>
          </w:tcPr>
          <w:p w14:paraId="769C5EA1" w14:textId="0AAB27D0"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 xml:space="preserve">SOFA score </w:t>
            </w:r>
            <w:proofErr w:type="spellStart"/>
            <w:r w:rsidRPr="00525A9B">
              <w:rPr>
                <w:rFonts w:ascii="Open Sans" w:hAnsi="Open Sans" w:cs="Open Sans"/>
                <w:color w:val="666666"/>
                <w:sz w:val="16"/>
                <w:szCs w:val="16"/>
                <w:lang w:val="en-GB"/>
              </w:rPr>
              <w:t>ll</w:t>
            </w:r>
            <w:proofErr w:type="spellEnd"/>
            <w:r w:rsidRPr="00217043">
              <w:rPr>
                <w:rFonts w:eastAsiaTheme="minorEastAsia" w:cstheme="minorHAnsi"/>
                <w:b/>
                <w:color w:val="000000" w:themeColor="text1"/>
                <w:kern w:val="24"/>
                <w:sz w:val="16"/>
                <w:szCs w:val="16"/>
                <w:lang w:eastAsia="en-GB"/>
              </w:rPr>
              <w:t>, median [IQR]</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67E72F1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7.00 [4.00, 9.25]</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2B064EB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8.00 [6.00, 10.00]</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2C066F4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7.00 [4.00, 9.00]</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0DE8353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7.00 [5.00, 9.25]</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204D3AF8"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0.376</w:t>
            </w:r>
          </w:p>
        </w:tc>
      </w:tr>
      <w:tr w:rsidR="00EA1B48" w14:paraId="0725B3AC" w14:textId="77777777" w:rsidTr="00EA1B48">
        <w:trPr>
          <w:trHeight w:val="20"/>
        </w:trPr>
        <w:tc>
          <w:tcPr>
            <w:tcW w:w="2312" w:type="dxa"/>
            <w:tcBorders>
              <w:top w:val="nil"/>
              <w:left w:val="nil"/>
              <w:right w:val="nil"/>
            </w:tcBorders>
            <w:shd w:val="clear" w:color="auto" w:fill="auto"/>
            <w:tcMar>
              <w:top w:w="15" w:type="dxa"/>
              <w:left w:w="108" w:type="dxa"/>
              <w:bottom w:w="0" w:type="dxa"/>
              <w:right w:w="108" w:type="dxa"/>
            </w:tcMar>
            <w:vAlign w:val="bottom"/>
            <w:hideMark/>
          </w:tcPr>
          <w:p w14:paraId="0E454EE1" w14:textId="542D9D5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Shock, n (%)</w:t>
            </w:r>
          </w:p>
        </w:tc>
        <w:tc>
          <w:tcPr>
            <w:tcW w:w="2164" w:type="dxa"/>
            <w:gridSpan w:val="2"/>
            <w:tcBorders>
              <w:top w:val="nil"/>
              <w:left w:val="nil"/>
              <w:right w:val="nil"/>
            </w:tcBorders>
            <w:shd w:val="clear" w:color="auto" w:fill="auto"/>
            <w:tcMar>
              <w:top w:w="15" w:type="dxa"/>
              <w:left w:w="15" w:type="dxa"/>
              <w:bottom w:w="0" w:type="dxa"/>
              <w:right w:w="15" w:type="dxa"/>
            </w:tcMar>
            <w:vAlign w:val="bottom"/>
            <w:hideMark/>
          </w:tcPr>
          <w:p w14:paraId="13EFD227"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22 (25.0)</w:t>
            </w:r>
          </w:p>
        </w:tc>
        <w:tc>
          <w:tcPr>
            <w:tcW w:w="1784" w:type="dxa"/>
            <w:tcBorders>
              <w:top w:val="nil"/>
              <w:left w:val="nil"/>
              <w:right w:val="nil"/>
            </w:tcBorders>
            <w:shd w:val="clear" w:color="auto" w:fill="auto"/>
            <w:tcMar>
              <w:top w:w="15" w:type="dxa"/>
              <w:left w:w="15" w:type="dxa"/>
              <w:bottom w:w="0" w:type="dxa"/>
              <w:right w:w="15" w:type="dxa"/>
            </w:tcMar>
            <w:vAlign w:val="bottom"/>
            <w:hideMark/>
          </w:tcPr>
          <w:p w14:paraId="725DCF6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31 (39.2)</w:t>
            </w:r>
          </w:p>
        </w:tc>
        <w:tc>
          <w:tcPr>
            <w:tcW w:w="1780" w:type="dxa"/>
            <w:tcBorders>
              <w:top w:val="nil"/>
              <w:left w:val="nil"/>
              <w:right w:val="nil"/>
            </w:tcBorders>
            <w:shd w:val="clear" w:color="auto" w:fill="auto"/>
            <w:tcMar>
              <w:top w:w="15" w:type="dxa"/>
              <w:left w:w="15" w:type="dxa"/>
              <w:bottom w:w="0" w:type="dxa"/>
              <w:right w:w="15" w:type="dxa"/>
            </w:tcMar>
            <w:vAlign w:val="bottom"/>
            <w:hideMark/>
          </w:tcPr>
          <w:p w14:paraId="13EB575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36 (23.5)</w:t>
            </w:r>
          </w:p>
        </w:tc>
        <w:tc>
          <w:tcPr>
            <w:tcW w:w="1458" w:type="dxa"/>
            <w:tcBorders>
              <w:top w:val="nil"/>
              <w:left w:val="nil"/>
              <w:right w:val="nil"/>
            </w:tcBorders>
            <w:shd w:val="clear" w:color="auto" w:fill="auto"/>
            <w:tcMar>
              <w:top w:w="15" w:type="dxa"/>
              <w:left w:w="15" w:type="dxa"/>
              <w:bottom w:w="0" w:type="dxa"/>
              <w:right w:w="15" w:type="dxa"/>
            </w:tcMar>
            <w:vAlign w:val="bottom"/>
            <w:hideMark/>
          </w:tcPr>
          <w:p w14:paraId="4682C79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53 (31.5)</w:t>
            </w:r>
          </w:p>
        </w:tc>
        <w:tc>
          <w:tcPr>
            <w:tcW w:w="769" w:type="dxa"/>
            <w:tcBorders>
              <w:top w:val="nil"/>
              <w:left w:val="nil"/>
              <w:right w:val="nil"/>
            </w:tcBorders>
            <w:shd w:val="clear" w:color="auto" w:fill="auto"/>
            <w:tcMar>
              <w:top w:w="15" w:type="dxa"/>
              <w:left w:w="15" w:type="dxa"/>
              <w:bottom w:w="0" w:type="dxa"/>
              <w:right w:w="15" w:type="dxa"/>
            </w:tcMar>
            <w:vAlign w:val="bottom"/>
            <w:hideMark/>
          </w:tcPr>
          <w:p w14:paraId="222F2ED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0.059</w:t>
            </w:r>
          </w:p>
        </w:tc>
      </w:tr>
      <w:tr w:rsidR="00EA1B48" w14:paraId="734B5256" w14:textId="77777777" w:rsidTr="00EA1B48">
        <w:trPr>
          <w:trHeight w:val="20"/>
        </w:trPr>
        <w:tc>
          <w:tcPr>
            <w:tcW w:w="2312" w:type="dxa"/>
            <w:tcBorders>
              <w:top w:val="nil"/>
              <w:left w:val="nil"/>
              <w:bottom w:val="nil"/>
              <w:right w:val="nil"/>
            </w:tcBorders>
            <w:shd w:val="clear" w:color="auto" w:fill="auto"/>
            <w:tcMar>
              <w:top w:w="15" w:type="dxa"/>
              <w:left w:w="108" w:type="dxa"/>
              <w:bottom w:w="0" w:type="dxa"/>
              <w:right w:w="108" w:type="dxa"/>
            </w:tcMar>
            <w:vAlign w:val="bottom"/>
            <w:hideMark/>
          </w:tcPr>
          <w:p w14:paraId="4C6A89BA" w14:textId="149F8045"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ARDS, n (%)</w:t>
            </w:r>
          </w:p>
        </w:tc>
        <w:tc>
          <w:tcPr>
            <w:tcW w:w="2164" w:type="dxa"/>
            <w:gridSpan w:val="2"/>
            <w:tcBorders>
              <w:top w:val="nil"/>
              <w:left w:val="nil"/>
              <w:bottom w:val="nil"/>
              <w:right w:val="nil"/>
            </w:tcBorders>
            <w:shd w:val="clear" w:color="auto" w:fill="auto"/>
            <w:tcMar>
              <w:top w:w="15" w:type="dxa"/>
              <w:left w:w="15" w:type="dxa"/>
              <w:bottom w:w="0" w:type="dxa"/>
              <w:right w:w="15" w:type="dxa"/>
            </w:tcMar>
            <w:vAlign w:val="bottom"/>
            <w:hideMark/>
          </w:tcPr>
          <w:p w14:paraId="2E327FE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32 (36.4)</w:t>
            </w:r>
          </w:p>
        </w:tc>
        <w:tc>
          <w:tcPr>
            <w:tcW w:w="1784" w:type="dxa"/>
            <w:tcBorders>
              <w:top w:val="nil"/>
              <w:left w:val="nil"/>
              <w:bottom w:val="nil"/>
              <w:right w:val="nil"/>
            </w:tcBorders>
            <w:shd w:val="clear" w:color="auto" w:fill="auto"/>
            <w:tcMar>
              <w:top w:w="15" w:type="dxa"/>
              <w:left w:w="15" w:type="dxa"/>
              <w:bottom w:w="0" w:type="dxa"/>
              <w:right w:w="15" w:type="dxa"/>
            </w:tcMar>
            <w:vAlign w:val="bottom"/>
            <w:hideMark/>
          </w:tcPr>
          <w:p w14:paraId="6261D13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27 (34.2)</w:t>
            </w:r>
          </w:p>
        </w:tc>
        <w:tc>
          <w:tcPr>
            <w:tcW w:w="1780" w:type="dxa"/>
            <w:tcBorders>
              <w:top w:val="nil"/>
              <w:left w:val="nil"/>
              <w:bottom w:val="nil"/>
              <w:right w:val="nil"/>
            </w:tcBorders>
            <w:shd w:val="clear" w:color="auto" w:fill="auto"/>
            <w:tcMar>
              <w:top w:w="15" w:type="dxa"/>
              <w:left w:w="15" w:type="dxa"/>
              <w:bottom w:w="0" w:type="dxa"/>
              <w:right w:w="15" w:type="dxa"/>
            </w:tcMar>
            <w:vAlign w:val="bottom"/>
            <w:hideMark/>
          </w:tcPr>
          <w:p w14:paraId="5DA4982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42 (27.5)</w:t>
            </w:r>
          </w:p>
        </w:tc>
        <w:tc>
          <w:tcPr>
            <w:tcW w:w="1458" w:type="dxa"/>
            <w:tcBorders>
              <w:top w:val="nil"/>
              <w:left w:val="nil"/>
              <w:bottom w:val="nil"/>
              <w:right w:val="nil"/>
            </w:tcBorders>
            <w:shd w:val="clear" w:color="auto" w:fill="auto"/>
            <w:tcMar>
              <w:top w:w="15" w:type="dxa"/>
              <w:left w:w="15" w:type="dxa"/>
              <w:bottom w:w="0" w:type="dxa"/>
              <w:right w:w="15" w:type="dxa"/>
            </w:tcMar>
            <w:vAlign w:val="bottom"/>
            <w:hideMark/>
          </w:tcPr>
          <w:p w14:paraId="0E6CFFB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53 (31.5)</w:t>
            </w:r>
          </w:p>
        </w:tc>
        <w:tc>
          <w:tcPr>
            <w:tcW w:w="769" w:type="dxa"/>
            <w:tcBorders>
              <w:top w:val="nil"/>
              <w:left w:val="nil"/>
              <w:bottom w:val="nil"/>
              <w:right w:val="nil"/>
            </w:tcBorders>
            <w:shd w:val="clear" w:color="auto" w:fill="auto"/>
            <w:tcMar>
              <w:top w:w="15" w:type="dxa"/>
              <w:left w:w="15" w:type="dxa"/>
              <w:bottom w:w="0" w:type="dxa"/>
              <w:right w:w="15" w:type="dxa"/>
            </w:tcMar>
            <w:vAlign w:val="bottom"/>
            <w:hideMark/>
          </w:tcPr>
          <w:p w14:paraId="069A94C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0.496</w:t>
            </w:r>
          </w:p>
        </w:tc>
      </w:tr>
      <w:tr w:rsidR="00EA1B48" w14:paraId="44E86806" w14:textId="77777777" w:rsidTr="00EA1B48">
        <w:trPr>
          <w:trHeight w:val="20"/>
        </w:trPr>
        <w:tc>
          <w:tcPr>
            <w:tcW w:w="2312" w:type="dxa"/>
            <w:tcBorders>
              <w:top w:val="nil"/>
              <w:left w:val="nil"/>
              <w:bottom w:val="single" w:sz="4" w:space="0" w:color="auto"/>
              <w:right w:val="nil"/>
            </w:tcBorders>
            <w:shd w:val="clear" w:color="auto" w:fill="auto"/>
            <w:tcMar>
              <w:top w:w="15" w:type="dxa"/>
              <w:left w:w="108" w:type="dxa"/>
              <w:bottom w:w="0" w:type="dxa"/>
              <w:right w:w="108" w:type="dxa"/>
            </w:tcMar>
            <w:vAlign w:val="bottom"/>
            <w:hideMark/>
          </w:tcPr>
          <w:p w14:paraId="2BA2B397" w14:textId="50E5C619"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217043">
              <w:rPr>
                <w:rFonts w:eastAsiaTheme="minorEastAsia" w:cstheme="minorHAnsi"/>
                <w:b/>
                <w:color w:val="000000" w:themeColor="text1"/>
                <w:kern w:val="24"/>
                <w:sz w:val="16"/>
                <w:szCs w:val="16"/>
                <w:lang w:eastAsia="en-GB"/>
              </w:rPr>
              <w:t>Acute kidney injury, n (%)</w:t>
            </w:r>
          </w:p>
        </w:tc>
        <w:tc>
          <w:tcPr>
            <w:tcW w:w="2164" w:type="dxa"/>
            <w:gridSpan w:val="2"/>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1BD0758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30 (34.1)</w:t>
            </w:r>
          </w:p>
        </w:tc>
        <w:tc>
          <w:tcPr>
            <w:tcW w:w="1784"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73AB04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35 (44.3)</w:t>
            </w:r>
          </w:p>
        </w:tc>
        <w:tc>
          <w:tcPr>
            <w:tcW w:w="1780"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1189C95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46 (30.1)</w:t>
            </w:r>
          </w:p>
        </w:tc>
        <w:tc>
          <w:tcPr>
            <w:tcW w:w="1458"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6DFE133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81 (48.2)</w:t>
            </w:r>
          </w:p>
        </w:tc>
        <w:tc>
          <w:tcPr>
            <w:tcW w:w="769"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4734853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0.005</w:t>
            </w:r>
          </w:p>
        </w:tc>
      </w:tr>
      <w:tr w:rsidR="00EA1B48" w:rsidRPr="00D067B4" w14:paraId="3039AE77" w14:textId="77777777" w:rsidTr="00EA1B48">
        <w:trPr>
          <w:trHeight w:val="20"/>
        </w:trPr>
        <w:tc>
          <w:tcPr>
            <w:tcW w:w="10267" w:type="dxa"/>
            <w:gridSpan w:val="7"/>
            <w:tcBorders>
              <w:top w:val="single" w:sz="4" w:space="0" w:color="auto"/>
              <w:left w:val="nil"/>
              <w:right w:val="nil"/>
            </w:tcBorders>
            <w:shd w:val="clear" w:color="auto" w:fill="auto"/>
            <w:tcMar>
              <w:top w:w="15" w:type="dxa"/>
              <w:left w:w="108" w:type="dxa"/>
              <w:bottom w:w="0" w:type="dxa"/>
              <w:right w:w="108" w:type="dxa"/>
            </w:tcMar>
            <w:vAlign w:val="bottom"/>
          </w:tcPr>
          <w:p w14:paraId="070043E7" w14:textId="7DDB7FE8" w:rsidR="00EA1B48" w:rsidRPr="00EA1B48" w:rsidRDefault="00EA1B48" w:rsidP="00EA1B48">
            <w:pPr>
              <w:rPr>
                <w:rFonts w:cstheme="minorHAnsi"/>
                <w:sz w:val="16"/>
                <w:szCs w:val="16"/>
                <w:lang w:val="en-GB"/>
              </w:rPr>
            </w:pPr>
            <w:r w:rsidRPr="00525A9B">
              <w:rPr>
                <w:rFonts w:cstheme="minorHAnsi"/>
                <w:sz w:val="16"/>
                <w:szCs w:val="16"/>
                <w:lang w:val="en-GB"/>
              </w:rPr>
              <w:t>Abbreviations: BMI: Body Mass Index, APACHE IV APS: Acute Physiology and Chronic Health Evaluation IV Acute Physiolog</w:t>
            </w:r>
            <w:r w:rsidRPr="00D24AFA">
              <w:rPr>
                <w:rFonts w:cstheme="minorHAnsi"/>
                <w:sz w:val="16"/>
                <w:szCs w:val="16"/>
                <w:lang w:val="en-GB"/>
              </w:rPr>
              <w:t xml:space="preserve">y score, SOFA: Sequential Organ </w:t>
            </w:r>
            <w:r w:rsidRPr="00525A9B">
              <w:rPr>
                <w:rFonts w:cstheme="minorHAnsi"/>
                <w:sz w:val="16"/>
                <w:szCs w:val="16"/>
                <w:lang w:val="en-GB"/>
              </w:rPr>
              <w:t xml:space="preserve">Failure Score, ARDS: acute respiratory distress syndrome. </w:t>
            </w:r>
            <w:r>
              <w:rPr>
                <w:rFonts w:cstheme="minorHAnsi"/>
                <w:sz w:val="16"/>
                <w:szCs w:val="16"/>
                <w:lang w:val="en-GB"/>
              </w:rPr>
              <w:br/>
            </w:r>
            <w:r w:rsidRPr="00525A9B">
              <w:rPr>
                <w:rFonts w:cstheme="minorHAnsi"/>
                <w:sz w:val="16"/>
                <w:szCs w:val="16"/>
                <w:lang w:val="en-GB"/>
              </w:rPr>
              <w:t>*</w:t>
            </w:r>
            <w:r w:rsidRPr="00525A9B">
              <w:rPr>
                <w:rFonts w:cstheme="minorHAnsi"/>
                <w:sz w:val="16"/>
                <w:szCs w:val="16"/>
                <w:vertAlign w:val="superscript"/>
                <w:lang w:val="en-GB"/>
              </w:rPr>
              <w:t xml:space="preserve"> </w:t>
            </w:r>
            <w:r w:rsidRPr="00525A9B">
              <w:rPr>
                <w:rFonts w:cstheme="minorHAnsi"/>
                <w:sz w:val="16"/>
                <w:szCs w:val="16"/>
                <w:lang w:val="en-GB"/>
              </w:rPr>
              <w:t xml:space="preserve"> The </w:t>
            </w:r>
            <w:proofErr w:type="spellStart"/>
            <w:r w:rsidRPr="00525A9B">
              <w:rPr>
                <w:rFonts w:cstheme="minorHAnsi"/>
                <w:sz w:val="16"/>
                <w:szCs w:val="16"/>
                <w:lang w:val="en-GB"/>
              </w:rPr>
              <w:t>Charlson</w:t>
            </w:r>
            <w:proofErr w:type="spellEnd"/>
            <w:r w:rsidRPr="00525A9B">
              <w:rPr>
                <w:rFonts w:cstheme="minorHAnsi"/>
                <w:sz w:val="16"/>
                <w:szCs w:val="16"/>
                <w:lang w:val="en-GB"/>
              </w:rPr>
              <w:t xml:space="preserve"> score was calcu</w:t>
            </w:r>
            <w:r w:rsidRPr="00D24AFA">
              <w:rPr>
                <w:rFonts w:cstheme="minorHAnsi"/>
                <w:sz w:val="16"/>
                <w:szCs w:val="16"/>
                <w:lang w:val="en-GB"/>
              </w:rPr>
              <w:t>lated without the age component</w:t>
            </w:r>
            <w:r w:rsidRPr="00D24AFA">
              <w:rPr>
                <w:rFonts w:cstheme="minorHAnsi"/>
                <w:sz w:val="16"/>
                <w:szCs w:val="16"/>
                <w:lang w:val="en-GB"/>
              </w:rPr>
              <w:br/>
            </w:r>
            <w:r w:rsidRPr="00525A9B">
              <w:rPr>
                <w:rFonts w:ascii="Open Sans" w:hAnsi="Open Sans" w:cs="Open Sans"/>
                <w:color w:val="666666"/>
                <w:sz w:val="16"/>
                <w:szCs w:val="16"/>
                <w:lang w:val="en-GB"/>
              </w:rPr>
              <w:t>†</w:t>
            </w:r>
            <w:r w:rsidRPr="00525A9B">
              <w:rPr>
                <w:rFonts w:cstheme="minorHAnsi"/>
                <w:sz w:val="16"/>
                <w:szCs w:val="16"/>
                <w:lang w:val="en-GB"/>
              </w:rPr>
              <w:t xml:space="preserve">  Other infection sites consisted of infections of bones and joints, the reproductive tract, mediastinum, the ear, throat or mouth. </w:t>
            </w:r>
            <w:r w:rsidRPr="00D24AFA">
              <w:rPr>
                <w:rFonts w:cstheme="minorHAnsi"/>
                <w:sz w:val="16"/>
                <w:szCs w:val="16"/>
                <w:lang w:val="en-GB"/>
              </w:rPr>
              <w:br/>
            </w:r>
            <w:r w:rsidRPr="00525A9B">
              <w:rPr>
                <w:rFonts w:ascii="Open Sans" w:hAnsi="Open Sans" w:cs="Open Sans"/>
                <w:color w:val="666666"/>
                <w:sz w:val="16"/>
                <w:szCs w:val="16"/>
                <w:lang w:val="en-GB"/>
              </w:rPr>
              <w:t>‡</w:t>
            </w:r>
            <w:r w:rsidRPr="00525A9B">
              <w:rPr>
                <w:rFonts w:cstheme="minorHAnsi"/>
                <w:sz w:val="16"/>
                <w:szCs w:val="16"/>
                <w:lang w:val="en-GB"/>
              </w:rPr>
              <w:t xml:space="preserve">  Unknown site of infection consisted of infections of unknown source, systemic viral infe</w:t>
            </w:r>
            <w:r>
              <w:rPr>
                <w:rFonts w:cstheme="minorHAnsi"/>
                <w:sz w:val="16"/>
                <w:szCs w:val="16"/>
                <w:lang w:val="en-GB"/>
              </w:rPr>
              <w:t xml:space="preserve">ctions, and primary </w:t>
            </w:r>
            <w:proofErr w:type="spellStart"/>
            <w:r>
              <w:rPr>
                <w:rFonts w:cstheme="minorHAnsi"/>
                <w:sz w:val="16"/>
                <w:szCs w:val="16"/>
                <w:lang w:val="en-GB"/>
              </w:rPr>
              <w:t>bacteremia</w:t>
            </w:r>
            <w:proofErr w:type="spellEnd"/>
            <w:r>
              <w:rPr>
                <w:rFonts w:cstheme="minorHAnsi"/>
                <w:sz w:val="16"/>
                <w:szCs w:val="16"/>
                <w:lang w:val="en-GB"/>
              </w:rPr>
              <w:t>.</w:t>
            </w:r>
            <w:r w:rsidRPr="00D24AFA">
              <w:rPr>
                <w:rFonts w:cstheme="minorHAnsi"/>
                <w:sz w:val="16"/>
                <w:szCs w:val="16"/>
                <w:lang w:val="en-GB"/>
              </w:rPr>
              <w:br/>
            </w:r>
            <w:r w:rsidRPr="00525A9B">
              <w:rPr>
                <w:rFonts w:ascii="Open Sans" w:hAnsi="Open Sans" w:cs="Open Sans"/>
                <w:color w:val="666666"/>
                <w:sz w:val="16"/>
                <w:szCs w:val="16"/>
                <w:lang w:val="en-GB"/>
              </w:rPr>
              <w:t>§</w:t>
            </w:r>
            <w:r w:rsidRPr="00525A9B">
              <w:rPr>
                <w:rFonts w:cstheme="minorHAnsi"/>
                <w:sz w:val="16"/>
                <w:szCs w:val="16"/>
                <w:lang w:val="en-GB"/>
              </w:rPr>
              <w:t xml:space="preserve"> Causative organisms of the primary site of infection do not add up to 100% as some patients suffered from multiple </w:t>
            </w:r>
            <w:r w:rsidRPr="00D24AFA">
              <w:rPr>
                <w:rFonts w:cstheme="minorHAnsi"/>
                <w:sz w:val="16"/>
                <w:szCs w:val="16"/>
                <w:lang w:val="en-GB"/>
              </w:rPr>
              <w:t>pathogens at the primary</w:t>
            </w:r>
            <w:r>
              <w:rPr>
                <w:rFonts w:cstheme="minorHAnsi"/>
                <w:sz w:val="16"/>
                <w:szCs w:val="16"/>
                <w:lang w:val="en-GB"/>
              </w:rPr>
              <w:t xml:space="preserve"> </w:t>
            </w:r>
            <w:r w:rsidRPr="00D24AFA">
              <w:rPr>
                <w:rFonts w:cstheme="minorHAnsi"/>
                <w:sz w:val="16"/>
                <w:szCs w:val="16"/>
                <w:lang w:val="en-GB"/>
              </w:rPr>
              <w:t xml:space="preserve">site. </w:t>
            </w:r>
            <w:r w:rsidRPr="00D24AFA">
              <w:rPr>
                <w:rFonts w:cstheme="minorHAnsi"/>
                <w:sz w:val="16"/>
                <w:szCs w:val="16"/>
                <w:lang w:val="en-GB"/>
              </w:rPr>
              <w:br/>
            </w:r>
            <w:proofErr w:type="spellStart"/>
            <w:r w:rsidRPr="00525A9B">
              <w:rPr>
                <w:rFonts w:ascii="Open Sans" w:hAnsi="Open Sans" w:cs="Open Sans"/>
                <w:color w:val="666666"/>
                <w:sz w:val="16"/>
                <w:szCs w:val="16"/>
                <w:lang w:val="en-GB"/>
              </w:rPr>
              <w:t>ll</w:t>
            </w:r>
            <w:proofErr w:type="spellEnd"/>
            <w:r w:rsidRPr="00525A9B">
              <w:rPr>
                <w:rFonts w:cstheme="minorHAnsi"/>
                <w:sz w:val="16"/>
                <w:szCs w:val="16"/>
                <w:vertAlign w:val="superscript"/>
                <w:lang w:val="en-GB"/>
              </w:rPr>
              <w:t xml:space="preserve"> </w:t>
            </w:r>
            <w:r w:rsidRPr="00525A9B">
              <w:rPr>
                <w:rFonts w:cstheme="minorHAnsi"/>
                <w:sz w:val="16"/>
                <w:szCs w:val="16"/>
                <w:lang w:val="en-GB"/>
              </w:rPr>
              <w:t xml:space="preserve"> The SOFA score was calculated without the </w:t>
            </w:r>
            <w:r>
              <w:rPr>
                <w:rFonts w:cstheme="minorHAnsi"/>
                <w:sz w:val="16"/>
                <w:szCs w:val="16"/>
                <w:lang w:val="en-GB"/>
              </w:rPr>
              <w:t>Central Nervous System component</w:t>
            </w:r>
          </w:p>
        </w:tc>
      </w:tr>
    </w:tbl>
    <w:p w14:paraId="12D11C6C" w14:textId="0D550A28" w:rsidR="003B4253" w:rsidRDefault="00974678" w:rsidP="00E97A75">
      <w:pPr>
        <w:spacing w:after="200" w:line="276" w:lineRule="auto"/>
        <w:ind w:right="-568"/>
        <w:rPr>
          <w:rFonts w:cstheme="minorHAnsi"/>
          <w:color w:val="1F497D" w:themeColor="text2"/>
          <w:sz w:val="18"/>
          <w:szCs w:val="18"/>
          <w:lang w:val="en-GB"/>
        </w:rPr>
      </w:pPr>
      <w:r>
        <w:rPr>
          <w:rFonts w:eastAsiaTheme="minorEastAsia" w:cstheme="minorHAnsi"/>
          <w:color w:val="000000" w:themeColor="text1"/>
          <w:kern w:val="24"/>
          <w:sz w:val="16"/>
          <w:szCs w:val="16"/>
          <w:lang w:val="en-US" w:eastAsia="en-GB"/>
        </w:rPr>
        <w:br w:type="page"/>
      </w:r>
      <w:r w:rsidR="003B4253">
        <w:rPr>
          <w:rFonts w:cstheme="minorHAnsi"/>
          <w:color w:val="1F497D" w:themeColor="text2"/>
          <w:sz w:val="18"/>
          <w:szCs w:val="18"/>
          <w:lang w:val="en-GB"/>
        </w:rPr>
        <w:lastRenderedPageBreak/>
        <w:t>Supplementary</w:t>
      </w:r>
      <w:r w:rsidR="003B4253" w:rsidRPr="00217043">
        <w:rPr>
          <w:rFonts w:cstheme="minorHAnsi"/>
          <w:color w:val="1F497D" w:themeColor="text2"/>
          <w:sz w:val="18"/>
          <w:szCs w:val="18"/>
          <w:lang w:val="en-GB"/>
        </w:rPr>
        <w:t xml:space="preserve"> </w:t>
      </w:r>
      <w:r w:rsidR="0047428B">
        <w:rPr>
          <w:rFonts w:cstheme="minorHAnsi"/>
          <w:color w:val="1F497D" w:themeColor="text2"/>
          <w:sz w:val="18"/>
          <w:szCs w:val="18"/>
          <w:lang w:val="en-GB"/>
        </w:rPr>
        <w:t>Table S</w:t>
      </w:r>
      <w:r w:rsidR="006D35EC">
        <w:rPr>
          <w:rFonts w:cstheme="minorHAnsi"/>
          <w:color w:val="1F497D" w:themeColor="text2"/>
          <w:sz w:val="18"/>
          <w:szCs w:val="18"/>
          <w:lang w:val="en-GB"/>
        </w:rPr>
        <w:t>7</w:t>
      </w:r>
      <w:r w:rsidR="003B4253">
        <w:rPr>
          <w:rFonts w:cstheme="minorHAnsi"/>
          <w:color w:val="1F497D" w:themeColor="text2"/>
          <w:sz w:val="18"/>
          <w:szCs w:val="18"/>
          <w:lang w:val="en-GB"/>
        </w:rPr>
        <w:t xml:space="preserve">: </w:t>
      </w:r>
      <w:r w:rsidR="003B4253" w:rsidRPr="00217043">
        <w:rPr>
          <w:rFonts w:cstheme="minorHAnsi"/>
          <w:color w:val="1F497D" w:themeColor="text2"/>
          <w:sz w:val="18"/>
          <w:szCs w:val="18"/>
          <w:lang w:val="en-GB"/>
        </w:rPr>
        <w:t>Clinical outcomes of critically ill sepsis patients (whole blood transcriptome cohort)</w:t>
      </w:r>
    </w:p>
    <w:tbl>
      <w:tblPr>
        <w:tblpPr w:leftFromText="180" w:rightFromText="180" w:vertAnchor="text" w:tblpY="107"/>
        <w:tblW w:w="9205" w:type="dxa"/>
        <w:tblCellMar>
          <w:left w:w="0" w:type="dxa"/>
          <w:right w:w="0" w:type="dxa"/>
        </w:tblCellMar>
        <w:tblLook w:val="04A0" w:firstRow="1" w:lastRow="0" w:firstColumn="1" w:lastColumn="0" w:noHBand="0" w:noVBand="1"/>
      </w:tblPr>
      <w:tblGrid>
        <w:gridCol w:w="1865"/>
        <w:gridCol w:w="1637"/>
        <w:gridCol w:w="1741"/>
        <w:gridCol w:w="1637"/>
        <w:gridCol w:w="1561"/>
        <w:gridCol w:w="764"/>
      </w:tblGrid>
      <w:tr w:rsidR="00EA1B48" w:rsidRPr="00217043" w14:paraId="5AF11993" w14:textId="77777777" w:rsidTr="00EA1B48">
        <w:trPr>
          <w:trHeight w:val="345"/>
        </w:trPr>
        <w:tc>
          <w:tcPr>
            <w:tcW w:w="1865" w:type="dxa"/>
            <w:tcBorders>
              <w:top w:val="nil"/>
              <w:left w:val="nil"/>
              <w:bottom w:val="nil"/>
              <w:right w:val="nil"/>
            </w:tcBorders>
            <w:shd w:val="clear" w:color="auto" w:fill="auto"/>
            <w:tcMar>
              <w:top w:w="15" w:type="dxa"/>
              <w:left w:w="108" w:type="dxa"/>
              <w:bottom w:w="0" w:type="dxa"/>
              <w:right w:w="108" w:type="dxa"/>
            </w:tcMar>
            <w:vAlign w:val="bottom"/>
            <w:hideMark/>
          </w:tcPr>
          <w:p w14:paraId="44869507" w14:textId="25AB5950" w:rsidR="00EA1B48" w:rsidRPr="00A8105E" w:rsidRDefault="00EA1B48" w:rsidP="00EA1B48">
            <w:pPr>
              <w:pStyle w:val="NoSpacing"/>
              <w:spacing w:line="276" w:lineRule="auto"/>
              <w:ind w:right="-1"/>
              <w:rPr>
                <w:rFonts w:ascii="Arial" w:eastAsia="Times New Roman" w:hAnsi="Arial" w:cs="Arial"/>
                <w:sz w:val="16"/>
                <w:szCs w:val="16"/>
                <w:lang w:eastAsia="en-GB"/>
              </w:rPr>
            </w:pPr>
          </w:p>
        </w:tc>
        <w:tc>
          <w:tcPr>
            <w:tcW w:w="1637"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7A101384"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lang w:val="en-GB"/>
              </w:rPr>
              <w:t>&lt;50 years</w:t>
            </w:r>
          </w:p>
        </w:tc>
        <w:tc>
          <w:tcPr>
            <w:tcW w:w="1741"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55C9B752"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≥50 - &lt;60 years</w:t>
            </w:r>
          </w:p>
        </w:tc>
        <w:tc>
          <w:tcPr>
            <w:tcW w:w="1637"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368AB51C"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≥60 - &lt;70 years</w:t>
            </w:r>
          </w:p>
        </w:tc>
        <w:tc>
          <w:tcPr>
            <w:tcW w:w="1561"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0252B15E" w14:textId="77777777" w:rsidR="00EA1B48" w:rsidRPr="00217043" w:rsidRDefault="00EA1B48" w:rsidP="00EA1B48">
            <w:pPr>
              <w:pStyle w:val="NoSpacing"/>
              <w:spacing w:line="276" w:lineRule="auto"/>
              <w:ind w:right="-1"/>
              <w:jc w:val="center"/>
              <w:rPr>
                <w:rFonts w:ascii="Arial" w:eastAsia="Times New Roman" w:hAnsi="Arial" w:cs="Arial"/>
                <w:b/>
                <w:sz w:val="16"/>
                <w:szCs w:val="16"/>
                <w:lang w:eastAsia="en-GB"/>
              </w:rPr>
            </w:pPr>
            <w:r w:rsidRPr="00217043">
              <w:rPr>
                <w:rFonts w:cstheme="minorHAnsi"/>
                <w:b/>
                <w:sz w:val="16"/>
                <w:szCs w:val="16"/>
              </w:rPr>
              <w:t>≥</w:t>
            </w:r>
            <w:r w:rsidRPr="00217043">
              <w:rPr>
                <w:rFonts w:eastAsia="Times New Roman" w:cstheme="minorHAnsi"/>
                <w:b/>
                <w:color w:val="000000" w:themeColor="text1"/>
                <w:kern w:val="24"/>
                <w:sz w:val="16"/>
                <w:szCs w:val="16"/>
                <w:lang w:eastAsia="en-GB"/>
              </w:rPr>
              <w:t>70 years</w:t>
            </w:r>
          </w:p>
        </w:tc>
        <w:tc>
          <w:tcPr>
            <w:tcW w:w="764"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396B0D7C" w14:textId="77777777" w:rsidR="00EA1B48" w:rsidRPr="00217043" w:rsidRDefault="00EA1B48" w:rsidP="00EA1B48">
            <w:pPr>
              <w:pStyle w:val="NoSpacing"/>
              <w:spacing w:line="276" w:lineRule="auto"/>
              <w:ind w:right="-1"/>
              <w:jc w:val="right"/>
              <w:rPr>
                <w:rFonts w:ascii="Arial" w:eastAsia="Times New Roman" w:hAnsi="Arial" w:cs="Arial"/>
                <w:b/>
                <w:sz w:val="16"/>
                <w:szCs w:val="16"/>
                <w:lang w:eastAsia="en-GB"/>
              </w:rPr>
            </w:pPr>
            <w:r w:rsidRPr="00217043">
              <w:rPr>
                <w:rFonts w:eastAsiaTheme="minorEastAsia" w:hAnsi="Calibri"/>
                <w:b/>
                <w:color w:val="000000" w:themeColor="text1"/>
                <w:kern w:val="24"/>
                <w:sz w:val="16"/>
                <w:szCs w:val="16"/>
                <w:lang w:eastAsia="en-GB"/>
              </w:rPr>
              <w:t>p-value</w:t>
            </w:r>
          </w:p>
        </w:tc>
      </w:tr>
      <w:tr w:rsidR="00EA1B48" w:rsidRPr="00A8105E" w14:paraId="2758C281" w14:textId="77777777" w:rsidTr="00EA1B48">
        <w:trPr>
          <w:trHeight w:val="184"/>
        </w:trPr>
        <w:tc>
          <w:tcPr>
            <w:tcW w:w="1865" w:type="dxa"/>
            <w:tcBorders>
              <w:top w:val="nil"/>
              <w:left w:val="nil"/>
              <w:bottom w:val="single" w:sz="8" w:space="0" w:color="000000"/>
              <w:right w:val="nil"/>
            </w:tcBorders>
            <w:shd w:val="clear" w:color="auto" w:fill="auto"/>
            <w:tcMar>
              <w:top w:w="15" w:type="dxa"/>
              <w:left w:w="108" w:type="dxa"/>
              <w:bottom w:w="0" w:type="dxa"/>
              <w:right w:w="108" w:type="dxa"/>
            </w:tcMar>
            <w:vAlign w:val="bottom"/>
            <w:hideMark/>
          </w:tcPr>
          <w:p w14:paraId="6E6F10D7" w14:textId="77777777" w:rsidR="00EA1B48" w:rsidRPr="00A8105E" w:rsidRDefault="00EA1B48" w:rsidP="00EA1B48">
            <w:pPr>
              <w:pStyle w:val="NoSpacing"/>
              <w:spacing w:line="276" w:lineRule="auto"/>
              <w:ind w:right="-1"/>
              <w:rPr>
                <w:rFonts w:ascii="Arial" w:eastAsia="Times New Roman" w:hAnsi="Arial" w:cs="Arial"/>
                <w:sz w:val="16"/>
                <w:szCs w:val="16"/>
                <w:lang w:eastAsia="en-GB"/>
              </w:rPr>
            </w:pPr>
            <w:r w:rsidRPr="00A8105E">
              <w:rPr>
                <w:rFonts w:eastAsia="Times New Roman" w:hAnsi="Calibri" w:cs="Calibri"/>
                <w:color w:val="000000" w:themeColor="text1"/>
                <w:kern w:val="24"/>
                <w:sz w:val="16"/>
                <w:szCs w:val="16"/>
                <w:lang w:eastAsia="en-GB"/>
              </w:rPr>
              <w:t>n</w:t>
            </w:r>
          </w:p>
        </w:tc>
        <w:tc>
          <w:tcPr>
            <w:tcW w:w="163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35E5EC49" w14:textId="77777777" w:rsidR="00EA1B48" w:rsidRPr="00CC27EF" w:rsidRDefault="00EA1B48" w:rsidP="00EA1B48">
            <w:pPr>
              <w:pStyle w:val="NoSpacing"/>
              <w:spacing w:line="276" w:lineRule="auto"/>
              <w:ind w:right="-1"/>
              <w:jc w:val="center"/>
              <w:rPr>
                <w:rFonts w:ascii="Arial" w:eastAsia="Times New Roman" w:hAnsi="Arial" w:cs="Arial"/>
                <w:sz w:val="16"/>
                <w:szCs w:val="16"/>
                <w:lang w:eastAsia="en-GB"/>
              </w:rPr>
            </w:pPr>
            <w:r>
              <w:rPr>
                <w:rFonts w:ascii="Calibri" w:hAnsi="Calibri" w:cs="Calibri"/>
                <w:color w:val="000000"/>
                <w:sz w:val="16"/>
                <w:szCs w:val="16"/>
              </w:rPr>
              <w:t>88</w:t>
            </w:r>
          </w:p>
        </w:tc>
        <w:tc>
          <w:tcPr>
            <w:tcW w:w="174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50A680D0" w14:textId="77777777" w:rsidR="00EA1B48" w:rsidRPr="00CC27EF" w:rsidRDefault="00EA1B48" w:rsidP="00EA1B48">
            <w:pPr>
              <w:pStyle w:val="NoSpacing"/>
              <w:spacing w:line="276" w:lineRule="auto"/>
              <w:ind w:right="-1"/>
              <w:jc w:val="center"/>
              <w:rPr>
                <w:rFonts w:ascii="Arial" w:eastAsia="Times New Roman" w:hAnsi="Arial" w:cs="Arial"/>
                <w:sz w:val="16"/>
                <w:szCs w:val="16"/>
                <w:lang w:eastAsia="en-GB"/>
              </w:rPr>
            </w:pPr>
            <w:r>
              <w:rPr>
                <w:rFonts w:ascii="Calibri" w:hAnsi="Calibri" w:cs="Calibri"/>
                <w:color w:val="000000"/>
                <w:sz w:val="16"/>
                <w:szCs w:val="16"/>
              </w:rPr>
              <w:t>79</w:t>
            </w:r>
          </w:p>
        </w:tc>
        <w:tc>
          <w:tcPr>
            <w:tcW w:w="1637"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1EA892AB" w14:textId="77777777" w:rsidR="00EA1B48" w:rsidRPr="00CC27EF" w:rsidRDefault="00EA1B48" w:rsidP="00EA1B48">
            <w:pPr>
              <w:pStyle w:val="NoSpacing"/>
              <w:spacing w:line="276" w:lineRule="auto"/>
              <w:ind w:right="-1"/>
              <w:jc w:val="center"/>
              <w:rPr>
                <w:rFonts w:ascii="Arial" w:eastAsia="Times New Roman" w:hAnsi="Arial" w:cs="Arial"/>
                <w:sz w:val="16"/>
                <w:szCs w:val="16"/>
                <w:lang w:eastAsia="en-GB"/>
              </w:rPr>
            </w:pPr>
            <w:r>
              <w:rPr>
                <w:rFonts w:ascii="Calibri" w:hAnsi="Calibri" w:cs="Calibri"/>
                <w:color w:val="000000"/>
                <w:sz w:val="16"/>
                <w:szCs w:val="16"/>
              </w:rPr>
              <w:t>153</w:t>
            </w:r>
          </w:p>
        </w:tc>
        <w:tc>
          <w:tcPr>
            <w:tcW w:w="1561"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bottom"/>
            <w:hideMark/>
          </w:tcPr>
          <w:p w14:paraId="440F5B33" w14:textId="77777777" w:rsidR="00EA1B48" w:rsidRPr="00CC27EF" w:rsidRDefault="00EA1B48" w:rsidP="00EA1B48">
            <w:pPr>
              <w:pStyle w:val="NoSpacing"/>
              <w:spacing w:line="276" w:lineRule="auto"/>
              <w:ind w:right="-1"/>
              <w:jc w:val="center"/>
              <w:rPr>
                <w:rFonts w:ascii="Arial" w:eastAsia="Times New Roman" w:hAnsi="Arial" w:cs="Arial"/>
                <w:sz w:val="16"/>
                <w:szCs w:val="16"/>
                <w:lang w:eastAsia="en-GB"/>
              </w:rPr>
            </w:pPr>
            <w:r>
              <w:rPr>
                <w:rFonts w:ascii="Calibri" w:hAnsi="Calibri" w:cs="Calibri"/>
                <w:color w:val="000000"/>
                <w:sz w:val="16"/>
                <w:szCs w:val="16"/>
              </w:rPr>
              <w:t>168</w:t>
            </w:r>
          </w:p>
        </w:tc>
        <w:tc>
          <w:tcPr>
            <w:tcW w:w="76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1C2A8C65" w14:textId="77777777" w:rsidR="00EA1B48" w:rsidRPr="00A8105E" w:rsidRDefault="00EA1B48" w:rsidP="00EA1B48">
            <w:pPr>
              <w:pStyle w:val="NoSpacing"/>
              <w:spacing w:line="276" w:lineRule="auto"/>
              <w:ind w:right="-1"/>
              <w:jc w:val="right"/>
              <w:rPr>
                <w:rFonts w:ascii="Arial" w:eastAsia="Times New Roman" w:hAnsi="Arial" w:cs="Arial"/>
                <w:sz w:val="16"/>
                <w:szCs w:val="16"/>
                <w:lang w:eastAsia="en-GB"/>
              </w:rPr>
            </w:pPr>
            <w:r w:rsidRPr="00A8105E">
              <w:rPr>
                <w:rFonts w:eastAsia="Times New Roman" w:hAnsi="Calibri" w:cs="Calibri"/>
                <w:color w:val="000000" w:themeColor="text1"/>
                <w:kern w:val="24"/>
                <w:sz w:val="16"/>
                <w:szCs w:val="16"/>
                <w:lang w:eastAsia="en-GB"/>
              </w:rPr>
              <w:t> </w:t>
            </w:r>
          </w:p>
        </w:tc>
      </w:tr>
      <w:tr w:rsidR="00EA1B48" w:rsidRPr="00A8105E" w14:paraId="12879AA5" w14:textId="77777777" w:rsidTr="00EA1B48">
        <w:trPr>
          <w:trHeight w:val="171"/>
        </w:trPr>
        <w:tc>
          <w:tcPr>
            <w:tcW w:w="8441" w:type="dxa"/>
            <w:gridSpan w:val="5"/>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14:paraId="132A911A" w14:textId="040DCA2D"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ICU-acquired complications, n (%)</w:t>
            </w:r>
          </w:p>
        </w:tc>
        <w:tc>
          <w:tcPr>
            <w:tcW w:w="764" w:type="dxa"/>
            <w:tcBorders>
              <w:top w:val="single" w:sz="8" w:space="0" w:color="000000"/>
              <w:left w:val="nil"/>
              <w:bottom w:val="single" w:sz="8" w:space="0" w:color="000000"/>
              <w:right w:val="nil"/>
            </w:tcBorders>
            <w:shd w:val="clear" w:color="auto" w:fill="auto"/>
            <w:tcMar>
              <w:top w:w="15" w:type="dxa"/>
              <w:left w:w="15" w:type="dxa"/>
              <w:bottom w:w="0" w:type="dxa"/>
              <w:right w:w="15" w:type="dxa"/>
            </w:tcMar>
            <w:vAlign w:val="center"/>
            <w:hideMark/>
          </w:tcPr>
          <w:p w14:paraId="630D5BCC" w14:textId="77777777" w:rsidR="00EA1B48" w:rsidRPr="00A8105E" w:rsidRDefault="00EA1B48" w:rsidP="00EA1B48">
            <w:pPr>
              <w:pStyle w:val="NoSpacing"/>
              <w:spacing w:line="276" w:lineRule="auto"/>
              <w:ind w:right="-1"/>
              <w:jc w:val="right"/>
              <w:rPr>
                <w:rFonts w:ascii="Arial" w:eastAsia="Times New Roman" w:hAnsi="Arial" w:cs="Arial"/>
                <w:sz w:val="16"/>
                <w:szCs w:val="16"/>
                <w:lang w:eastAsia="en-GB"/>
              </w:rPr>
            </w:pPr>
            <w:r w:rsidRPr="00A8105E">
              <w:rPr>
                <w:rFonts w:eastAsia="Times New Roman" w:hAnsi="Calibri" w:cs="Calibri"/>
                <w:color w:val="000000" w:themeColor="text1"/>
                <w:kern w:val="24"/>
                <w:sz w:val="16"/>
                <w:szCs w:val="16"/>
                <w:lang w:eastAsia="en-GB"/>
              </w:rPr>
              <w:t> </w:t>
            </w:r>
          </w:p>
        </w:tc>
      </w:tr>
      <w:tr w:rsidR="00EA1B48" w14:paraId="1964FAD1" w14:textId="77777777" w:rsidTr="00EA1B48">
        <w:trPr>
          <w:trHeight w:val="184"/>
        </w:trPr>
        <w:tc>
          <w:tcPr>
            <w:tcW w:w="186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7744773E" w14:textId="66993B9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Shock</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89F746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(11.4)</w:t>
            </w:r>
          </w:p>
        </w:tc>
        <w:tc>
          <w:tcPr>
            <w:tcW w:w="17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842001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12 (15.2)</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570B512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33 (21.6)</w:t>
            </w:r>
          </w:p>
        </w:tc>
        <w:tc>
          <w:tcPr>
            <w:tcW w:w="156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6835C96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29 (17.3)</w:t>
            </w:r>
          </w:p>
        </w:tc>
        <w:tc>
          <w:tcPr>
            <w:tcW w:w="76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27BFB4F"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0.224</w:t>
            </w:r>
          </w:p>
        </w:tc>
      </w:tr>
      <w:tr w:rsidR="00EA1B48" w14:paraId="2490B9E4"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51F6D3CE" w14:textId="7215E007"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ARDS</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0528624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 (4.5)</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794FDCF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 (7.6)</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07DDDEE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 (5.2)</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65BC391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(6.5)</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00E677DB"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0.815</w:t>
            </w:r>
          </w:p>
        </w:tc>
      </w:tr>
      <w:tr w:rsidR="00EA1B48" w14:paraId="5C2EDB45"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5F38358C" w14:textId="5CA76395"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Acute kidney injury</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0A6B196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 (3.4)</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49BA8F5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 (10.1)</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1519A6F1"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24 (15.7)</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1426371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(6.5)</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191BD7B4"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0.006</w:t>
            </w:r>
          </w:p>
        </w:tc>
      </w:tr>
      <w:tr w:rsidR="00EA1B48" w14:paraId="475007B3" w14:textId="77777777" w:rsidTr="00EA1B48">
        <w:trPr>
          <w:trHeight w:val="184"/>
        </w:trPr>
        <w:tc>
          <w:tcPr>
            <w:tcW w:w="1865" w:type="dxa"/>
            <w:tcBorders>
              <w:top w:val="nil"/>
              <w:left w:val="nil"/>
              <w:bottom w:val="single" w:sz="8" w:space="0" w:color="000000"/>
              <w:right w:val="nil"/>
            </w:tcBorders>
            <w:shd w:val="clear" w:color="auto" w:fill="auto"/>
            <w:tcMar>
              <w:top w:w="15" w:type="dxa"/>
              <w:left w:w="108" w:type="dxa"/>
              <w:bottom w:w="0" w:type="dxa"/>
              <w:right w:w="108" w:type="dxa"/>
            </w:tcMar>
            <w:hideMark/>
          </w:tcPr>
          <w:p w14:paraId="0C9EDFD4" w14:textId="5FCC3408"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ICU-acquired infections </w:t>
            </w:r>
          </w:p>
        </w:tc>
        <w:tc>
          <w:tcPr>
            <w:tcW w:w="1637"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45FD81D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10 (11.4)</w:t>
            </w:r>
          </w:p>
        </w:tc>
        <w:tc>
          <w:tcPr>
            <w:tcW w:w="1741"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96BB77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(13.9)</w:t>
            </w:r>
          </w:p>
        </w:tc>
        <w:tc>
          <w:tcPr>
            <w:tcW w:w="1637"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2469B18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18 (11.8)</w:t>
            </w:r>
          </w:p>
        </w:tc>
        <w:tc>
          <w:tcPr>
            <w:tcW w:w="1561"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05CBB64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23 (13.7)</w:t>
            </w:r>
          </w:p>
        </w:tc>
        <w:tc>
          <w:tcPr>
            <w:tcW w:w="764" w:type="dxa"/>
            <w:tcBorders>
              <w:top w:val="nil"/>
              <w:left w:val="nil"/>
              <w:bottom w:val="single" w:sz="8" w:space="0" w:color="000000"/>
              <w:right w:val="nil"/>
            </w:tcBorders>
            <w:shd w:val="clear" w:color="auto" w:fill="auto"/>
            <w:tcMar>
              <w:top w:w="15" w:type="dxa"/>
              <w:left w:w="15" w:type="dxa"/>
              <w:bottom w:w="0" w:type="dxa"/>
              <w:right w:w="15" w:type="dxa"/>
            </w:tcMar>
            <w:vAlign w:val="bottom"/>
            <w:hideMark/>
          </w:tcPr>
          <w:p w14:paraId="731D54ED"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0.915</w:t>
            </w:r>
          </w:p>
        </w:tc>
      </w:tr>
      <w:tr w:rsidR="00EA1B48" w:rsidRPr="00D067B4" w14:paraId="2A0E7B14" w14:textId="77777777" w:rsidTr="00EA1B48">
        <w:trPr>
          <w:trHeight w:val="171"/>
        </w:trPr>
        <w:tc>
          <w:tcPr>
            <w:tcW w:w="9205" w:type="dxa"/>
            <w:gridSpan w:val="6"/>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14:paraId="644444C1" w14:textId="4DD55DC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lang w:val="en-GB"/>
              </w:rPr>
              <w:t>Length of stay, median [IQR]</w:t>
            </w:r>
          </w:p>
        </w:tc>
      </w:tr>
      <w:tr w:rsidR="00EA1B48" w14:paraId="38AD9C45" w14:textId="77777777" w:rsidTr="00EA1B48">
        <w:trPr>
          <w:trHeight w:val="184"/>
        </w:trPr>
        <w:tc>
          <w:tcPr>
            <w:tcW w:w="186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08947560" w14:textId="2FD9AEB0" w:rsidR="00EA1B48" w:rsidRPr="00A762F4" w:rsidRDefault="00EA1B48" w:rsidP="00EA1B48">
            <w:pPr>
              <w:pStyle w:val="NoSpacing"/>
              <w:spacing w:line="276" w:lineRule="auto"/>
              <w:ind w:right="-1"/>
              <w:rPr>
                <w:rFonts w:ascii="Arial" w:eastAsia="Times New Roman" w:hAnsi="Arial" w:cs="Arial"/>
                <w:b/>
                <w:sz w:val="16"/>
                <w:szCs w:val="16"/>
                <w:vertAlign w:val="superscript"/>
                <w:lang w:eastAsia="en-GB"/>
              </w:rPr>
            </w:pPr>
            <w:r w:rsidRPr="0066082B">
              <w:rPr>
                <w:rFonts w:cstheme="minorHAnsi"/>
                <w:b/>
                <w:sz w:val="16"/>
                <w:szCs w:val="16"/>
              </w:rPr>
              <w:t>ICU stay, days *</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267A5D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4.88 [1.63, 11.03]</w:t>
            </w:r>
          </w:p>
        </w:tc>
        <w:tc>
          <w:tcPr>
            <w:tcW w:w="17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D50F069"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6.15 [3.45, 12.28]</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523A97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6.43 [2.33, 9.92]</w:t>
            </w:r>
          </w:p>
        </w:tc>
        <w:tc>
          <w:tcPr>
            <w:tcW w:w="156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427F77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4.80 [2.11, 10.39]</w:t>
            </w:r>
          </w:p>
        </w:tc>
        <w:tc>
          <w:tcPr>
            <w:tcW w:w="76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C4E7365"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0.294</w:t>
            </w:r>
          </w:p>
        </w:tc>
      </w:tr>
      <w:tr w:rsidR="00EA1B48" w14:paraId="7FA5CD51"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7750CDD7" w14:textId="61CA7349" w:rsidR="00EA1B48" w:rsidRPr="00A762F4" w:rsidRDefault="00EA1B48" w:rsidP="00EA1B48">
            <w:pPr>
              <w:pStyle w:val="NoSpacing"/>
              <w:spacing w:line="276" w:lineRule="auto"/>
              <w:ind w:right="-1"/>
              <w:rPr>
                <w:rFonts w:ascii="Arial" w:eastAsia="Times New Roman" w:hAnsi="Arial" w:cs="Arial"/>
                <w:b/>
                <w:sz w:val="16"/>
                <w:szCs w:val="16"/>
                <w:vertAlign w:val="superscript"/>
                <w:lang w:eastAsia="en-GB"/>
              </w:rPr>
            </w:pPr>
            <w:r w:rsidRPr="0066082B">
              <w:rPr>
                <w:rFonts w:cstheme="minorHAnsi"/>
                <w:b/>
                <w:sz w:val="16"/>
                <w:szCs w:val="16"/>
              </w:rPr>
              <w:t>Hospital stay, days †</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71F5BBF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24.40 [10.79, 49.70]</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7B382314"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32.42 [13.46, 54.02]</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33A6B35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21.37 [14.61, 46.36]</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1D3A30C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19.25 [10.87, 39.16]</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5C6DE98E"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0.219</w:t>
            </w:r>
          </w:p>
        </w:tc>
      </w:tr>
      <w:tr w:rsidR="00EA1B48" w:rsidRPr="00A8105E" w14:paraId="30B3C216" w14:textId="77777777" w:rsidTr="00EA1B48">
        <w:trPr>
          <w:trHeight w:val="171"/>
        </w:trPr>
        <w:tc>
          <w:tcPr>
            <w:tcW w:w="1865"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hideMark/>
          </w:tcPr>
          <w:p w14:paraId="16C28960" w14:textId="098A4616"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Mortality, n (%)</w:t>
            </w:r>
          </w:p>
        </w:tc>
        <w:tc>
          <w:tcPr>
            <w:tcW w:w="1637"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401CDF8C" w14:textId="77777777" w:rsidR="00EA1B48" w:rsidRPr="00A8105E" w:rsidRDefault="00EA1B48" w:rsidP="00EA1B48">
            <w:pPr>
              <w:pStyle w:val="NoSpacing"/>
              <w:spacing w:line="276" w:lineRule="auto"/>
              <w:ind w:right="-1"/>
              <w:jc w:val="center"/>
              <w:rPr>
                <w:rFonts w:ascii="Arial" w:eastAsia="Times New Roman" w:hAnsi="Arial" w:cs="Arial"/>
                <w:sz w:val="16"/>
                <w:szCs w:val="16"/>
                <w:lang w:eastAsia="en-GB"/>
              </w:rPr>
            </w:pPr>
          </w:p>
        </w:tc>
        <w:tc>
          <w:tcPr>
            <w:tcW w:w="1741"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2EB8D620" w14:textId="77777777" w:rsidR="00EA1B48" w:rsidRPr="00A8105E" w:rsidRDefault="00EA1B48" w:rsidP="00EA1B48">
            <w:pPr>
              <w:pStyle w:val="NoSpacing"/>
              <w:spacing w:line="276" w:lineRule="auto"/>
              <w:ind w:right="-1"/>
              <w:jc w:val="center"/>
              <w:rPr>
                <w:rFonts w:ascii="Arial" w:eastAsia="Times New Roman" w:hAnsi="Arial" w:cs="Arial"/>
                <w:sz w:val="16"/>
                <w:szCs w:val="16"/>
                <w:lang w:eastAsia="en-GB"/>
              </w:rPr>
            </w:pPr>
          </w:p>
        </w:tc>
        <w:tc>
          <w:tcPr>
            <w:tcW w:w="1637"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03FB626B" w14:textId="77777777" w:rsidR="00EA1B48" w:rsidRPr="00A8105E" w:rsidRDefault="00EA1B48" w:rsidP="00EA1B48">
            <w:pPr>
              <w:pStyle w:val="NoSpacing"/>
              <w:spacing w:line="276" w:lineRule="auto"/>
              <w:ind w:right="-1"/>
              <w:jc w:val="center"/>
              <w:rPr>
                <w:rFonts w:ascii="Arial" w:eastAsia="Times New Roman" w:hAnsi="Arial" w:cs="Arial"/>
                <w:sz w:val="16"/>
                <w:szCs w:val="16"/>
                <w:lang w:eastAsia="en-GB"/>
              </w:rPr>
            </w:pPr>
          </w:p>
        </w:tc>
        <w:tc>
          <w:tcPr>
            <w:tcW w:w="1561"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5DFB5FB6" w14:textId="77777777" w:rsidR="00EA1B48" w:rsidRPr="00A8105E" w:rsidRDefault="00EA1B48" w:rsidP="00EA1B48">
            <w:pPr>
              <w:pStyle w:val="NoSpacing"/>
              <w:spacing w:line="276" w:lineRule="auto"/>
              <w:ind w:right="-1"/>
              <w:jc w:val="center"/>
              <w:rPr>
                <w:rFonts w:ascii="Arial" w:eastAsia="Times New Roman" w:hAnsi="Arial" w:cs="Arial"/>
                <w:sz w:val="16"/>
                <w:szCs w:val="16"/>
                <w:lang w:eastAsia="en-GB"/>
              </w:rPr>
            </w:pPr>
          </w:p>
        </w:tc>
        <w:tc>
          <w:tcPr>
            <w:tcW w:w="764" w:type="dxa"/>
            <w:tcBorders>
              <w:top w:val="single" w:sz="8" w:space="0" w:color="000000"/>
              <w:left w:val="nil"/>
              <w:bottom w:val="single" w:sz="8" w:space="0" w:color="000000"/>
              <w:right w:val="nil"/>
            </w:tcBorders>
            <w:shd w:val="clear" w:color="auto" w:fill="auto"/>
            <w:tcMar>
              <w:top w:w="15" w:type="dxa"/>
              <w:left w:w="108" w:type="dxa"/>
              <w:bottom w:w="0" w:type="dxa"/>
              <w:right w:w="108" w:type="dxa"/>
            </w:tcMar>
            <w:vAlign w:val="bottom"/>
            <w:hideMark/>
          </w:tcPr>
          <w:p w14:paraId="0F93B5D7" w14:textId="77777777" w:rsidR="00EA1B48" w:rsidRPr="00A8105E" w:rsidRDefault="00EA1B48" w:rsidP="00EA1B48">
            <w:pPr>
              <w:pStyle w:val="NoSpacing"/>
              <w:spacing w:line="276" w:lineRule="auto"/>
              <w:ind w:right="-1"/>
              <w:jc w:val="right"/>
              <w:rPr>
                <w:rFonts w:ascii="Arial" w:eastAsia="Times New Roman" w:hAnsi="Arial" w:cs="Arial"/>
                <w:sz w:val="16"/>
                <w:szCs w:val="16"/>
                <w:lang w:eastAsia="en-GB"/>
              </w:rPr>
            </w:pPr>
            <w:r w:rsidRPr="00A8105E">
              <w:rPr>
                <w:rFonts w:eastAsia="Times New Roman" w:hAnsi="Calibri" w:cs="Calibri"/>
                <w:color w:val="000000" w:themeColor="text1"/>
                <w:kern w:val="24"/>
                <w:sz w:val="16"/>
                <w:szCs w:val="16"/>
                <w:lang w:eastAsia="en-GB"/>
              </w:rPr>
              <w:t> </w:t>
            </w:r>
          </w:p>
        </w:tc>
      </w:tr>
      <w:tr w:rsidR="00EA1B48" w14:paraId="19050D6F" w14:textId="77777777" w:rsidTr="00EA1B48">
        <w:trPr>
          <w:trHeight w:val="184"/>
        </w:trPr>
        <w:tc>
          <w:tcPr>
            <w:tcW w:w="1865" w:type="dxa"/>
            <w:tcBorders>
              <w:top w:val="single" w:sz="8" w:space="0" w:color="000000"/>
              <w:left w:val="nil"/>
              <w:bottom w:val="nil"/>
              <w:right w:val="nil"/>
            </w:tcBorders>
            <w:shd w:val="clear" w:color="auto" w:fill="auto"/>
            <w:tcMar>
              <w:top w:w="15" w:type="dxa"/>
              <w:left w:w="108" w:type="dxa"/>
              <w:bottom w:w="0" w:type="dxa"/>
              <w:right w:w="108" w:type="dxa"/>
            </w:tcMar>
            <w:hideMark/>
          </w:tcPr>
          <w:p w14:paraId="7B299CAE" w14:textId="1B8357BA"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ICU </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066CC57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11 (12.5)</w:t>
            </w:r>
          </w:p>
        </w:tc>
        <w:tc>
          <w:tcPr>
            <w:tcW w:w="174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15E0ECB5"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19 (24.1)</w:t>
            </w:r>
          </w:p>
        </w:tc>
        <w:tc>
          <w:tcPr>
            <w:tcW w:w="1637"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70E59A3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22 (14.4)</w:t>
            </w:r>
          </w:p>
        </w:tc>
        <w:tc>
          <w:tcPr>
            <w:tcW w:w="1561"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335B291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44 (26.2)</w:t>
            </w:r>
          </w:p>
        </w:tc>
        <w:tc>
          <w:tcPr>
            <w:tcW w:w="764" w:type="dxa"/>
            <w:tcBorders>
              <w:top w:val="single" w:sz="8" w:space="0" w:color="000000"/>
              <w:left w:val="nil"/>
              <w:bottom w:val="nil"/>
              <w:right w:val="nil"/>
            </w:tcBorders>
            <w:shd w:val="clear" w:color="auto" w:fill="auto"/>
            <w:tcMar>
              <w:top w:w="15" w:type="dxa"/>
              <w:left w:w="15" w:type="dxa"/>
              <w:bottom w:w="0" w:type="dxa"/>
              <w:right w:w="15" w:type="dxa"/>
            </w:tcMar>
            <w:vAlign w:val="bottom"/>
            <w:hideMark/>
          </w:tcPr>
          <w:p w14:paraId="4B445F33"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0.011</w:t>
            </w:r>
          </w:p>
        </w:tc>
      </w:tr>
      <w:tr w:rsidR="00EA1B48" w14:paraId="71E2BB79"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71E10FFF" w14:textId="7BC9D39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Hospital  </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622F9E13"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17 (19.3)</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57D0233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26 (32.9)</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66E4709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43 (28.1)</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64C028BF"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69 (41.1)</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3AE803B3"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0.003</w:t>
            </w:r>
          </w:p>
        </w:tc>
      </w:tr>
      <w:tr w:rsidR="00EA1B48" w14:paraId="62EC9F0A"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223EFBCF" w14:textId="3DCB24BB"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Day 30 </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654EE892"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16 (18.2)</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1F3D27F8"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24 (30.4)</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0833236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33 (21.6)</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2CE1AC6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61 (36.3)</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68A0265D"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0.004</w:t>
            </w:r>
          </w:p>
        </w:tc>
      </w:tr>
      <w:tr w:rsidR="00EA1B48" w14:paraId="7132DCEA" w14:textId="77777777" w:rsidTr="00EA1B48">
        <w:trPr>
          <w:trHeight w:val="184"/>
        </w:trPr>
        <w:tc>
          <w:tcPr>
            <w:tcW w:w="1865" w:type="dxa"/>
            <w:tcBorders>
              <w:top w:val="nil"/>
              <w:left w:val="nil"/>
              <w:bottom w:val="nil"/>
              <w:right w:val="nil"/>
            </w:tcBorders>
            <w:shd w:val="clear" w:color="auto" w:fill="auto"/>
            <w:tcMar>
              <w:top w:w="15" w:type="dxa"/>
              <w:left w:w="108" w:type="dxa"/>
              <w:bottom w:w="0" w:type="dxa"/>
              <w:right w:w="108" w:type="dxa"/>
            </w:tcMar>
            <w:hideMark/>
          </w:tcPr>
          <w:p w14:paraId="2A9E39FF" w14:textId="61D7FFA1"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Day 60 </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1323ACAD"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22 (25.0)</w:t>
            </w:r>
          </w:p>
        </w:tc>
        <w:tc>
          <w:tcPr>
            <w:tcW w:w="1741" w:type="dxa"/>
            <w:tcBorders>
              <w:top w:val="nil"/>
              <w:left w:val="nil"/>
              <w:bottom w:val="nil"/>
              <w:right w:val="nil"/>
            </w:tcBorders>
            <w:shd w:val="clear" w:color="auto" w:fill="auto"/>
            <w:tcMar>
              <w:top w:w="15" w:type="dxa"/>
              <w:left w:w="15" w:type="dxa"/>
              <w:bottom w:w="0" w:type="dxa"/>
              <w:right w:w="15" w:type="dxa"/>
            </w:tcMar>
            <w:vAlign w:val="bottom"/>
            <w:hideMark/>
          </w:tcPr>
          <w:p w14:paraId="5AA435CC"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27 (34.2)</w:t>
            </w:r>
          </w:p>
        </w:tc>
        <w:tc>
          <w:tcPr>
            <w:tcW w:w="1637" w:type="dxa"/>
            <w:tcBorders>
              <w:top w:val="nil"/>
              <w:left w:val="nil"/>
              <w:bottom w:val="nil"/>
              <w:right w:val="nil"/>
            </w:tcBorders>
            <w:shd w:val="clear" w:color="auto" w:fill="auto"/>
            <w:tcMar>
              <w:top w:w="15" w:type="dxa"/>
              <w:left w:w="15" w:type="dxa"/>
              <w:bottom w:w="0" w:type="dxa"/>
              <w:right w:w="15" w:type="dxa"/>
            </w:tcMar>
            <w:vAlign w:val="bottom"/>
            <w:hideMark/>
          </w:tcPr>
          <w:p w14:paraId="68B0C1D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43 (28.1)</w:t>
            </w:r>
          </w:p>
        </w:tc>
        <w:tc>
          <w:tcPr>
            <w:tcW w:w="1561" w:type="dxa"/>
            <w:tcBorders>
              <w:top w:val="nil"/>
              <w:left w:val="nil"/>
              <w:bottom w:val="nil"/>
              <w:right w:val="nil"/>
            </w:tcBorders>
            <w:shd w:val="clear" w:color="auto" w:fill="auto"/>
            <w:tcMar>
              <w:top w:w="15" w:type="dxa"/>
              <w:left w:w="15" w:type="dxa"/>
              <w:bottom w:w="0" w:type="dxa"/>
              <w:right w:w="15" w:type="dxa"/>
            </w:tcMar>
            <w:vAlign w:val="bottom"/>
            <w:hideMark/>
          </w:tcPr>
          <w:p w14:paraId="6009B3DE"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75 (44.6)</w:t>
            </w:r>
          </w:p>
        </w:tc>
        <w:tc>
          <w:tcPr>
            <w:tcW w:w="764" w:type="dxa"/>
            <w:tcBorders>
              <w:top w:val="nil"/>
              <w:left w:val="nil"/>
              <w:bottom w:val="nil"/>
              <w:right w:val="nil"/>
            </w:tcBorders>
            <w:shd w:val="clear" w:color="auto" w:fill="auto"/>
            <w:tcMar>
              <w:top w:w="15" w:type="dxa"/>
              <w:left w:w="15" w:type="dxa"/>
              <w:bottom w:w="0" w:type="dxa"/>
              <w:right w:w="15" w:type="dxa"/>
            </w:tcMar>
            <w:vAlign w:val="bottom"/>
            <w:hideMark/>
          </w:tcPr>
          <w:p w14:paraId="6F462629"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0.003</w:t>
            </w:r>
          </w:p>
        </w:tc>
      </w:tr>
      <w:tr w:rsidR="00EA1B48" w14:paraId="66705FB9" w14:textId="77777777" w:rsidTr="00EA1B48">
        <w:trPr>
          <w:trHeight w:val="184"/>
        </w:trPr>
        <w:tc>
          <w:tcPr>
            <w:tcW w:w="1865" w:type="dxa"/>
            <w:tcBorders>
              <w:top w:val="nil"/>
              <w:left w:val="nil"/>
              <w:bottom w:val="single" w:sz="4" w:space="0" w:color="auto"/>
              <w:right w:val="nil"/>
            </w:tcBorders>
            <w:shd w:val="clear" w:color="auto" w:fill="auto"/>
            <w:tcMar>
              <w:top w:w="15" w:type="dxa"/>
              <w:left w:w="108" w:type="dxa"/>
              <w:bottom w:w="0" w:type="dxa"/>
              <w:right w:w="108" w:type="dxa"/>
            </w:tcMar>
            <w:hideMark/>
          </w:tcPr>
          <w:p w14:paraId="4751FE1C" w14:textId="02053418" w:rsidR="00EA1B48" w:rsidRPr="00217043" w:rsidRDefault="00EA1B48" w:rsidP="00EA1B48">
            <w:pPr>
              <w:pStyle w:val="NoSpacing"/>
              <w:spacing w:line="276" w:lineRule="auto"/>
              <w:ind w:right="-1"/>
              <w:rPr>
                <w:rFonts w:ascii="Arial" w:eastAsia="Times New Roman" w:hAnsi="Arial" w:cs="Arial"/>
                <w:b/>
                <w:sz w:val="16"/>
                <w:szCs w:val="16"/>
                <w:lang w:eastAsia="en-GB"/>
              </w:rPr>
            </w:pPr>
            <w:r w:rsidRPr="0066082B">
              <w:rPr>
                <w:rFonts w:cstheme="minorHAnsi"/>
                <w:b/>
                <w:sz w:val="16"/>
                <w:szCs w:val="16"/>
              </w:rPr>
              <w:t xml:space="preserve">Day 90 </w:t>
            </w:r>
          </w:p>
        </w:tc>
        <w:tc>
          <w:tcPr>
            <w:tcW w:w="1637"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2F8E50D0"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27 (30.7)</w:t>
            </w:r>
          </w:p>
        </w:tc>
        <w:tc>
          <w:tcPr>
            <w:tcW w:w="1741"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01BF10D6"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31 (39.2)</w:t>
            </w:r>
          </w:p>
        </w:tc>
        <w:tc>
          <w:tcPr>
            <w:tcW w:w="1637"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19F589FB"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49 (32.0)</w:t>
            </w:r>
          </w:p>
        </w:tc>
        <w:tc>
          <w:tcPr>
            <w:tcW w:w="1561"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7BBB2A6A" w14:textId="77777777" w:rsidR="00EA1B48" w:rsidRDefault="00EA1B48" w:rsidP="00EA1B48">
            <w:pPr>
              <w:pStyle w:val="NoSpacing"/>
              <w:spacing w:line="276" w:lineRule="auto"/>
              <w:ind w:right="-1"/>
              <w:jc w:val="center"/>
              <w:rPr>
                <w:rFonts w:ascii="Calibri" w:hAnsi="Calibri"/>
                <w:color w:val="000000"/>
                <w:sz w:val="16"/>
                <w:szCs w:val="16"/>
              </w:rPr>
            </w:pPr>
            <w:r>
              <w:rPr>
                <w:rFonts w:ascii="Calibri" w:hAnsi="Calibri" w:cs="Calibri"/>
                <w:color w:val="000000"/>
                <w:sz w:val="16"/>
                <w:szCs w:val="16"/>
              </w:rPr>
              <w:t>81 (48.2)</w:t>
            </w:r>
          </w:p>
        </w:tc>
        <w:tc>
          <w:tcPr>
            <w:tcW w:w="764" w:type="dxa"/>
            <w:tcBorders>
              <w:top w:val="nil"/>
              <w:left w:val="nil"/>
              <w:bottom w:val="single" w:sz="4" w:space="0" w:color="auto"/>
              <w:right w:val="nil"/>
            </w:tcBorders>
            <w:shd w:val="clear" w:color="auto" w:fill="auto"/>
            <w:tcMar>
              <w:top w:w="15" w:type="dxa"/>
              <w:left w:w="15" w:type="dxa"/>
              <w:bottom w:w="0" w:type="dxa"/>
              <w:right w:w="15" w:type="dxa"/>
            </w:tcMar>
            <w:vAlign w:val="bottom"/>
            <w:hideMark/>
          </w:tcPr>
          <w:p w14:paraId="5657193F" w14:textId="77777777" w:rsidR="00EA1B48" w:rsidRDefault="00EA1B48" w:rsidP="00EA1B48">
            <w:pPr>
              <w:pStyle w:val="NoSpacing"/>
              <w:spacing w:line="276" w:lineRule="auto"/>
              <w:ind w:right="-1"/>
              <w:jc w:val="right"/>
              <w:rPr>
                <w:rFonts w:ascii="Calibri" w:hAnsi="Calibri"/>
                <w:color w:val="000000"/>
                <w:sz w:val="16"/>
                <w:szCs w:val="16"/>
              </w:rPr>
            </w:pPr>
            <w:r>
              <w:rPr>
                <w:rFonts w:ascii="Calibri" w:hAnsi="Calibri" w:cs="Calibri"/>
                <w:color w:val="000000"/>
                <w:sz w:val="16"/>
                <w:szCs w:val="16"/>
              </w:rPr>
              <w:t>0.009</w:t>
            </w:r>
          </w:p>
        </w:tc>
      </w:tr>
      <w:tr w:rsidR="00EA1B48" w:rsidRPr="00D067B4" w14:paraId="3CD65930" w14:textId="77777777" w:rsidTr="00EA1B48">
        <w:trPr>
          <w:trHeight w:val="184"/>
        </w:trPr>
        <w:tc>
          <w:tcPr>
            <w:tcW w:w="9205" w:type="dxa"/>
            <w:gridSpan w:val="6"/>
            <w:tcBorders>
              <w:top w:val="single" w:sz="4" w:space="0" w:color="auto"/>
              <w:left w:val="nil"/>
              <w:right w:val="nil"/>
            </w:tcBorders>
            <w:shd w:val="clear" w:color="auto" w:fill="auto"/>
            <w:tcMar>
              <w:top w:w="15" w:type="dxa"/>
              <w:left w:w="108" w:type="dxa"/>
              <w:bottom w:w="0" w:type="dxa"/>
              <w:right w:w="108" w:type="dxa"/>
            </w:tcMar>
            <w:vAlign w:val="bottom"/>
          </w:tcPr>
          <w:p w14:paraId="69F01A4A" w14:textId="77777777" w:rsidR="00EA1B48" w:rsidRPr="0066082B" w:rsidRDefault="00EA1B48" w:rsidP="00EA1B48">
            <w:pPr>
              <w:spacing w:after="0" w:line="240" w:lineRule="auto"/>
              <w:rPr>
                <w:rFonts w:cstheme="minorHAnsi"/>
                <w:sz w:val="16"/>
                <w:szCs w:val="16"/>
                <w:lang w:val="en-GB"/>
              </w:rPr>
            </w:pPr>
            <w:r w:rsidRPr="0066082B">
              <w:rPr>
                <w:rFonts w:cstheme="minorHAnsi"/>
                <w:sz w:val="16"/>
                <w:szCs w:val="16"/>
                <w:lang w:val="en-GB"/>
              </w:rPr>
              <w:t>Abbreviations: ARDS: acute respiratory distress syndrome, ICU: intensive care.</w:t>
            </w:r>
            <w:r w:rsidRPr="0066082B">
              <w:rPr>
                <w:rFonts w:cstheme="minorHAnsi"/>
                <w:sz w:val="16"/>
                <w:szCs w:val="16"/>
                <w:lang w:val="en-GB"/>
              </w:rPr>
              <w:br/>
              <w:t>* Length of ICU stay was only calculated in those who survived the entire ICU admission</w:t>
            </w:r>
          </w:p>
          <w:p w14:paraId="3F766A3C" w14:textId="3B2D70F5" w:rsidR="00EA1B48" w:rsidRPr="00A762F4" w:rsidRDefault="00EA1B48" w:rsidP="00EA1B48">
            <w:pPr>
              <w:spacing w:line="276" w:lineRule="auto"/>
              <w:ind w:right="-1"/>
              <w:rPr>
                <w:rFonts w:ascii="Calibri" w:hAnsi="Calibri"/>
                <w:color w:val="000000"/>
                <w:sz w:val="16"/>
                <w:szCs w:val="16"/>
                <w:lang w:val="en-US"/>
              </w:rPr>
            </w:pPr>
            <w:r w:rsidRPr="0066082B">
              <w:rPr>
                <w:rFonts w:cstheme="minorHAnsi"/>
                <w:sz w:val="16"/>
                <w:szCs w:val="16"/>
                <w:lang w:val="en-GB"/>
              </w:rPr>
              <w:t>† Length of hospital was only calculated in those who survived the entire hospital admission</w:t>
            </w:r>
          </w:p>
        </w:tc>
      </w:tr>
    </w:tbl>
    <w:p w14:paraId="0AB9A259" w14:textId="77777777" w:rsidR="0066082B" w:rsidRDefault="0066082B" w:rsidP="00E97A75">
      <w:pPr>
        <w:spacing w:after="200" w:line="276" w:lineRule="auto"/>
        <w:ind w:right="-568"/>
        <w:rPr>
          <w:rFonts w:cstheme="minorHAnsi"/>
          <w:color w:val="1F497D" w:themeColor="text2"/>
          <w:sz w:val="18"/>
          <w:szCs w:val="18"/>
          <w:lang w:val="en-GB"/>
        </w:rPr>
      </w:pPr>
    </w:p>
    <w:p w14:paraId="68EBF7F1" w14:textId="1BA0A839" w:rsidR="00860564" w:rsidRPr="00CC5848" w:rsidRDefault="00355DCD" w:rsidP="00860564">
      <w:pPr>
        <w:spacing w:after="200" w:line="276" w:lineRule="auto"/>
        <w:rPr>
          <w:rFonts w:eastAsia="Times New Roman"/>
          <w:lang w:val="en-GB" w:eastAsia="en-GB"/>
        </w:rPr>
      </w:pPr>
      <w:bookmarkStart w:id="57" w:name="_Toc90890586"/>
      <w:r>
        <w:rPr>
          <w:rFonts w:eastAsia="Times New Roman"/>
          <w:lang w:val="en-GB" w:eastAsia="en-GB"/>
        </w:rPr>
        <w:br w:type="page"/>
      </w:r>
    </w:p>
    <w:p w14:paraId="2A75B534" w14:textId="77777777" w:rsidR="00145E0E" w:rsidRPr="00145E0E" w:rsidRDefault="00145E0E" w:rsidP="00355DCD">
      <w:pPr>
        <w:spacing w:after="200" w:line="276" w:lineRule="auto"/>
        <w:rPr>
          <w:rFonts w:eastAsia="Times New Roman"/>
          <w:lang w:val="en-GB" w:eastAsia="en-GB"/>
        </w:rPr>
      </w:pPr>
    </w:p>
    <w:p w14:paraId="53B82B40" w14:textId="6C6D5252" w:rsidR="0096568F" w:rsidRPr="006F79A7" w:rsidRDefault="0096568F" w:rsidP="00EB0D35">
      <w:pPr>
        <w:pStyle w:val="Heading2"/>
        <w:numPr>
          <w:ilvl w:val="0"/>
          <w:numId w:val="2"/>
        </w:numPr>
        <w:spacing w:line="480" w:lineRule="auto"/>
        <w:ind w:right="-568"/>
        <w:rPr>
          <w:sz w:val="24"/>
          <w:szCs w:val="24"/>
          <w:lang w:val="en-US"/>
        </w:rPr>
      </w:pPr>
      <w:bookmarkStart w:id="58" w:name="_Toc115709544"/>
      <w:r w:rsidRPr="006F79A7">
        <w:rPr>
          <w:sz w:val="24"/>
          <w:szCs w:val="24"/>
          <w:lang w:val="en-US"/>
        </w:rPr>
        <w:t>References</w:t>
      </w:r>
      <w:bookmarkEnd w:id="57"/>
      <w:bookmarkEnd w:id="58"/>
    </w:p>
    <w:p w14:paraId="052BEFC6" w14:textId="76400027" w:rsidR="006A4CA2" w:rsidRPr="004C24AC" w:rsidRDefault="0096568F" w:rsidP="006A4CA2">
      <w:pPr>
        <w:widowControl w:val="0"/>
        <w:autoSpaceDE w:val="0"/>
        <w:autoSpaceDN w:val="0"/>
        <w:adjustRightInd w:val="0"/>
        <w:spacing w:line="480" w:lineRule="auto"/>
        <w:rPr>
          <w:rFonts w:ascii="Calibri" w:hAnsi="Calibri" w:cs="Calibri"/>
          <w:noProof/>
          <w:sz w:val="24"/>
          <w:szCs w:val="24"/>
          <w:lang w:val="en-GB"/>
        </w:rPr>
      </w:pPr>
      <w:r w:rsidRPr="006F79A7">
        <w:rPr>
          <w:sz w:val="24"/>
          <w:szCs w:val="24"/>
          <w:lang w:val="en-US"/>
        </w:rPr>
        <w:fldChar w:fldCharType="begin" w:fldLock="1"/>
      </w:r>
      <w:r w:rsidRPr="006F79A7">
        <w:rPr>
          <w:sz w:val="24"/>
          <w:szCs w:val="24"/>
          <w:lang w:val="en-US"/>
        </w:rPr>
        <w:instrText xml:space="preserve">ADDIN Mendeley Bibliography CSL_BIBLIOGRAPHY </w:instrText>
      </w:r>
      <w:r w:rsidRPr="006F79A7">
        <w:rPr>
          <w:sz w:val="24"/>
          <w:szCs w:val="24"/>
          <w:lang w:val="en-US"/>
        </w:rPr>
        <w:fldChar w:fldCharType="separate"/>
      </w:r>
      <w:r w:rsidR="006A4CA2" w:rsidRPr="004C24AC">
        <w:rPr>
          <w:rFonts w:ascii="Calibri" w:hAnsi="Calibri" w:cs="Calibri"/>
          <w:noProof/>
          <w:sz w:val="24"/>
          <w:szCs w:val="24"/>
          <w:lang w:val="en-GB"/>
        </w:rPr>
        <w:t xml:space="preserve">1. Charlson ME, Pompei P, Ales KL, MacKenzie CR. A new method of classifying prognostic comorbidity in longitudinal studies:  development and validation. J Chronic Dis. England; 1987;40:373–83. </w:t>
      </w:r>
    </w:p>
    <w:p w14:paraId="019A224D"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 xml:space="preserve">2. Bellomo R, Ronco C, Kellum JA, Mehta RL, Palevsky P. Acute renal failure - definition, outcome measures, animal models, fluid therapy and  information technology needs: the Second International Consensus Conference of the Acute Dialysis Quality Initiative (ADQI) Group. Crit Care. 2004;8:R204-12. </w:t>
      </w:r>
    </w:p>
    <w:p w14:paraId="11228D43" w14:textId="77777777" w:rsidR="006A4CA2" w:rsidRPr="006A4CA2" w:rsidRDefault="006A4CA2" w:rsidP="006A4CA2">
      <w:pPr>
        <w:widowControl w:val="0"/>
        <w:autoSpaceDE w:val="0"/>
        <w:autoSpaceDN w:val="0"/>
        <w:adjustRightInd w:val="0"/>
        <w:spacing w:line="480" w:lineRule="auto"/>
        <w:rPr>
          <w:rFonts w:ascii="Calibri" w:hAnsi="Calibri" w:cs="Calibri"/>
          <w:noProof/>
          <w:sz w:val="24"/>
          <w:szCs w:val="24"/>
        </w:rPr>
      </w:pPr>
      <w:r w:rsidRPr="004C24AC">
        <w:rPr>
          <w:rFonts w:ascii="Calibri" w:hAnsi="Calibri" w:cs="Calibri"/>
          <w:noProof/>
          <w:sz w:val="24"/>
          <w:szCs w:val="24"/>
          <w:lang w:val="en-GB"/>
        </w:rPr>
        <w:t xml:space="preserve">3. Bernard GR, Artigas A, Brigham KL, Carlet J, Falke K, Hudson L, et al. The American-European Consensus Conference on ARDS. Definitions, mechanisms, relevant outcomes, and clinical trial coordination. Am J Respir Crit Care Med [Internet]. American Thoracic Society - AJRCCM; 1994;149:818–24. </w:t>
      </w:r>
      <w:r w:rsidRPr="006A4CA2">
        <w:rPr>
          <w:rFonts w:ascii="Calibri" w:hAnsi="Calibri" w:cs="Calibri"/>
          <w:noProof/>
          <w:sz w:val="24"/>
          <w:szCs w:val="24"/>
        </w:rPr>
        <w:t>Available from: https://doi.org/10.1164/ajrccm.149.3.7509706</w:t>
      </w:r>
    </w:p>
    <w:p w14:paraId="7591FA09"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6A4CA2">
        <w:rPr>
          <w:rFonts w:ascii="Calibri" w:hAnsi="Calibri" w:cs="Calibri"/>
          <w:noProof/>
          <w:sz w:val="24"/>
          <w:szCs w:val="24"/>
        </w:rPr>
        <w:t xml:space="preserve">4. Klein Klouwenberg PMC, Ong DSY, Bos LDJ, de Beer FM, van Hooijdonk RTM, Huson MA, et al. </w:t>
      </w:r>
      <w:r w:rsidRPr="004C24AC">
        <w:rPr>
          <w:rFonts w:ascii="Calibri" w:hAnsi="Calibri" w:cs="Calibri"/>
          <w:noProof/>
          <w:sz w:val="24"/>
          <w:szCs w:val="24"/>
          <w:lang w:val="en-GB"/>
        </w:rPr>
        <w:t xml:space="preserve">Interobserver agreement of Centers for Disease Control and Prevention criteria for  classifying infections in critically ill patients. Crit Care Med. United States; 2013;41:2373–8. </w:t>
      </w:r>
    </w:p>
    <w:p w14:paraId="7C322789"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5. Scicluna BP, Klein Klouwenberg PMC, van Vught LA, Wiewel MA, Ong DSY, Zwinderman AH, et al. A Molecular Biomarker to Diagnose Community-acquired Pneumonia on Intensive Care Unit Admission. Am J Respir Crit Care Med [Internet]. American Thoracic Society - AJRCCM; 2015;192:826–35. Available from: https://doi.org/10.1164/rccm.201502-0355OC</w:t>
      </w:r>
    </w:p>
    <w:p w14:paraId="2B23A988"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 xml:space="preserve">6. Martin GS, Mannino DM, Moss M. The effect of age on the development and outcome of adult sepsis. Crit Care Med. United States; 2006;34:15–21. </w:t>
      </w:r>
    </w:p>
    <w:p w14:paraId="122B9C81"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lastRenderedPageBreak/>
        <w:t xml:space="preserve">7. Pierrakos C, Velissaris D, Bisdorff M, Marshall JC, Vincent J-L. Biomarkers of sepsis: time for a reappraisal. Crit Care. 2020;24:287. </w:t>
      </w:r>
    </w:p>
    <w:p w14:paraId="2E1FA907"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8. Tingley D, Yamamoto T, Hirose K, Keele L, Imai K. mediation: R Package for Causal Mediation Analysis. J Stat Softw [Internet]. 2014;59:1–38. Available from: https://www.jstatsoft.org/index.php/jss/article/view/v059i05</w:t>
      </w:r>
    </w:p>
    <w:p w14:paraId="0FA432CF"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6A4CA2">
        <w:rPr>
          <w:rFonts w:ascii="Calibri" w:hAnsi="Calibri" w:cs="Calibri"/>
          <w:noProof/>
          <w:sz w:val="24"/>
          <w:szCs w:val="24"/>
        </w:rPr>
        <w:t xml:space="preserve">9. Davenport EE, Burnham KL, Radhakrishnan J, Humburg P, Hutton P, Mills TC, et al. </w:t>
      </w:r>
      <w:r w:rsidRPr="004C24AC">
        <w:rPr>
          <w:rFonts w:ascii="Calibri" w:hAnsi="Calibri" w:cs="Calibri"/>
          <w:noProof/>
          <w:sz w:val="24"/>
          <w:szCs w:val="24"/>
          <w:lang w:val="en-GB"/>
        </w:rPr>
        <w:t xml:space="preserve">Genomic landscape of the individual host response and outcomes in sepsis: a  prospective cohort study. Lancet Respir Med. 2016;4:259–71. </w:t>
      </w:r>
    </w:p>
    <w:p w14:paraId="293DEAB2"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10. Langfelder P, Horvath S. WGCNA: an R package for weighted correlation network analysis. BMC Bioinformatics [Internet]. 2008;9:559. Available from: https://doi.org/10.1186/1471-2105-9-559</w:t>
      </w:r>
    </w:p>
    <w:p w14:paraId="47616AAE"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11. Li Z, Li Y, Wang X, Yang Q. PPP2R2B downregulation is associated with immune evasion and predicts poor clinical outcomes in triple-negative breast cancer. Cancer Cell Int [Internet]. 2021;21:13. Available from: https://doi.org/10.1186/s12935-020-01707-9</w:t>
      </w:r>
    </w:p>
    <w:p w14:paraId="7F468201"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12. Horvath S, Dong J. Geometric Interpretation of Gene Coexpression Network Analysis. PLOS Comput Biol [Internet]. Public Library of Science; 2008;4:e1000117. Available from: https://doi.org/10.1371/journal.pcbi.1000117</w:t>
      </w:r>
    </w:p>
    <w:p w14:paraId="4EF656AD"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13. Lou Y, Tian G-Y, Song Y, Liu Y-L, Chen Y-D, Shi J-P, et al. Characterization of transcriptional modules related to fibrosing-NAFLD progression. Sci Rep [Internet]. 2017;7:4748. Available from: https://doi.org/10.1038/s41598-017-05044-2</w:t>
      </w:r>
    </w:p>
    <w:p w14:paraId="5B67FD7E"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 xml:space="preserve">14. Raudvere U, Kolberg L, Kuzmin I, Arak T, Adler P, Peterson H, et al. g:Profiler: a web </w:t>
      </w:r>
      <w:r w:rsidRPr="004C24AC">
        <w:rPr>
          <w:rFonts w:ascii="Calibri" w:hAnsi="Calibri" w:cs="Calibri"/>
          <w:noProof/>
          <w:sz w:val="24"/>
          <w:szCs w:val="24"/>
          <w:lang w:val="en-GB"/>
        </w:rPr>
        <w:lastRenderedPageBreak/>
        <w:t xml:space="preserve">server for functional enrichment analysis and conversions of  gene lists (2019 update). Nucleic Acids Res. 2019;47:W191–8. </w:t>
      </w:r>
    </w:p>
    <w:p w14:paraId="3F74B206"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15. Consortium GO. The Gene Ontology (GO) database and informatics resource. Nucleic Acids Res [Internet]. 2004;32:D258–61. Available from: https://doi.org/10.1093/nar/gkh036</w:t>
      </w:r>
    </w:p>
    <w:p w14:paraId="7ADE758E"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16. Jassal B, Matthews L, Viteri G, Gong C, Lorente P, Fabregat A, et al. The reactome pathway knowledgebase. Nucleic Acids Res [Internet]. Oxford University Press; 2020;48:D498–503. Available from: https://pubmed.ncbi.nlm.nih.gov/31691815</w:t>
      </w:r>
    </w:p>
    <w:p w14:paraId="4350BF92" w14:textId="77777777" w:rsidR="006A4CA2" w:rsidRPr="004C24AC" w:rsidRDefault="006A4CA2" w:rsidP="006A4CA2">
      <w:pPr>
        <w:widowControl w:val="0"/>
        <w:autoSpaceDE w:val="0"/>
        <w:autoSpaceDN w:val="0"/>
        <w:adjustRightInd w:val="0"/>
        <w:spacing w:line="480" w:lineRule="auto"/>
        <w:rPr>
          <w:rFonts w:ascii="Calibri" w:hAnsi="Calibri" w:cs="Calibri"/>
          <w:noProof/>
          <w:sz w:val="24"/>
          <w:szCs w:val="24"/>
          <w:lang w:val="en-GB"/>
        </w:rPr>
      </w:pPr>
      <w:r w:rsidRPr="004C24AC">
        <w:rPr>
          <w:rFonts w:ascii="Calibri" w:hAnsi="Calibri" w:cs="Calibri"/>
          <w:noProof/>
          <w:sz w:val="24"/>
          <w:szCs w:val="24"/>
          <w:lang w:val="en-GB"/>
        </w:rPr>
        <w:t>17. Chin C-H, Chen S-H, Wu H-H, Ho C-W, Ko M-T, Lin C-Y. cytoHubba: identifying hub objects and sub-networks from complex interactome. BMC Syst Biol [Internet]. 2014;8:S11. Available from: https://doi.org/10.1186/1752-0509-8-S4-S11</w:t>
      </w:r>
    </w:p>
    <w:p w14:paraId="0BD22EF7" w14:textId="77777777" w:rsidR="006A4CA2" w:rsidRPr="006A4CA2" w:rsidRDefault="006A4CA2" w:rsidP="006A4CA2">
      <w:pPr>
        <w:widowControl w:val="0"/>
        <w:autoSpaceDE w:val="0"/>
        <w:autoSpaceDN w:val="0"/>
        <w:adjustRightInd w:val="0"/>
        <w:spacing w:line="480" w:lineRule="auto"/>
        <w:rPr>
          <w:rFonts w:ascii="Calibri" w:hAnsi="Calibri" w:cs="Calibri"/>
          <w:noProof/>
          <w:sz w:val="24"/>
        </w:rPr>
      </w:pPr>
      <w:r w:rsidRPr="006A4CA2">
        <w:rPr>
          <w:rFonts w:ascii="Calibri" w:hAnsi="Calibri" w:cs="Calibri"/>
          <w:noProof/>
          <w:sz w:val="24"/>
          <w:szCs w:val="24"/>
        </w:rPr>
        <w:t xml:space="preserve">18. Hofman A, Breteler MMB, van Duijn CM, Krestin GP, Pols HA, Stricker BHC, et al. </w:t>
      </w:r>
      <w:r w:rsidRPr="004C24AC">
        <w:rPr>
          <w:rFonts w:ascii="Calibri" w:hAnsi="Calibri" w:cs="Calibri"/>
          <w:noProof/>
          <w:sz w:val="24"/>
          <w:szCs w:val="24"/>
          <w:lang w:val="en-GB"/>
        </w:rPr>
        <w:t xml:space="preserve">The Rotterdam Study: objectives and design update. Eur J Epidemiol. </w:t>
      </w:r>
      <w:r w:rsidRPr="006A4CA2">
        <w:rPr>
          <w:rFonts w:ascii="Calibri" w:hAnsi="Calibri" w:cs="Calibri"/>
          <w:noProof/>
          <w:sz w:val="24"/>
          <w:szCs w:val="24"/>
        </w:rPr>
        <w:t xml:space="preserve">2007/10/23. Springer Netherlands; 2007;22:819–29. </w:t>
      </w:r>
    </w:p>
    <w:p w14:paraId="66A0E461" w14:textId="6F2E532E" w:rsidR="0096568F" w:rsidRPr="0096568F" w:rsidRDefault="0096568F" w:rsidP="00E97A75">
      <w:pPr>
        <w:spacing w:line="480" w:lineRule="auto"/>
        <w:ind w:right="-568"/>
        <w:rPr>
          <w:lang w:val="en-US"/>
        </w:rPr>
      </w:pPr>
      <w:r w:rsidRPr="006F79A7">
        <w:rPr>
          <w:sz w:val="24"/>
          <w:szCs w:val="24"/>
          <w:lang w:val="en-US"/>
        </w:rPr>
        <w:fldChar w:fldCharType="end"/>
      </w:r>
    </w:p>
    <w:p w14:paraId="233F567D" w14:textId="77777777" w:rsidR="0096568F" w:rsidRPr="0096568F" w:rsidRDefault="0096568F" w:rsidP="00E97A75">
      <w:pPr>
        <w:spacing w:line="480" w:lineRule="auto"/>
        <w:ind w:right="-568"/>
        <w:rPr>
          <w:lang w:val="en-US"/>
        </w:rPr>
      </w:pPr>
    </w:p>
    <w:p w14:paraId="23E39709" w14:textId="77777777" w:rsidR="0096568F" w:rsidRDefault="0096568F" w:rsidP="00E97A75">
      <w:pPr>
        <w:spacing w:after="200" w:line="480" w:lineRule="auto"/>
        <w:ind w:right="-568"/>
        <w:rPr>
          <w:rFonts w:cstheme="minorHAnsi"/>
          <w:lang w:val="en-US"/>
        </w:rPr>
      </w:pPr>
    </w:p>
    <w:p w14:paraId="7464AA2F" w14:textId="17589BA0" w:rsidR="00F97109" w:rsidRPr="00A42B1A" w:rsidRDefault="00F97109" w:rsidP="00E97A75">
      <w:pPr>
        <w:spacing w:after="200" w:line="480" w:lineRule="auto"/>
        <w:ind w:right="-568"/>
        <w:rPr>
          <w:rFonts w:eastAsiaTheme="minorEastAsia" w:cstheme="minorHAnsi"/>
          <w:color w:val="000000" w:themeColor="text1"/>
          <w:kern w:val="24"/>
          <w:sz w:val="16"/>
          <w:szCs w:val="16"/>
          <w:lang w:val="en-US" w:eastAsia="en-GB"/>
        </w:rPr>
      </w:pPr>
    </w:p>
    <w:sectPr w:rsidR="00F97109" w:rsidRPr="00A42B1A" w:rsidSect="006F79A7">
      <w:footerReference w:type="default" r:id="rId8"/>
      <w:pgSz w:w="11906" w:h="16838"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C17A0A3" w14:textId="77777777" w:rsidR="00EA1B48" w:rsidRDefault="00EA1B48" w:rsidP="00552648">
      <w:pPr>
        <w:spacing w:after="0" w:line="240" w:lineRule="auto"/>
      </w:pPr>
      <w:r>
        <w:separator/>
      </w:r>
    </w:p>
  </w:endnote>
  <w:endnote w:type="continuationSeparator" w:id="0">
    <w:p w14:paraId="6F23DD84" w14:textId="77777777" w:rsidR="00EA1B48" w:rsidRDefault="00EA1B48" w:rsidP="00552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785212"/>
      <w:docPartObj>
        <w:docPartGallery w:val="Page Numbers (Bottom of Page)"/>
        <w:docPartUnique/>
      </w:docPartObj>
    </w:sdtPr>
    <w:sdtEndPr>
      <w:rPr>
        <w:noProof/>
      </w:rPr>
    </w:sdtEndPr>
    <w:sdtContent>
      <w:p w14:paraId="344C8B7F" w14:textId="487A4D83" w:rsidR="00EA1B48" w:rsidRDefault="00EA1B48">
        <w:pPr>
          <w:pStyle w:val="Footer"/>
          <w:jc w:val="right"/>
        </w:pPr>
        <w:r>
          <w:fldChar w:fldCharType="begin"/>
        </w:r>
        <w:r>
          <w:instrText xml:space="preserve"> PAGE   \* MERGEFORMAT </w:instrText>
        </w:r>
        <w:r>
          <w:fldChar w:fldCharType="separate"/>
        </w:r>
        <w:r w:rsidR="00D067B4">
          <w:rPr>
            <w:noProof/>
          </w:rPr>
          <w:t>6</w:t>
        </w:r>
        <w:r>
          <w:rPr>
            <w:noProof/>
          </w:rPr>
          <w:fldChar w:fldCharType="end"/>
        </w:r>
      </w:p>
    </w:sdtContent>
  </w:sdt>
  <w:p w14:paraId="08B7DDF1" w14:textId="77777777" w:rsidR="00EA1B48" w:rsidRDefault="00EA1B48">
    <w:pPr>
      <w:pStyle w:val="Footer"/>
    </w:pPr>
  </w:p>
  <w:p w14:paraId="64260354" w14:textId="77777777" w:rsidR="00EA1B48" w:rsidRDefault="00EA1B48"/>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7A5D7A" w14:textId="77777777" w:rsidR="00EA1B48" w:rsidRDefault="00EA1B48" w:rsidP="00552648">
      <w:pPr>
        <w:spacing w:after="0" w:line="240" w:lineRule="auto"/>
      </w:pPr>
      <w:r>
        <w:separator/>
      </w:r>
    </w:p>
  </w:footnote>
  <w:footnote w:type="continuationSeparator" w:id="0">
    <w:p w14:paraId="0EE47F20" w14:textId="77777777" w:rsidR="00EA1B48" w:rsidRDefault="00EA1B48" w:rsidP="005526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4E424D"/>
    <w:multiLevelType w:val="hybridMultilevel"/>
    <w:tmpl w:val="E90AA3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B3037B9"/>
    <w:multiLevelType w:val="hybridMultilevel"/>
    <w:tmpl w:val="85069956"/>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310452B"/>
    <w:multiLevelType w:val="multilevel"/>
    <w:tmpl w:val="999C6590"/>
    <w:lvl w:ilvl="0">
      <w:start w:val="1"/>
      <w:numFmt w:val="decimal"/>
      <w:lvlText w:val="%1."/>
      <w:lvlJc w:val="left"/>
      <w:pPr>
        <w:ind w:left="360" w:hanging="360"/>
      </w:pPr>
      <w:rPr>
        <w:rFonts w:hint="default"/>
      </w:rPr>
    </w:lvl>
    <w:lvl w:ilvl="1">
      <w:start w:val="1"/>
      <w:numFmt w:val="decimal"/>
      <w:isLgl/>
      <w:lvlText w:val="%1.%2"/>
      <w:lvlJc w:val="left"/>
      <w:pPr>
        <w:ind w:left="375" w:hanging="37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 w15:restartNumberingAfterBreak="0">
    <w:nsid w:val="237F6508"/>
    <w:multiLevelType w:val="hybridMultilevel"/>
    <w:tmpl w:val="6A04A494"/>
    <w:lvl w:ilvl="0" w:tplc="0EA06C70">
      <w:start w:val="261"/>
      <w:numFmt w:val="bullet"/>
      <w:lvlText w:val="-"/>
      <w:lvlJc w:val="left"/>
      <w:pPr>
        <w:ind w:left="720" w:hanging="360"/>
      </w:pPr>
      <w:rPr>
        <w:rFonts w:ascii="Cambria" w:eastAsiaTheme="majorEastAsia" w:hAnsi="Cambria" w:cstheme="majorBidi" w:hint="default"/>
        <w:color w:val="365F91" w:themeColor="accent1" w:themeShade="BF"/>
        <w:sz w:val="3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E4D5830"/>
    <w:multiLevelType w:val="hybridMultilevel"/>
    <w:tmpl w:val="B4F6D130"/>
    <w:lvl w:ilvl="0" w:tplc="E3528646">
      <w:start w:val="16"/>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3EF74DF6"/>
    <w:multiLevelType w:val="hybridMultilevel"/>
    <w:tmpl w:val="F2CAC660"/>
    <w:lvl w:ilvl="0" w:tplc="48D2F52A">
      <w:start w:val="16"/>
      <w:numFmt w:val="bullet"/>
      <w:lvlText w:val=""/>
      <w:lvlJc w:val="left"/>
      <w:pPr>
        <w:ind w:left="360" w:hanging="360"/>
      </w:pPr>
      <w:rPr>
        <w:rFonts w:ascii="Symbol" w:eastAsiaTheme="minorHAnsi" w:hAnsi="Symbol"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465F7C9D"/>
    <w:multiLevelType w:val="multilevel"/>
    <w:tmpl w:val="DB34D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987757B"/>
    <w:multiLevelType w:val="hybridMultilevel"/>
    <w:tmpl w:val="ABD0D0C0"/>
    <w:lvl w:ilvl="0" w:tplc="3912D652">
      <w:start w:val="1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FD5553F"/>
    <w:multiLevelType w:val="hybridMultilevel"/>
    <w:tmpl w:val="DC00A034"/>
    <w:lvl w:ilvl="0" w:tplc="F97EF7CC">
      <w:start w:val="1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CE336F7"/>
    <w:multiLevelType w:val="hybridMultilevel"/>
    <w:tmpl w:val="8ABE3AEA"/>
    <w:lvl w:ilvl="0" w:tplc="9C224A36">
      <w:start w:val="1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8"/>
  </w:num>
  <w:num w:numId="4">
    <w:abstractNumId w:val="9"/>
  </w:num>
  <w:num w:numId="5">
    <w:abstractNumId w:val="4"/>
  </w:num>
  <w:num w:numId="6">
    <w:abstractNumId w:val="5"/>
  </w:num>
  <w:num w:numId="7">
    <w:abstractNumId w:val="3"/>
  </w:num>
  <w:num w:numId="8">
    <w:abstractNumId w:val="6"/>
  </w:num>
  <w:num w:numId="9">
    <w:abstractNumId w:val="1"/>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zU3tjQzMzSwNLE0NDRQ0lEKTi0uzszPAykwNawFAAbAEmgtAAAA"/>
  </w:docVars>
  <w:rsids>
    <w:rsidRoot w:val="00610B6B"/>
    <w:rsid w:val="000011E8"/>
    <w:rsid w:val="00003B39"/>
    <w:rsid w:val="00013BD9"/>
    <w:rsid w:val="000206A4"/>
    <w:rsid w:val="00021D7E"/>
    <w:rsid w:val="000305D5"/>
    <w:rsid w:val="000408A6"/>
    <w:rsid w:val="000411E5"/>
    <w:rsid w:val="0004607D"/>
    <w:rsid w:val="0004720F"/>
    <w:rsid w:val="00050E0C"/>
    <w:rsid w:val="000574D2"/>
    <w:rsid w:val="00064368"/>
    <w:rsid w:val="00071292"/>
    <w:rsid w:val="00085DC2"/>
    <w:rsid w:val="000957F4"/>
    <w:rsid w:val="000B304D"/>
    <w:rsid w:val="000B4A6D"/>
    <w:rsid w:val="000B60F5"/>
    <w:rsid w:val="000C2BAE"/>
    <w:rsid w:val="000D20C0"/>
    <w:rsid w:val="000D3ABE"/>
    <w:rsid w:val="000E29DB"/>
    <w:rsid w:val="000E44A6"/>
    <w:rsid w:val="0012464A"/>
    <w:rsid w:val="00133200"/>
    <w:rsid w:val="00141019"/>
    <w:rsid w:val="001442A3"/>
    <w:rsid w:val="00145E0E"/>
    <w:rsid w:val="0015007D"/>
    <w:rsid w:val="00150E77"/>
    <w:rsid w:val="00161458"/>
    <w:rsid w:val="0016344D"/>
    <w:rsid w:val="00165D09"/>
    <w:rsid w:val="00176BD1"/>
    <w:rsid w:val="00186279"/>
    <w:rsid w:val="0019112D"/>
    <w:rsid w:val="00194D6E"/>
    <w:rsid w:val="0019794B"/>
    <w:rsid w:val="001B0952"/>
    <w:rsid w:val="001C1BDF"/>
    <w:rsid w:val="001C3945"/>
    <w:rsid w:val="001E29C1"/>
    <w:rsid w:val="0020077B"/>
    <w:rsid w:val="002046E9"/>
    <w:rsid w:val="00213A49"/>
    <w:rsid w:val="00217043"/>
    <w:rsid w:val="00233A56"/>
    <w:rsid w:val="00234831"/>
    <w:rsid w:val="00244C96"/>
    <w:rsid w:val="00246751"/>
    <w:rsid w:val="00257547"/>
    <w:rsid w:val="00273173"/>
    <w:rsid w:val="0028104E"/>
    <w:rsid w:val="002821C7"/>
    <w:rsid w:val="00283B91"/>
    <w:rsid w:val="00285083"/>
    <w:rsid w:val="002862C0"/>
    <w:rsid w:val="00286911"/>
    <w:rsid w:val="00296C5C"/>
    <w:rsid w:val="00297171"/>
    <w:rsid w:val="002A460D"/>
    <w:rsid w:val="002A7461"/>
    <w:rsid w:val="002B087C"/>
    <w:rsid w:val="002D5A33"/>
    <w:rsid w:val="002E0036"/>
    <w:rsid w:val="00325037"/>
    <w:rsid w:val="0032646A"/>
    <w:rsid w:val="003301E6"/>
    <w:rsid w:val="003308B1"/>
    <w:rsid w:val="0034507A"/>
    <w:rsid w:val="00350C02"/>
    <w:rsid w:val="00355DCD"/>
    <w:rsid w:val="00361F88"/>
    <w:rsid w:val="00364760"/>
    <w:rsid w:val="0036756B"/>
    <w:rsid w:val="003678FC"/>
    <w:rsid w:val="00367B0F"/>
    <w:rsid w:val="00367F86"/>
    <w:rsid w:val="00371683"/>
    <w:rsid w:val="00373ADF"/>
    <w:rsid w:val="00380A3F"/>
    <w:rsid w:val="00382543"/>
    <w:rsid w:val="003864D3"/>
    <w:rsid w:val="00386C10"/>
    <w:rsid w:val="0039058A"/>
    <w:rsid w:val="003912E2"/>
    <w:rsid w:val="0039204B"/>
    <w:rsid w:val="00397CD0"/>
    <w:rsid w:val="003A2A6B"/>
    <w:rsid w:val="003B2D3B"/>
    <w:rsid w:val="003B4253"/>
    <w:rsid w:val="003C1701"/>
    <w:rsid w:val="003C57C2"/>
    <w:rsid w:val="003C7CE8"/>
    <w:rsid w:val="003D6805"/>
    <w:rsid w:val="003E01F3"/>
    <w:rsid w:val="003E3A9C"/>
    <w:rsid w:val="003F0068"/>
    <w:rsid w:val="0041681A"/>
    <w:rsid w:val="00420851"/>
    <w:rsid w:val="00430DAD"/>
    <w:rsid w:val="00433376"/>
    <w:rsid w:val="00444531"/>
    <w:rsid w:val="0044507F"/>
    <w:rsid w:val="00447990"/>
    <w:rsid w:val="00452ABB"/>
    <w:rsid w:val="0047428B"/>
    <w:rsid w:val="00486045"/>
    <w:rsid w:val="004B5662"/>
    <w:rsid w:val="004C24AC"/>
    <w:rsid w:val="004C6266"/>
    <w:rsid w:val="004C6C88"/>
    <w:rsid w:val="004C7AE3"/>
    <w:rsid w:val="004D725A"/>
    <w:rsid w:val="004F0EC3"/>
    <w:rsid w:val="004F208A"/>
    <w:rsid w:val="004F3354"/>
    <w:rsid w:val="005015D8"/>
    <w:rsid w:val="0050717F"/>
    <w:rsid w:val="00514F45"/>
    <w:rsid w:val="005224E8"/>
    <w:rsid w:val="0052268A"/>
    <w:rsid w:val="00526000"/>
    <w:rsid w:val="00532679"/>
    <w:rsid w:val="00534B61"/>
    <w:rsid w:val="00542DAC"/>
    <w:rsid w:val="00545779"/>
    <w:rsid w:val="0055249C"/>
    <w:rsid w:val="00552648"/>
    <w:rsid w:val="00552D00"/>
    <w:rsid w:val="005567A6"/>
    <w:rsid w:val="00556EB2"/>
    <w:rsid w:val="00581D6B"/>
    <w:rsid w:val="00596621"/>
    <w:rsid w:val="00596B70"/>
    <w:rsid w:val="005A3634"/>
    <w:rsid w:val="005C0F4C"/>
    <w:rsid w:val="005C1D31"/>
    <w:rsid w:val="005D28D6"/>
    <w:rsid w:val="005D5D6B"/>
    <w:rsid w:val="005D65DF"/>
    <w:rsid w:val="005E189A"/>
    <w:rsid w:val="005E21EE"/>
    <w:rsid w:val="005F23CF"/>
    <w:rsid w:val="00610B6B"/>
    <w:rsid w:val="006166AC"/>
    <w:rsid w:val="0062305C"/>
    <w:rsid w:val="00623AE2"/>
    <w:rsid w:val="00635238"/>
    <w:rsid w:val="0063568A"/>
    <w:rsid w:val="00645797"/>
    <w:rsid w:val="00645BAD"/>
    <w:rsid w:val="006504C3"/>
    <w:rsid w:val="00650988"/>
    <w:rsid w:val="00654F23"/>
    <w:rsid w:val="0066082B"/>
    <w:rsid w:val="00674905"/>
    <w:rsid w:val="0068092D"/>
    <w:rsid w:val="0068115D"/>
    <w:rsid w:val="00681399"/>
    <w:rsid w:val="006853DF"/>
    <w:rsid w:val="00685BB9"/>
    <w:rsid w:val="00694688"/>
    <w:rsid w:val="006A4CA2"/>
    <w:rsid w:val="006B589A"/>
    <w:rsid w:val="006B5D8F"/>
    <w:rsid w:val="006B7728"/>
    <w:rsid w:val="006D35EC"/>
    <w:rsid w:val="006D3B0B"/>
    <w:rsid w:val="006F79A7"/>
    <w:rsid w:val="00704D96"/>
    <w:rsid w:val="007052E1"/>
    <w:rsid w:val="00711DC2"/>
    <w:rsid w:val="0072391B"/>
    <w:rsid w:val="00755E63"/>
    <w:rsid w:val="00781F29"/>
    <w:rsid w:val="00782AB3"/>
    <w:rsid w:val="00782B01"/>
    <w:rsid w:val="00797CC5"/>
    <w:rsid w:val="007A1773"/>
    <w:rsid w:val="007B4422"/>
    <w:rsid w:val="007D358D"/>
    <w:rsid w:val="007D5211"/>
    <w:rsid w:val="007D5FE8"/>
    <w:rsid w:val="007E7607"/>
    <w:rsid w:val="007F39E7"/>
    <w:rsid w:val="007F7CBE"/>
    <w:rsid w:val="0081443E"/>
    <w:rsid w:val="00816EAA"/>
    <w:rsid w:val="00833A58"/>
    <w:rsid w:val="00837BAC"/>
    <w:rsid w:val="0085587E"/>
    <w:rsid w:val="00860564"/>
    <w:rsid w:val="0086124B"/>
    <w:rsid w:val="0089022B"/>
    <w:rsid w:val="00892DB4"/>
    <w:rsid w:val="00895439"/>
    <w:rsid w:val="008957A0"/>
    <w:rsid w:val="00897019"/>
    <w:rsid w:val="00897FF5"/>
    <w:rsid w:val="008A4A26"/>
    <w:rsid w:val="008D5697"/>
    <w:rsid w:val="008D58EA"/>
    <w:rsid w:val="008F120A"/>
    <w:rsid w:val="008F4415"/>
    <w:rsid w:val="008F6A2C"/>
    <w:rsid w:val="00902708"/>
    <w:rsid w:val="009110EE"/>
    <w:rsid w:val="00913634"/>
    <w:rsid w:val="00914D8E"/>
    <w:rsid w:val="009249D7"/>
    <w:rsid w:val="009523A2"/>
    <w:rsid w:val="0096568F"/>
    <w:rsid w:val="00974678"/>
    <w:rsid w:val="0098376F"/>
    <w:rsid w:val="00987341"/>
    <w:rsid w:val="00995BD8"/>
    <w:rsid w:val="009A4D33"/>
    <w:rsid w:val="009C47D6"/>
    <w:rsid w:val="009D08DA"/>
    <w:rsid w:val="009F5078"/>
    <w:rsid w:val="00A14C67"/>
    <w:rsid w:val="00A22053"/>
    <w:rsid w:val="00A22F27"/>
    <w:rsid w:val="00A23CF7"/>
    <w:rsid w:val="00A24288"/>
    <w:rsid w:val="00A42B1A"/>
    <w:rsid w:val="00A45963"/>
    <w:rsid w:val="00A45E29"/>
    <w:rsid w:val="00A4769F"/>
    <w:rsid w:val="00A5293D"/>
    <w:rsid w:val="00A5593C"/>
    <w:rsid w:val="00A762F4"/>
    <w:rsid w:val="00A766D2"/>
    <w:rsid w:val="00AA1F79"/>
    <w:rsid w:val="00AC0692"/>
    <w:rsid w:val="00AC598A"/>
    <w:rsid w:val="00AE7279"/>
    <w:rsid w:val="00AF37A1"/>
    <w:rsid w:val="00AF42BC"/>
    <w:rsid w:val="00B008A9"/>
    <w:rsid w:val="00B00BBA"/>
    <w:rsid w:val="00B43940"/>
    <w:rsid w:val="00B75A6B"/>
    <w:rsid w:val="00BA05CC"/>
    <w:rsid w:val="00BA69F1"/>
    <w:rsid w:val="00BB0201"/>
    <w:rsid w:val="00BB4DB1"/>
    <w:rsid w:val="00BC26BB"/>
    <w:rsid w:val="00BC72DC"/>
    <w:rsid w:val="00BE3802"/>
    <w:rsid w:val="00BF2CE0"/>
    <w:rsid w:val="00BF66EE"/>
    <w:rsid w:val="00C069DA"/>
    <w:rsid w:val="00C2546F"/>
    <w:rsid w:val="00C36FF0"/>
    <w:rsid w:val="00C54A1D"/>
    <w:rsid w:val="00C5755D"/>
    <w:rsid w:val="00C64195"/>
    <w:rsid w:val="00C679D8"/>
    <w:rsid w:val="00C921A4"/>
    <w:rsid w:val="00CB2498"/>
    <w:rsid w:val="00CC27EF"/>
    <w:rsid w:val="00CC3B9A"/>
    <w:rsid w:val="00CC5848"/>
    <w:rsid w:val="00CE2B7D"/>
    <w:rsid w:val="00D067B4"/>
    <w:rsid w:val="00D079A0"/>
    <w:rsid w:val="00D11C34"/>
    <w:rsid w:val="00D1325A"/>
    <w:rsid w:val="00D202E2"/>
    <w:rsid w:val="00D21BCC"/>
    <w:rsid w:val="00D35275"/>
    <w:rsid w:val="00D51B16"/>
    <w:rsid w:val="00D778D5"/>
    <w:rsid w:val="00D96167"/>
    <w:rsid w:val="00DA2681"/>
    <w:rsid w:val="00DA79E3"/>
    <w:rsid w:val="00DB0834"/>
    <w:rsid w:val="00DC2EDA"/>
    <w:rsid w:val="00DD11A1"/>
    <w:rsid w:val="00DE362B"/>
    <w:rsid w:val="00DE4BFA"/>
    <w:rsid w:val="00E11422"/>
    <w:rsid w:val="00E122EB"/>
    <w:rsid w:val="00E16B1A"/>
    <w:rsid w:val="00E16E65"/>
    <w:rsid w:val="00E206ED"/>
    <w:rsid w:val="00E26B64"/>
    <w:rsid w:val="00E36A42"/>
    <w:rsid w:val="00E51272"/>
    <w:rsid w:val="00E5263B"/>
    <w:rsid w:val="00E67A74"/>
    <w:rsid w:val="00E718FB"/>
    <w:rsid w:val="00E77744"/>
    <w:rsid w:val="00E86C41"/>
    <w:rsid w:val="00E97A75"/>
    <w:rsid w:val="00EA1B48"/>
    <w:rsid w:val="00EA44FC"/>
    <w:rsid w:val="00EA6651"/>
    <w:rsid w:val="00EB0D35"/>
    <w:rsid w:val="00ED32F4"/>
    <w:rsid w:val="00ED4C46"/>
    <w:rsid w:val="00ED60A9"/>
    <w:rsid w:val="00EF05BD"/>
    <w:rsid w:val="00F02753"/>
    <w:rsid w:val="00F05E8D"/>
    <w:rsid w:val="00F070AF"/>
    <w:rsid w:val="00F10577"/>
    <w:rsid w:val="00F12841"/>
    <w:rsid w:val="00F12F38"/>
    <w:rsid w:val="00F16BA9"/>
    <w:rsid w:val="00F204A4"/>
    <w:rsid w:val="00F2771D"/>
    <w:rsid w:val="00F43E57"/>
    <w:rsid w:val="00F50A4A"/>
    <w:rsid w:val="00F676A3"/>
    <w:rsid w:val="00F71688"/>
    <w:rsid w:val="00F72048"/>
    <w:rsid w:val="00F768DF"/>
    <w:rsid w:val="00F800AB"/>
    <w:rsid w:val="00F819DA"/>
    <w:rsid w:val="00F96867"/>
    <w:rsid w:val="00F97109"/>
    <w:rsid w:val="00FA540F"/>
    <w:rsid w:val="00FA568F"/>
    <w:rsid w:val="00FA6A09"/>
    <w:rsid w:val="00FC5B84"/>
    <w:rsid w:val="00FC6640"/>
    <w:rsid w:val="00FD39DF"/>
    <w:rsid w:val="00FE3FD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F332E2"/>
  <w15:chartTrackingRefBased/>
  <w15:docId w15:val="{2F2592C1-EE11-48BF-9A99-192B5CC976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1D7E"/>
    <w:pPr>
      <w:spacing w:after="160" w:line="259" w:lineRule="auto"/>
    </w:pPr>
  </w:style>
  <w:style w:type="paragraph" w:styleId="Heading1">
    <w:name w:val="heading 1"/>
    <w:basedOn w:val="Normal"/>
    <w:next w:val="Normal"/>
    <w:link w:val="Heading1Char"/>
    <w:uiPriority w:val="9"/>
    <w:qFormat/>
    <w:rsid w:val="00610B6B"/>
    <w:pPr>
      <w:keepNext/>
      <w:keepLines/>
      <w:spacing w:before="240" w:after="0" w:line="276" w:lineRule="auto"/>
      <w:outlineLvl w:val="0"/>
    </w:pPr>
    <w:rPr>
      <w:rFonts w:asciiTheme="majorHAnsi" w:eastAsiaTheme="majorEastAsia" w:hAnsiTheme="majorHAnsi" w:cstheme="majorBidi"/>
      <w:color w:val="365F91" w:themeColor="accent1" w:themeShade="BF"/>
      <w:sz w:val="32"/>
      <w:szCs w:val="32"/>
      <w:lang w:val="en-US"/>
    </w:rPr>
  </w:style>
  <w:style w:type="paragraph" w:styleId="Heading2">
    <w:name w:val="heading 2"/>
    <w:basedOn w:val="Normal"/>
    <w:next w:val="Normal"/>
    <w:link w:val="Heading2Char"/>
    <w:uiPriority w:val="9"/>
    <w:unhideWhenUsed/>
    <w:qFormat/>
    <w:rsid w:val="00F676A3"/>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F676A3"/>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10B6B"/>
    <w:pPr>
      <w:spacing w:after="0" w:line="240" w:lineRule="auto"/>
    </w:pPr>
    <w:rPr>
      <w:lang w:val="en-US"/>
    </w:rPr>
  </w:style>
  <w:style w:type="character" w:customStyle="1" w:styleId="Heading1Char">
    <w:name w:val="Heading 1 Char"/>
    <w:basedOn w:val="DefaultParagraphFont"/>
    <w:link w:val="Heading1"/>
    <w:uiPriority w:val="9"/>
    <w:rsid w:val="00610B6B"/>
    <w:rPr>
      <w:rFonts w:asciiTheme="majorHAnsi" w:eastAsiaTheme="majorEastAsia" w:hAnsiTheme="majorHAnsi" w:cstheme="majorBidi"/>
      <w:color w:val="365F91" w:themeColor="accent1" w:themeShade="BF"/>
      <w:sz w:val="32"/>
      <w:szCs w:val="32"/>
      <w:lang w:val="en-US"/>
    </w:rPr>
  </w:style>
  <w:style w:type="character" w:styleId="CommentReference">
    <w:name w:val="annotation reference"/>
    <w:basedOn w:val="DefaultParagraphFont"/>
    <w:uiPriority w:val="99"/>
    <w:semiHidden/>
    <w:unhideWhenUsed/>
    <w:rsid w:val="00021D7E"/>
    <w:rPr>
      <w:sz w:val="16"/>
      <w:szCs w:val="16"/>
    </w:rPr>
  </w:style>
  <w:style w:type="paragraph" w:styleId="CommentText">
    <w:name w:val="annotation text"/>
    <w:basedOn w:val="Normal"/>
    <w:link w:val="CommentTextChar"/>
    <w:uiPriority w:val="99"/>
    <w:unhideWhenUsed/>
    <w:rsid w:val="00021D7E"/>
    <w:pPr>
      <w:spacing w:line="240" w:lineRule="auto"/>
    </w:pPr>
    <w:rPr>
      <w:sz w:val="20"/>
      <w:szCs w:val="20"/>
    </w:rPr>
  </w:style>
  <w:style w:type="character" w:customStyle="1" w:styleId="CommentTextChar">
    <w:name w:val="Comment Text Char"/>
    <w:basedOn w:val="DefaultParagraphFont"/>
    <w:link w:val="CommentText"/>
    <w:uiPriority w:val="99"/>
    <w:rsid w:val="00021D7E"/>
    <w:rPr>
      <w:sz w:val="20"/>
      <w:szCs w:val="20"/>
    </w:rPr>
  </w:style>
  <w:style w:type="paragraph" w:styleId="BalloonText">
    <w:name w:val="Balloon Text"/>
    <w:basedOn w:val="Normal"/>
    <w:link w:val="BalloonTextChar"/>
    <w:uiPriority w:val="99"/>
    <w:semiHidden/>
    <w:unhideWhenUsed/>
    <w:rsid w:val="00021D7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1D7E"/>
    <w:rPr>
      <w:rFonts w:ascii="Segoe UI" w:hAnsi="Segoe UI" w:cs="Segoe UI"/>
      <w:sz w:val="18"/>
      <w:szCs w:val="18"/>
    </w:rPr>
  </w:style>
  <w:style w:type="character" w:customStyle="1" w:styleId="Heading2Char">
    <w:name w:val="Heading 2 Char"/>
    <w:basedOn w:val="DefaultParagraphFont"/>
    <w:link w:val="Heading2"/>
    <w:uiPriority w:val="9"/>
    <w:rsid w:val="00F676A3"/>
    <w:rPr>
      <w:rFonts w:asciiTheme="majorHAnsi" w:eastAsiaTheme="majorEastAsia" w:hAnsiTheme="majorHAnsi" w:cstheme="majorBidi"/>
      <w:color w:val="365F91" w:themeColor="accent1" w:themeShade="BF"/>
      <w:sz w:val="26"/>
      <w:szCs w:val="26"/>
    </w:rPr>
  </w:style>
  <w:style w:type="paragraph" w:styleId="Title">
    <w:name w:val="Title"/>
    <w:basedOn w:val="Normal"/>
    <w:next w:val="Normal"/>
    <w:link w:val="TitleChar"/>
    <w:uiPriority w:val="10"/>
    <w:qFormat/>
    <w:rsid w:val="00F676A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676A3"/>
    <w:rPr>
      <w:rFonts w:asciiTheme="majorHAnsi" w:eastAsiaTheme="majorEastAsia" w:hAnsiTheme="majorHAnsi" w:cstheme="majorBidi"/>
      <w:spacing w:val="-10"/>
      <w:kern w:val="28"/>
      <w:sz w:val="56"/>
      <w:szCs w:val="56"/>
    </w:rPr>
  </w:style>
  <w:style w:type="character" w:customStyle="1" w:styleId="Heading3Char">
    <w:name w:val="Heading 3 Char"/>
    <w:basedOn w:val="DefaultParagraphFont"/>
    <w:link w:val="Heading3"/>
    <w:uiPriority w:val="9"/>
    <w:rsid w:val="00F676A3"/>
    <w:rPr>
      <w:rFonts w:asciiTheme="majorHAnsi" w:eastAsiaTheme="majorEastAsia" w:hAnsiTheme="majorHAnsi" w:cstheme="majorBidi"/>
      <w:color w:val="243F60" w:themeColor="accent1" w:themeShade="7F"/>
      <w:sz w:val="24"/>
      <w:szCs w:val="24"/>
    </w:rPr>
  </w:style>
  <w:style w:type="paragraph" w:styleId="NormalWeb">
    <w:name w:val="Normal (Web)"/>
    <w:basedOn w:val="Normal"/>
    <w:uiPriority w:val="99"/>
    <w:semiHidden/>
    <w:unhideWhenUsed/>
    <w:rsid w:val="00FA6A09"/>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Header">
    <w:name w:val="header"/>
    <w:basedOn w:val="Normal"/>
    <w:link w:val="HeaderChar"/>
    <w:uiPriority w:val="99"/>
    <w:unhideWhenUsed/>
    <w:rsid w:val="005526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52648"/>
  </w:style>
  <w:style w:type="paragraph" w:styleId="Footer">
    <w:name w:val="footer"/>
    <w:basedOn w:val="Normal"/>
    <w:link w:val="FooterChar"/>
    <w:uiPriority w:val="99"/>
    <w:unhideWhenUsed/>
    <w:rsid w:val="005526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52648"/>
  </w:style>
  <w:style w:type="paragraph" w:styleId="CommentSubject">
    <w:name w:val="annotation subject"/>
    <w:basedOn w:val="CommentText"/>
    <w:next w:val="CommentText"/>
    <w:link w:val="CommentSubjectChar"/>
    <w:uiPriority w:val="99"/>
    <w:semiHidden/>
    <w:unhideWhenUsed/>
    <w:rsid w:val="0050717F"/>
    <w:rPr>
      <w:b/>
      <w:bCs/>
    </w:rPr>
  </w:style>
  <w:style w:type="character" w:customStyle="1" w:styleId="CommentSubjectChar">
    <w:name w:val="Comment Subject Char"/>
    <w:basedOn w:val="CommentTextChar"/>
    <w:link w:val="CommentSubject"/>
    <w:uiPriority w:val="99"/>
    <w:semiHidden/>
    <w:rsid w:val="0050717F"/>
    <w:rPr>
      <w:b/>
      <w:bCs/>
      <w:sz w:val="20"/>
      <w:szCs w:val="20"/>
    </w:rPr>
  </w:style>
  <w:style w:type="table" w:styleId="TableGrid">
    <w:name w:val="Table Grid"/>
    <w:basedOn w:val="TableNormal"/>
    <w:uiPriority w:val="39"/>
    <w:rsid w:val="00781F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5263B"/>
    <w:pPr>
      <w:ind w:left="720"/>
      <w:contextualSpacing/>
    </w:pPr>
  </w:style>
  <w:style w:type="paragraph" w:styleId="TOCHeading">
    <w:name w:val="TOC Heading"/>
    <w:basedOn w:val="Heading1"/>
    <w:next w:val="Normal"/>
    <w:uiPriority w:val="39"/>
    <w:unhideWhenUsed/>
    <w:qFormat/>
    <w:rsid w:val="004D725A"/>
    <w:pPr>
      <w:spacing w:line="259" w:lineRule="auto"/>
      <w:outlineLvl w:val="9"/>
    </w:pPr>
  </w:style>
  <w:style w:type="paragraph" w:styleId="TOC1">
    <w:name w:val="toc 1"/>
    <w:basedOn w:val="Normal"/>
    <w:next w:val="Normal"/>
    <w:autoRedefine/>
    <w:uiPriority w:val="39"/>
    <w:unhideWhenUsed/>
    <w:rsid w:val="004D725A"/>
    <w:pPr>
      <w:spacing w:after="100"/>
    </w:pPr>
  </w:style>
  <w:style w:type="paragraph" w:styleId="TOC2">
    <w:name w:val="toc 2"/>
    <w:basedOn w:val="Normal"/>
    <w:next w:val="Normal"/>
    <w:autoRedefine/>
    <w:uiPriority w:val="39"/>
    <w:unhideWhenUsed/>
    <w:rsid w:val="00DC2EDA"/>
    <w:pPr>
      <w:tabs>
        <w:tab w:val="left" w:pos="660"/>
        <w:tab w:val="right" w:leader="dot" w:pos="9016"/>
      </w:tabs>
      <w:spacing w:after="100"/>
      <w:ind w:left="220"/>
    </w:pPr>
    <w:rPr>
      <w:rFonts w:cstheme="minorHAnsi"/>
      <w:noProof/>
      <w:lang w:val="en-GB"/>
    </w:rPr>
  </w:style>
  <w:style w:type="paragraph" w:styleId="TOC3">
    <w:name w:val="toc 3"/>
    <w:basedOn w:val="Normal"/>
    <w:next w:val="Normal"/>
    <w:autoRedefine/>
    <w:uiPriority w:val="39"/>
    <w:unhideWhenUsed/>
    <w:rsid w:val="004D725A"/>
    <w:pPr>
      <w:spacing w:after="100"/>
      <w:ind w:left="440"/>
    </w:pPr>
  </w:style>
  <w:style w:type="character" w:styleId="Hyperlink">
    <w:name w:val="Hyperlink"/>
    <w:basedOn w:val="DefaultParagraphFont"/>
    <w:uiPriority w:val="99"/>
    <w:unhideWhenUsed/>
    <w:rsid w:val="004D725A"/>
    <w:rPr>
      <w:color w:val="0000FF" w:themeColor="hyperlink"/>
      <w:u w:val="single"/>
    </w:rPr>
  </w:style>
  <w:style w:type="paragraph" w:styleId="Revision">
    <w:name w:val="Revision"/>
    <w:hidden/>
    <w:uiPriority w:val="99"/>
    <w:semiHidden/>
    <w:rsid w:val="009249D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7528993">
      <w:bodyDiv w:val="1"/>
      <w:marLeft w:val="0"/>
      <w:marRight w:val="0"/>
      <w:marTop w:val="0"/>
      <w:marBottom w:val="0"/>
      <w:divBdr>
        <w:top w:val="none" w:sz="0" w:space="0" w:color="auto"/>
        <w:left w:val="none" w:sz="0" w:space="0" w:color="auto"/>
        <w:bottom w:val="none" w:sz="0" w:space="0" w:color="auto"/>
        <w:right w:val="none" w:sz="0" w:space="0" w:color="auto"/>
      </w:divBdr>
    </w:div>
    <w:div w:id="182133690">
      <w:bodyDiv w:val="1"/>
      <w:marLeft w:val="0"/>
      <w:marRight w:val="0"/>
      <w:marTop w:val="0"/>
      <w:marBottom w:val="0"/>
      <w:divBdr>
        <w:top w:val="none" w:sz="0" w:space="0" w:color="auto"/>
        <w:left w:val="none" w:sz="0" w:space="0" w:color="auto"/>
        <w:bottom w:val="none" w:sz="0" w:space="0" w:color="auto"/>
        <w:right w:val="none" w:sz="0" w:space="0" w:color="auto"/>
      </w:divBdr>
    </w:div>
    <w:div w:id="210461603">
      <w:bodyDiv w:val="1"/>
      <w:marLeft w:val="0"/>
      <w:marRight w:val="0"/>
      <w:marTop w:val="0"/>
      <w:marBottom w:val="0"/>
      <w:divBdr>
        <w:top w:val="none" w:sz="0" w:space="0" w:color="auto"/>
        <w:left w:val="none" w:sz="0" w:space="0" w:color="auto"/>
        <w:bottom w:val="none" w:sz="0" w:space="0" w:color="auto"/>
        <w:right w:val="none" w:sz="0" w:space="0" w:color="auto"/>
      </w:divBdr>
    </w:div>
    <w:div w:id="284653980">
      <w:bodyDiv w:val="1"/>
      <w:marLeft w:val="0"/>
      <w:marRight w:val="0"/>
      <w:marTop w:val="0"/>
      <w:marBottom w:val="0"/>
      <w:divBdr>
        <w:top w:val="none" w:sz="0" w:space="0" w:color="auto"/>
        <w:left w:val="none" w:sz="0" w:space="0" w:color="auto"/>
        <w:bottom w:val="none" w:sz="0" w:space="0" w:color="auto"/>
        <w:right w:val="none" w:sz="0" w:space="0" w:color="auto"/>
      </w:divBdr>
    </w:div>
    <w:div w:id="302471418">
      <w:bodyDiv w:val="1"/>
      <w:marLeft w:val="0"/>
      <w:marRight w:val="0"/>
      <w:marTop w:val="0"/>
      <w:marBottom w:val="0"/>
      <w:divBdr>
        <w:top w:val="none" w:sz="0" w:space="0" w:color="auto"/>
        <w:left w:val="none" w:sz="0" w:space="0" w:color="auto"/>
        <w:bottom w:val="none" w:sz="0" w:space="0" w:color="auto"/>
        <w:right w:val="none" w:sz="0" w:space="0" w:color="auto"/>
      </w:divBdr>
    </w:div>
    <w:div w:id="350184925">
      <w:bodyDiv w:val="1"/>
      <w:marLeft w:val="0"/>
      <w:marRight w:val="0"/>
      <w:marTop w:val="0"/>
      <w:marBottom w:val="0"/>
      <w:divBdr>
        <w:top w:val="none" w:sz="0" w:space="0" w:color="auto"/>
        <w:left w:val="none" w:sz="0" w:space="0" w:color="auto"/>
        <w:bottom w:val="none" w:sz="0" w:space="0" w:color="auto"/>
        <w:right w:val="none" w:sz="0" w:space="0" w:color="auto"/>
      </w:divBdr>
    </w:div>
    <w:div w:id="391512242">
      <w:bodyDiv w:val="1"/>
      <w:marLeft w:val="0"/>
      <w:marRight w:val="0"/>
      <w:marTop w:val="0"/>
      <w:marBottom w:val="0"/>
      <w:divBdr>
        <w:top w:val="none" w:sz="0" w:space="0" w:color="auto"/>
        <w:left w:val="none" w:sz="0" w:space="0" w:color="auto"/>
        <w:bottom w:val="none" w:sz="0" w:space="0" w:color="auto"/>
        <w:right w:val="none" w:sz="0" w:space="0" w:color="auto"/>
      </w:divBdr>
    </w:div>
    <w:div w:id="415514313">
      <w:bodyDiv w:val="1"/>
      <w:marLeft w:val="0"/>
      <w:marRight w:val="0"/>
      <w:marTop w:val="0"/>
      <w:marBottom w:val="0"/>
      <w:divBdr>
        <w:top w:val="none" w:sz="0" w:space="0" w:color="auto"/>
        <w:left w:val="none" w:sz="0" w:space="0" w:color="auto"/>
        <w:bottom w:val="none" w:sz="0" w:space="0" w:color="auto"/>
        <w:right w:val="none" w:sz="0" w:space="0" w:color="auto"/>
      </w:divBdr>
    </w:div>
    <w:div w:id="470637069">
      <w:bodyDiv w:val="1"/>
      <w:marLeft w:val="0"/>
      <w:marRight w:val="0"/>
      <w:marTop w:val="0"/>
      <w:marBottom w:val="0"/>
      <w:divBdr>
        <w:top w:val="none" w:sz="0" w:space="0" w:color="auto"/>
        <w:left w:val="none" w:sz="0" w:space="0" w:color="auto"/>
        <w:bottom w:val="none" w:sz="0" w:space="0" w:color="auto"/>
        <w:right w:val="none" w:sz="0" w:space="0" w:color="auto"/>
      </w:divBdr>
    </w:div>
    <w:div w:id="487016926">
      <w:bodyDiv w:val="1"/>
      <w:marLeft w:val="0"/>
      <w:marRight w:val="0"/>
      <w:marTop w:val="0"/>
      <w:marBottom w:val="0"/>
      <w:divBdr>
        <w:top w:val="none" w:sz="0" w:space="0" w:color="auto"/>
        <w:left w:val="none" w:sz="0" w:space="0" w:color="auto"/>
        <w:bottom w:val="none" w:sz="0" w:space="0" w:color="auto"/>
        <w:right w:val="none" w:sz="0" w:space="0" w:color="auto"/>
      </w:divBdr>
    </w:div>
    <w:div w:id="508982698">
      <w:bodyDiv w:val="1"/>
      <w:marLeft w:val="0"/>
      <w:marRight w:val="0"/>
      <w:marTop w:val="0"/>
      <w:marBottom w:val="0"/>
      <w:divBdr>
        <w:top w:val="none" w:sz="0" w:space="0" w:color="auto"/>
        <w:left w:val="none" w:sz="0" w:space="0" w:color="auto"/>
        <w:bottom w:val="none" w:sz="0" w:space="0" w:color="auto"/>
        <w:right w:val="none" w:sz="0" w:space="0" w:color="auto"/>
      </w:divBdr>
    </w:div>
    <w:div w:id="571156365">
      <w:bodyDiv w:val="1"/>
      <w:marLeft w:val="0"/>
      <w:marRight w:val="0"/>
      <w:marTop w:val="0"/>
      <w:marBottom w:val="0"/>
      <w:divBdr>
        <w:top w:val="none" w:sz="0" w:space="0" w:color="auto"/>
        <w:left w:val="none" w:sz="0" w:space="0" w:color="auto"/>
        <w:bottom w:val="none" w:sz="0" w:space="0" w:color="auto"/>
        <w:right w:val="none" w:sz="0" w:space="0" w:color="auto"/>
      </w:divBdr>
    </w:div>
    <w:div w:id="785080939">
      <w:bodyDiv w:val="1"/>
      <w:marLeft w:val="0"/>
      <w:marRight w:val="0"/>
      <w:marTop w:val="0"/>
      <w:marBottom w:val="0"/>
      <w:divBdr>
        <w:top w:val="none" w:sz="0" w:space="0" w:color="auto"/>
        <w:left w:val="none" w:sz="0" w:space="0" w:color="auto"/>
        <w:bottom w:val="none" w:sz="0" w:space="0" w:color="auto"/>
        <w:right w:val="none" w:sz="0" w:space="0" w:color="auto"/>
      </w:divBdr>
    </w:div>
    <w:div w:id="938488683">
      <w:bodyDiv w:val="1"/>
      <w:marLeft w:val="0"/>
      <w:marRight w:val="0"/>
      <w:marTop w:val="0"/>
      <w:marBottom w:val="0"/>
      <w:divBdr>
        <w:top w:val="none" w:sz="0" w:space="0" w:color="auto"/>
        <w:left w:val="none" w:sz="0" w:space="0" w:color="auto"/>
        <w:bottom w:val="none" w:sz="0" w:space="0" w:color="auto"/>
        <w:right w:val="none" w:sz="0" w:space="0" w:color="auto"/>
      </w:divBdr>
    </w:div>
    <w:div w:id="997920664">
      <w:bodyDiv w:val="1"/>
      <w:marLeft w:val="0"/>
      <w:marRight w:val="0"/>
      <w:marTop w:val="0"/>
      <w:marBottom w:val="0"/>
      <w:divBdr>
        <w:top w:val="none" w:sz="0" w:space="0" w:color="auto"/>
        <w:left w:val="none" w:sz="0" w:space="0" w:color="auto"/>
        <w:bottom w:val="none" w:sz="0" w:space="0" w:color="auto"/>
        <w:right w:val="none" w:sz="0" w:space="0" w:color="auto"/>
      </w:divBdr>
    </w:div>
    <w:div w:id="1049066658">
      <w:bodyDiv w:val="1"/>
      <w:marLeft w:val="0"/>
      <w:marRight w:val="0"/>
      <w:marTop w:val="0"/>
      <w:marBottom w:val="0"/>
      <w:divBdr>
        <w:top w:val="none" w:sz="0" w:space="0" w:color="auto"/>
        <w:left w:val="none" w:sz="0" w:space="0" w:color="auto"/>
        <w:bottom w:val="none" w:sz="0" w:space="0" w:color="auto"/>
        <w:right w:val="none" w:sz="0" w:space="0" w:color="auto"/>
      </w:divBdr>
    </w:div>
    <w:div w:id="1051346309">
      <w:bodyDiv w:val="1"/>
      <w:marLeft w:val="0"/>
      <w:marRight w:val="0"/>
      <w:marTop w:val="0"/>
      <w:marBottom w:val="0"/>
      <w:divBdr>
        <w:top w:val="none" w:sz="0" w:space="0" w:color="auto"/>
        <w:left w:val="none" w:sz="0" w:space="0" w:color="auto"/>
        <w:bottom w:val="none" w:sz="0" w:space="0" w:color="auto"/>
        <w:right w:val="none" w:sz="0" w:space="0" w:color="auto"/>
      </w:divBdr>
    </w:div>
    <w:div w:id="1368487657">
      <w:bodyDiv w:val="1"/>
      <w:marLeft w:val="0"/>
      <w:marRight w:val="0"/>
      <w:marTop w:val="0"/>
      <w:marBottom w:val="0"/>
      <w:divBdr>
        <w:top w:val="none" w:sz="0" w:space="0" w:color="auto"/>
        <w:left w:val="none" w:sz="0" w:space="0" w:color="auto"/>
        <w:bottom w:val="none" w:sz="0" w:space="0" w:color="auto"/>
        <w:right w:val="none" w:sz="0" w:space="0" w:color="auto"/>
      </w:divBdr>
    </w:div>
    <w:div w:id="1564296089">
      <w:bodyDiv w:val="1"/>
      <w:marLeft w:val="0"/>
      <w:marRight w:val="0"/>
      <w:marTop w:val="0"/>
      <w:marBottom w:val="0"/>
      <w:divBdr>
        <w:top w:val="none" w:sz="0" w:space="0" w:color="auto"/>
        <w:left w:val="none" w:sz="0" w:space="0" w:color="auto"/>
        <w:bottom w:val="none" w:sz="0" w:space="0" w:color="auto"/>
        <w:right w:val="none" w:sz="0" w:space="0" w:color="auto"/>
      </w:divBdr>
    </w:div>
    <w:div w:id="1577588153">
      <w:bodyDiv w:val="1"/>
      <w:marLeft w:val="0"/>
      <w:marRight w:val="0"/>
      <w:marTop w:val="0"/>
      <w:marBottom w:val="0"/>
      <w:divBdr>
        <w:top w:val="none" w:sz="0" w:space="0" w:color="auto"/>
        <w:left w:val="none" w:sz="0" w:space="0" w:color="auto"/>
        <w:bottom w:val="none" w:sz="0" w:space="0" w:color="auto"/>
        <w:right w:val="none" w:sz="0" w:space="0" w:color="auto"/>
      </w:divBdr>
    </w:div>
    <w:div w:id="1904220455">
      <w:bodyDiv w:val="1"/>
      <w:marLeft w:val="0"/>
      <w:marRight w:val="0"/>
      <w:marTop w:val="0"/>
      <w:marBottom w:val="0"/>
      <w:divBdr>
        <w:top w:val="none" w:sz="0" w:space="0" w:color="auto"/>
        <w:left w:val="none" w:sz="0" w:space="0" w:color="auto"/>
        <w:bottom w:val="none" w:sz="0" w:space="0" w:color="auto"/>
        <w:right w:val="none" w:sz="0" w:space="0" w:color="auto"/>
      </w:divBdr>
    </w:div>
    <w:div w:id="1952711574">
      <w:bodyDiv w:val="1"/>
      <w:marLeft w:val="0"/>
      <w:marRight w:val="0"/>
      <w:marTop w:val="0"/>
      <w:marBottom w:val="0"/>
      <w:divBdr>
        <w:top w:val="none" w:sz="0" w:space="0" w:color="auto"/>
        <w:left w:val="none" w:sz="0" w:space="0" w:color="auto"/>
        <w:bottom w:val="none" w:sz="0" w:space="0" w:color="auto"/>
        <w:right w:val="none" w:sz="0" w:space="0" w:color="auto"/>
      </w:divBdr>
    </w:div>
    <w:div w:id="2135557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230DADEE-B9C4-9A41-8432-367C8AF11CEB}">
  <we:reference id="wa200001011" version="1.2.0.0" store="nl-NL" storeType="OMEX"/>
  <we:alternateReferences>
    <we:reference id="wa200001011" version="1.2.0.0" store="WA20000101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6FEB5C-ABC3-4CBF-9C18-97754ABE56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18</Pages>
  <Words>15871</Words>
  <Characters>90471</Characters>
  <Application>Microsoft Office Word</Application>
  <DocSecurity>0</DocSecurity>
  <Lines>753</Lines>
  <Paragraphs>212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AMC</Company>
  <LinksUpToDate>false</LinksUpToDate>
  <CharactersWithSpaces>106130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Michels, E.H.A. (Erik)</dc:creator>
  <cp:keywords/>
  <dc:description/>
  <cp:lastModifiedBy>Michels, E.H.A. (Erik)</cp:lastModifiedBy>
  <cp:revision>26</cp:revision>
  <cp:lastPrinted>2022-02-24T10:54:00Z</cp:lastPrinted>
  <dcterms:created xsi:type="dcterms:W3CDTF">2022-10-03T14:17:00Z</dcterms:created>
  <dcterms:modified xsi:type="dcterms:W3CDTF">2022-10-04T10:33:00Z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http://www.zotero.org/styles/american-journal-of-respiratory-and-critical-care-medicine</vt:lpwstr>
  </property>
  <property fmtid="{D5CDD505-2E9C-101B-9397-08002B2CF9AE}" pid="3" name="Mendeley Recent Style Name 0_1">
    <vt:lpwstr>American Journal of Respiratory and Critical Care Medicine</vt:lpwstr>
  </property>
  <property fmtid="{D5CDD505-2E9C-101B-9397-08002B2CF9AE}" pid="4" name="Mendeley Recent Style Id 1_1">
    <vt:lpwstr>http://www.zotero.org/styles/american-medical-association</vt:lpwstr>
  </property>
  <property fmtid="{D5CDD505-2E9C-101B-9397-08002B2CF9AE}" pid="5" name="Mendeley Recent Style Name 1_1">
    <vt:lpwstr>American Medical Association 11th edition</vt:lpwstr>
  </property>
  <property fmtid="{D5CDD505-2E9C-101B-9397-08002B2CF9AE}" pid="6" name="Mendeley Recent Style Id 2_1">
    <vt:lpwstr>http://www.zotero.org/styles/american-political-science-association</vt:lpwstr>
  </property>
  <property fmtid="{D5CDD505-2E9C-101B-9397-08002B2CF9AE}" pid="7" name="Mendeley Recent Style Name 2_1">
    <vt:lpwstr>American Political Science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http://www.zotero.org/styles/critical-care</vt:lpwstr>
  </property>
  <property fmtid="{D5CDD505-2E9C-101B-9397-08002B2CF9AE}" pid="13" name="Mendeley Recent Style Name 5_1">
    <vt:lpwstr>Critical Care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97dfff78-0c4e-3769-8294-75ddf9c11855</vt:lpwstr>
  </property>
  <property fmtid="{D5CDD505-2E9C-101B-9397-08002B2CF9AE}" pid="24" name="Mendeley Citation Style_1">
    <vt:lpwstr>http://www.zotero.org/styles/critical-care</vt:lpwstr>
  </property>
</Properties>
</file>