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0AFC3A" w14:textId="7C90AB2E" w:rsidR="0018223E" w:rsidRPr="0018223E" w:rsidRDefault="0018223E" w:rsidP="0018223E">
      <w:pPr>
        <w:wordWrap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18223E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946D6A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8223E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r w:rsidRPr="00946D6A">
        <w:rPr>
          <w:rFonts w:ascii="Times New Roman" w:hAnsi="Times New Roman" w:cs="Times New Roman"/>
          <w:bCs/>
          <w:sz w:val="24"/>
          <w:szCs w:val="24"/>
        </w:rPr>
        <w:t>Baseline characteristics according to dysphagia in the year of 2010</w:t>
      </w:r>
    </w:p>
    <w:tbl>
      <w:tblPr>
        <w:tblStyle w:val="a3"/>
        <w:tblW w:w="67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22"/>
        <w:gridCol w:w="1696"/>
        <w:gridCol w:w="1618"/>
        <w:gridCol w:w="996"/>
      </w:tblGrid>
      <w:tr w:rsidR="0018223E" w:rsidRPr="0018223E" w14:paraId="3F916446" w14:textId="77777777" w:rsidTr="003C3650">
        <w:tc>
          <w:tcPr>
            <w:tcW w:w="2422" w:type="dxa"/>
            <w:tcBorders>
              <w:top w:val="single" w:sz="4" w:space="0" w:color="auto"/>
            </w:tcBorders>
          </w:tcPr>
          <w:p w14:paraId="177B11E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676A22FB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Dysphagia</w:t>
            </w:r>
          </w:p>
        </w:tc>
        <w:tc>
          <w:tcPr>
            <w:tcW w:w="1618" w:type="dxa"/>
            <w:tcBorders>
              <w:top w:val="single" w:sz="4" w:space="0" w:color="auto"/>
            </w:tcBorders>
          </w:tcPr>
          <w:p w14:paraId="6DCCD823" w14:textId="43A0A39A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Non-dysphagia</w:t>
            </w:r>
          </w:p>
        </w:tc>
        <w:tc>
          <w:tcPr>
            <w:tcW w:w="996" w:type="dxa"/>
            <w:tcBorders>
              <w:top w:val="single" w:sz="4" w:space="0" w:color="auto"/>
            </w:tcBorders>
          </w:tcPr>
          <w:p w14:paraId="668CB890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P-value</w:t>
            </w:r>
          </w:p>
        </w:tc>
      </w:tr>
      <w:tr w:rsidR="0018223E" w:rsidRPr="0018223E" w14:paraId="2C759B80" w14:textId="77777777" w:rsidTr="003C3650">
        <w:tc>
          <w:tcPr>
            <w:tcW w:w="2422" w:type="dxa"/>
            <w:tcBorders>
              <w:bottom w:val="single" w:sz="12" w:space="0" w:color="auto"/>
            </w:tcBorders>
          </w:tcPr>
          <w:p w14:paraId="47C0A3DA" w14:textId="77777777" w:rsidR="0018223E" w:rsidRPr="0018223E" w:rsidRDefault="0018223E" w:rsidP="003C3650">
            <w:pPr>
              <w:wordWrap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6" w:type="dxa"/>
            <w:tcBorders>
              <w:bottom w:val="single" w:sz="12" w:space="0" w:color="auto"/>
            </w:tcBorders>
          </w:tcPr>
          <w:p w14:paraId="445AB48B" w14:textId="62011FCE" w:rsidR="0018223E" w:rsidRPr="00BD12AF" w:rsidRDefault="00BD12AF" w:rsidP="00BD12AF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BD12AF">
              <w:rPr>
                <w:rFonts w:ascii="Times New Roman" w:hAnsi="Times New Roman" w:cs="Times New Roman"/>
                <w:szCs w:val="20"/>
              </w:rPr>
              <w:t>(n</w:t>
            </w:r>
            <w:r>
              <w:rPr>
                <w:rFonts w:ascii="Times New Roman" w:hAnsi="Times New Roman" w:cs="Times New Roman"/>
                <w:szCs w:val="20"/>
              </w:rPr>
              <w:t xml:space="preserve"> = </w:t>
            </w:r>
            <w:r w:rsidR="0018223E" w:rsidRPr="00BD12AF">
              <w:rPr>
                <w:rFonts w:ascii="Times New Roman" w:hAnsi="Times New Roman" w:cs="Times New Roman"/>
                <w:szCs w:val="20"/>
              </w:rPr>
              <w:t>39795)</w:t>
            </w:r>
          </w:p>
        </w:tc>
        <w:tc>
          <w:tcPr>
            <w:tcW w:w="1618" w:type="dxa"/>
            <w:tcBorders>
              <w:bottom w:val="single" w:sz="12" w:space="0" w:color="auto"/>
            </w:tcBorders>
          </w:tcPr>
          <w:p w14:paraId="66CD03DF" w14:textId="60170244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(n</w:t>
            </w:r>
            <w:r w:rsidR="00BD12AF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18223E">
              <w:rPr>
                <w:rFonts w:ascii="Times New Roman" w:hAnsi="Times New Roman" w:cs="Times New Roman"/>
                <w:szCs w:val="20"/>
              </w:rPr>
              <w:t>=</w:t>
            </w:r>
            <w:r w:rsidR="00BD12AF">
              <w:rPr>
                <w:rFonts w:ascii="Times New Roman" w:hAnsi="Times New Roman" w:cs="Times New Roman"/>
                <w:szCs w:val="20"/>
              </w:rPr>
              <w:t xml:space="preserve"> </w:t>
            </w:r>
            <w:r w:rsidRPr="0018223E">
              <w:rPr>
                <w:rFonts w:ascii="Times New Roman" w:hAnsi="Times New Roman" w:cs="Times New Roman"/>
                <w:szCs w:val="20"/>
              </w:rPr>
              <w:t>39795)</w:t>
            </w:r>
          </w:p>
        </w:tc>
        <w:tc>
          <w:tcPr>
            <w:tcW w:w="996" w:type="dxa"/>
            <w:tcBorders>
              <w:bottom w:val="single" w:sz="12" w:space="0" w:color="auto"/>
            </w:tcBorders>
          </w:tcPr>
          <w:p w14:paraId="621A77DF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6B99DA4D" w14:textId="77777777" w:rsidTr="003C3650">
        <w:tc>
          <w:tcPr>
            <w:tcW w:w="2422" w:type="dxa"/>
            <w:tcBorders>
              <w:top w:val="single" w:sz="12" w:space="0" w:color="auto"/>
            </w:tcBorders>
          </w:tcPr>
          <w:p w14:paraId="36DB5026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Age</w:t>
            </w:r>
          </w:p>
        </w:tc>
        <w:tc>
          <w:tcPr>
            <w:tcW w:w="1696" w:type="dxa"/>
            <w:tcBorders>
              <w:top w:val="single" w:sz="12" w:space="0" w:color="auto"/>
            </w:tcBorders>
          </w:tcPr>
          <w:p w14:paraId="169E82B2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  <w:tcBorders>
              <w:top w:val="single" w:sz="12" w:space="0" w:color="auto"/>
            </w:tcBorders>
          </w:tcPr>
          <w:p w14:paraId="5A08A5AD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  <w:tcBorders>
              <w:top w:val="single" w:sz="12" w:space="0" w:color="auto"/>
            </w:tcBorders>
          </w:tcPr>
          <w:p w14:paraId="18C8D4D6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1FA3C155" w14:textId="77777777" w:rsidTr="003C3650">
        <w:tc>
          <w:tcPr>
            <w:tcW w:w="2422" w:type="dxa"/>
          </w:tcPr>
          <w:p w14:paraId="08589D88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Average</w:t>
            </w:r>
          </w:p>
        </w:tc>
        <w:tc>
          <w:tcPr>
            <w:tcW w:w="3314" w:type="dxa"/>
            <w:gridSpan w:val="2"/>
          </w:tcPr>
          <w:p w14:paraId="4AA03110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61.24±17.78</w:t>
            </w:r>
          </w:p>
        </w:tc>
        <w:tc>
          <w:tcPr>
            <w:tcW w:w="996" w:type="dxa"/>
          </w:tcPr>
          <w:p w14:paraId="7E8717AA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18223E" w:rsidRPr="0018223E" w14:paraId="44340B22" w14:textId="77777777" w:rsidTr="003C3650">
        <w:tc>
          <w:tcPr>
            <w:tcW w:w="2422" w:type="dxa"/>
          </w:tcPr>
          <w:p w14:paraId="683C94FF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20-29</w:t>
            </w:r>
          </w:p>
        </w:tc>
        <w:tc>
          <w:tcPr>
            <w:tcW w:w="3314" w:type="dxa"/>
            <w:gridSpan w:val="2"/>
          </w:tcPr>
          <w:p w14:paraId="772CE089" w14:textId="57C2ACC6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2623 (6.6%)</w:t>
            </w:r>
          </w:p>
        </w:tc>
        <w:tc>
          <w:tcPr>
            <w:tcW w:w="996" w:type="dxa"/>
          </w:tcPr>
          <w:p w14:paraId="0FAEE92D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45E69865" w14:textId="77777777" w:rsidTr="003C3650">
        <w:tc>
          <w:tcPr>
            <w:tcW w:w="2422" w:type="dxa"/>
          </w:tcPr>
          <w:p w14:paraId="1B9C0280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30-39</w:t>
            </w:r>
          </w:p>
        </w:tc>
        <w:tc>
          <w:tcPr>
            <w:tcW w:w="3314" w:type="dxa"/>
            <w:gridSpan w:val="2"/>
          </w:tcPr>
          <w:p w14:paraId="4B18B899" w14:textId="389B0209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3295 (8.3%)</w:t>
            </w:r>
          </w:p>
        </w:tc>
        <w:tc>
          <w:tcPr>
            <w:tcW w:w="996" w:type="dxa"/>
          </w:tcPr>
          <w:p w14:paraId="0E6EA618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69CE1EA9" w14:textId="77777777" w:rsidTr="003C3650">
        <w:tc>
          <w:tcPr>
            <w:tcW w:w="2422" w:type="dxa"/>
          </w:tcPr>
          <w:p w14:paraId="3A7144F1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40-49</w:t>
            </w:r>
          </w:p>
        </w:tc>
        <w:tc>
          <w:tcPr>
            <w:tcW w:w="3314" w:type="dxa"/>
            <w:gridSpan w:val="2"/>
          </w:tcPr>
          <w:p w14:paraId="266E9AC2" w14:textId="579B4925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4367 (10.9%)</w:t>
            </w:r>
          </w:p>
        </w:tc>
        <w:tc>
          <w:tcPr>
            <w:tcW w:w="996" w:type="dxa"/>
          </w:tcPr>
          <w:p w14:paraId="7C33C9B5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5A24B2EC" w14:textId="77777777" w:rsidTr="003C3650">
        <w:tc>
          <w:tcPr>
            <w:tcW w:w="2422" w:type="dxa"/>
          </w:tcPr>
          <w:p w14:paraId="237B279E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50-59</w:t>
            </w:r>
          </w:p>
        </w:tc>
        <w:tc>
          <w:tcPr>
            <w:tcW w:w="3314" w:type="dxa"/>
            <w:gridSpan w:val="2"/>
          </w:tcPr>
          <w:p w14:paraId="46AB934B" w14:textId="7B5201F4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6095 (15.3%)</w:t>
            </w:r>
          </w:p>
        </w:tc>
        <w:tc>
          <w:tcPr>
            <w:tcW w:w="996" w:type="dxa"/>
          </w:tcPr>
          <w:p w14:paraId="3F3E753E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38A0006A" w14:textId="77777777" w:rsidTr="003C3650">
        <w:tc>
          <w:tcPr>
            <w:tcW w:w="2422" w:type="dxa"/>
          </w:tcPr>
          <w:p w14:paraId="4CF0FB0C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60-69</w:t>
            </w:r>
          </w:p>
        </w:tc>
        <w:tc>
          <w:tcPr>
            <w:tcW w:w="3314" w:type="dxa"/>
            <w:gridSpan w:val="2"/>
          </w:tcPr>
          <w:p w14:paraId="53DBEA1A" w14:textId="1421F4F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7688 (19.3%)</w:t>
            </w:r>
          </w:p>
        </w:tc>
        <w:tc>
          <w:tcPr>
            <w:tcW w:w="996" w:type="dxa"/>
          </w:tcPr>
          <w:p w14:paraId="36B0D31E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04A67511" w14:textId="77777777" w:rsidTr="003C3650">
        <w:tc>
          <w:tcPr>
            <w:tcW w:w="2422" w:type="dxa"/>
          </w:tcPr>
          <w:p w14:paraId="6D3CA62A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70-79</w:t>
            </w:r>
          </w:p>
        </w:tc>
        <w:tc>
          <w:tcPr>
            <w:tcW w:w="3314" w:type="dxa"/>
            <w:gridSpan w:val="2"/>
          </w:tcPr>
          <w:p w14:paraId="4ABF9A49" w14:textId="7B8E3802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9819 (24.7%)</w:t>
            </w:r>
          </w:p>
        </w:tc>
        <w:tc>
          <w:tcPr>
            <w:tcW w:w="996" w:type="dxa"/>
          </w:tcPr>
          <w:p w14:paraId="338EB44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4237B7C8" w14:textId="77777777" w:rsidTr="003C3650">
        <w:tc>
          <w:tcPr>
            <w:tcW w:w="2422" w:type="dxa"/>
          </w:tcPr>
          <w:p w14:paraId="00E5B0EC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80-89</w:t>
            </w:r>
          </w:p>
        </w:tc>
        <w:tc>
          <w:tcPr>
            <w:tcW w:w="3314" w:type="dxa"/>
            <w:gridSpan w:val="2"/>
          </w:tcPr>
          <w:p w14:paraId="06C0F381" w14:textId="29B8F6F9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5198 (13.1%)</w:t>
            </w:r>
          </w:p>
        </w:tc>
        <w:tc>
          <w:tcPr>
            <w:tcW w:w="996" w:type="dxa"/>
          </w:tcPr>
          <w:p w14:paraId="334A3DF5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037AC229" w14:textId="77777777" w:rsidTr="003C3650">
        <w:tc>
          <w:tcPr>
            <w:tcW w:w="2422" w:type="dxa"/>
          </w:tcPr>
          <w:p w14:paraId="6E9258B2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≥90</w:t>
            </w:r>
          </w:p>
        </w:tc>
        <w:tc>
          <w:tcPr>
            <w:tcW w:w="3314" w:type="dxa"/>
            <w:gridSpan w:val="2"/>
          </w:tcPr>
          <w:p w14:paraId="7F618F82" w14:textId="37E786A6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710 (1.8%)</w:t>
            </w:r>
          </w:p>
        </w:tc>
        <w:tc>
          <w:tcPr>
            <w:tcW w:w="996" w:type="dxa"/>
          </w:tcPr>
          <w:p w14:paraId="5CCB6F5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19EF75C0" w14:textId="77777777" w:rsidTr="003C3650">
        <w:tc>
          <w:tcPr>
            <w:tcW w:w="2422" w:type="dxa"/>
          </w:tcPr>
          <w:p w14:paraId="17774DCD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6" w:type="dxa"/>
          </w:tcPr>
          <w:p w14:paraId="56F08012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</w:tcPr>
          <w:p w14:paraId="636E2122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</w:tcPr>
          <w:p w14:paraId="12F9F317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3379F881" w14:textId="77777777" w:rsidTr="003C3650">
        <w:tc>
          <w:tcPr>
            <w:tcW w:w="2422" w:type="dxa"/>
          </w:tcPr>
          <w:p w14:paraId="128509AA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Sex (Male)</w:t>
            </w:r>
          </w:p>
        </w:tc>
        <w:tc>
          <w:tcPr>
            <w:tcW w:w="3314" w:type="dxa"/>
            <w:gridSpan w:val="2"/>
          </w:tcPr>
          <w:p w14:paraId="14D07A1B" w14:textId="48256020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20629 (51.8%)</w:t>
            </w:r>
          </w:p>
        </w:tc>
        <w:tc>
          <w:tcPr>
            <w:tcW w:w="996" w:type="dxa"/>
          </w:tcPr>
          <w:p w14:paraId="1CE90BE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</w:t>
            </w:r>
          </w:p>
        </w:tc>
      </w:tr>
      <w:tr w:rsidR="0018223E" w:rsidRPr="0018223E" w14:paraId="65B7FD40" w14:textId="77777777" w:rsidTr="003C3650">
        <w:tc>
          <w:tcPr>
            <w:tcW w:w="2422" w:type="dxa"/>
          </w:tcPr>
          <w:p w14:paraId="693F3C0F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6" w:type="dxa"/>
          </w:tcPr>
          <w:p w14:paraId="39F00B6D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</w:tcPr>
          <w:p w14:paraId="48F337BA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</w:tcPr>
          <w:p w14:paraId="35ADC053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64CF4F0E" w14:textId="77777777" w:rsidTr="003C3650">
        <w:tc>
          <w:tcPr>
            <w:tcW w:w="2422" w:type="dxa"/>
          </w:tcPr>
          <w:p w14:paraId="5E7B7CEE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Income</w:t>
            </w:r>
          </w:p>
        </w:tc>
        <w:tc>
          <w:tcPr>
            <w:tcW w:w="1696" w:type="dxa"/>
          </w:tcPr>
          <w:p w14:paraId="427499E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</w:tcPr>
          <w:p w14:paraId="0E409B18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</w:tcPr>
          <w:p w14:paraId="5F8AA456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415D8B6F" w14:textId="77777777" w:rsidTr="003C3650">
        <w:tc>
          <w:tcPr>
            <w:tcW w:w="2422" w:type="dxa"/>
          </w:tcPr>
          <w:p w14:paraId="0018C7CC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Low (25%)</w:t>
            </w:r>
          </w:p>
        </w:tc>
        <w:tc>
          <w:tcPr>
            <w:tcW w:w="1696" w:type="dxa"/>
          </w:tcPr>
          <w:p w14:paraId="51B58C50" w14:textId="5CE592F3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11349 (28.5%)</w:t>
            </w:r>
          </w:p>
        </w:tc>
        <w:tc>
          <w:tcPr>
            <w:tcW w:w="1618" w:type="dxa"/>
          </w:tcPr>
          <w:p w14:paraId="3CD4C38A" w14:textId="2FEB5D39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10101 (25.4%)</w:t>
            </w:r>
          </w:p>
        </w:tc>
        <w:tc>
          <w:tcPr>
            <w:tcW w:w="996" w:type="dxa"/>
          </w:tcPr>
          <w:p w14:paraId="495E4A84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&lt;.001</w:t>
            </w:r>
          </w:p>
        </w:tc>
      </w:tr>
      <w:tr w:rsidR="0018223E" w:rsidRPr="0018223E" w14:paraId="05767424" w14:textId="77777777" w:rsidTr="003C3650">
        <w:tc>
          <w:tcPr>
            <w:tcW w:w="2422" w:type="dxa"/>
          </w:tcPr>
          <w:p w14:paraId="3CBB073A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96" w:type="dxa"/>
          </w:tcPr>
          <w:p w14:paraId="6E11171B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</w:tcPr>
          <w:p w14:paraId="20B05B40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</w:tcPr>
          <w:p w14:paraId="28A96438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623F0108" w14:textId="77777777" w:rsidTr="003C3650">
        <w:tc>
          <w:tcPr>
            <w:tcW w:w="2422" w:type="dxa"/>
          </w:tcPr>
          <w:p w14:paraId="2C523A9B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b/>
                <w:bCs/>
                <w:szCs w:val="20"/>
              </w:rPr>
            </w:pPr>
            <w:r w:rsidRPr="0018223E">
              <w:rPr>
                <w:rFonts w:ascii="Times New Roman" w:hAnsi="Times New Roman" w:cs="Times New Roman"/>
                <w:b/>
                <w:bCs/>
                <w:szCs w:val="20"/>
              </w:rPr>
              <w:t>Comorbidities</w:t>
            </w:r>
          </w:p>
        </w:tc>
        <w:tc>
          <w:tcPr>
            <w:tcW w:w="1696" w:type="dxa"/>
          </w:tcPr>
          <w:p w14:paraId="699F289E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618" w:type="dxa"/>
          </w:tcPr>
          <w:p w14:paraId="19E62D36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996" w:type="dxa"/>
          </w:tcPr>
          <w:p w14:paraId="2E61351A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18223E" w:rsidRPr="0018223E" w14:paraId="24873165" w14:textId="77777777" w:rsidTr="003C3650">
        <w:tc>
          <w:tcPr>
            <w:tcW w:w="2422" w:type="dxa"/>
          </w:tcPr>
          <w:p w14:paraId="261780E6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Stroke</w:t>
            </w:r>
          </w:p>
        </w:tc>
        <w:tc>
          <w:tcPr>
            <w:tcW w:w="1696" w:type="dxa"/>
          </w:tcPr>
          <w:p w14:paraId="6EB8CE18" w14:textId="73642CDE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19074 (47.9%)</w:t>
            </w:r>
          </w:p>
        </w:tc>
        <w:tc>
          <w:tcPr>
            <w:tcW w:w="1618" w:type="dxa"/>
          </w:tcPr>
          <w:p w14:paraId="42C7670E" w14:textId="423F510C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4530 (11.4%)</w:t>
            </w:r>
          </w:p>
        </w:tc>
        <w:tc>
          <w:tcPr>
            <w:tcW w:w="996" w:type="dxa"/>
          </w:tcPr>
          <w:p w14:paraId="76C95322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&lt;.001</w:t>
            </w:r>
          </w:p>
        </w:tc>
      </w:tr>
      <w:tr w:rsidR="0018223E" w:rsidRPr="0018223E" w14:paraId="381130AB" w14:textId="77777777" w:rsidTr="003C3650">
        <w:tc>
          <w:tcPr>
            <w:tcW w:w="2422" w:type="dxa"/>
          </w:tcPr>
          <w:p w14:paraId="717EB4D9" w14:textId="17063FFF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ND</w:t>
            </w:r>
          </w:p>
        </w:tc>
        <w:tc>
          <w:tcPr>
            <w:tcW w:w="1696" w:type="dxa"/>
          </w:tcPr>
          <w:p w14:paraId="24ECDBC6" w14:textId="651A46B1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11590 (29.1%)</w:t>
            </w:r>
          </w:p>
        </w:tc>
        <w:tc>
          <w:tcPr>
            <w:tcW w:w="1618" w:type="dxa"/>
          </w:tcPr>
          <w:p w14:paraId="2DB806FC" w14:textId="5A05CF15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2224 (5.6%)</w:t>
            </w:r>
          </w:p>
        </w:tc>
        <w:tc>
          <w:tcPr>
            <w:tcW w:w="996" w:type="dxa"/>
          </w:tcPr>
          <w:p w14:paraId="07F0B30A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&lt;.001</w:t>
            </w:r>
          </w:p>
        </w:tc>
      </w:tr>
      <w:tr w:rsidR="0018223E" w:rsidRPr="0018223E" w14:paraId="64AE62CA" w14:textId="77777777" w:rsidTr="003C3650">
        <w:tc>
          <w:tcPr>
            <w:tcW w:w="2422" w:type="dxa"/>
          </w:tcPr>
          <w:p w14:paraId="0684E625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Cancer</w:t>
            </w:r>
          </w:p>
        </w:tc>
        <w:tc>
          <w:tcPr>
            <w:tcW w:w="1696" w:type="dxa"/>
          </w:tcPr>
          <w:p w14:paraId="337DBAA3" w14:textId="3C16F2DB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4828 (12.1%)</w:t>
            </w:r>
          </w:p>
        </w:tc>
        <w:tc>
          <w:tcPr>
            <w:tcW w:w="1618" w:type="dxa"/>
          </w:tcPr>
          <w:p w14:paraId="796DC498" w14:textId="477BE0EC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1545 (3.9%)</w:t>
            </w:r>
          </w:p>
        </w:tc>
        <w:tc>
          <w:tcPr>
            <w:tcW w:w="996" w:type="dxa"/>
          </w:tcPr>
          <w:p w14:paraId="031C0311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&lt;.001</w:t>
            </w:r>
          </w:p>
        </w:tc>
      </w:tr>
      <w:tr w:rsidR="0018223E" w:rsidRPr="0018223E" w14:paraId="2C2156B4" w14:textId="77777777" w:rsidTr="003C3650">
        <w:tc>
          <w:tcPr>
            <w:tcW w:w="2422" w:type="dxa"/>
            <w:tcBorders>
              <w:bottom w:val="single" w:sz="4" w:space="0" w:color="auto"/>
            </w:tcBorders>
          </w:tcPr>
          <w:p w14:paraId="1110C165" w14:textId="77777777" w:rsidR="0018223E" w:rsidRPr="0018223E" w:rsidRDefault="0018223E" w:rsidP="003C3650">
            <w:pPr>
              <w:wordWrap/>
              <w:jc w:val="left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COPD</w:t>
            </w:r>
          </w:p>
        </w:tc>
        <w:tc>
          <w:tcPr>
            <w:tcW w:w="1696" w:type="dxa"/>
            <w:tcBorders>
              <w:bottom w:val="single" w:sz="4" w:space="0" w:color="auto"/>
            </w:tcBorders>
          </w:tcPr>
          <w:p w14:paraId="4AD7FA49" w14:textId="576F8D61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5179 (13.0%)</w:t>
            </w:r>
          </w:p>
        </w:tc>
        <w:tc>
          <w:tcPr>
            <w:tcW w:w="1618" w:type="dxa"/>
            <w:tcBorders>
              <w:bottom w:val="single" w:sz="4" w:space="0" w:color="auto"/>
            </w:tcBorders>
          </w:tcPr>
          <w:p w14:paraId="5AA99E01" w14:textId="157A6461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1849 (4.7%)</w:t>
            </w:r>
          </w:p>
        </w:tc>
        <w:tc>
          <w:tcPr>
            <w:tcW w:w="996" w:type="dxa"/>
            <w:tcBorders>
              <w:bottom w:val="single" w:sz="4" w:space="0" w:color="auto"/>
            </w:tcBorders>
          </w:tcPr>
          <w:p w14:paraId="381F8440" w14:textId="77777777" w:rsidR="0018223E" w:rsidRPr="0018223E" w:rsidRDefault="0018223E" w:rsidP="003C3650">
            <w:pPr>
              <w:wordWrap/>
              <w:jc w:val="center"/>
              <w:rPr>
                <w:rFonts w:ascii="Times New Roman" w:hAnsi="Times New Roman" w:cs="Times New Roman"/>
                <w:szCs w:val="20"/>
              </w:rPr>
            </w:pPr>
            <w:r w:rsidRPr="0018223E">
              <w:rPr>
                <w:rFonts w:ascii="Times New Roman" w:hAnsi="Times New Roman" w:cs="Times New Roman"/>
                <w:szCs w:val="20"/>
              </w:rPr>
              <w:t>&lt;.001</w:t>
            </w:r>
          </w:p>
        </w:tc>
      </w:tr>
    </w:tbl>
    <w:p w14:paraId="13B7FB1B" w14:textId="4B33D69A" w:rsidR="00561353" w:rsidRDefault="005B5C1A" w:rsidP="005B5C1A">
      <w:pPr>
        <w:wordWrap/>
        <w:spacing w:line="240" w:lineRule="auto"/>
        <w:rPr>
          <w:rFonts w:ascii="Times New Roman" w:hAnsi="Times New Roman" w:cs="Times New Roman"/>
          <w:szCs w:val="20"/>
        </w:rPr>
      </w:pPr>
      <w:r w:rsidRPr="005B5C1A">
        <w:rPr>
          <w:rFonts w:ascii="Times New Roman" w:hAnsi="Times New Roman" w:cs="Times New Roman" w:hint="eastAsia"/>
          <w:b/>
          <w:bCs/>
          <w:szCs w:val="20"/>
        </w:rPr>
        <w:t>N</w:t>
      </w:r>
      <w:r w:rsidRPr="005B5C1A">
        <w:rPr>
          <w:rFonts w:ascii="Times New Roman" w:hAnsi="Times New Roman" w:cs="Times New Roman"/>
          <w:b/>
          <w:bCs/>
          <w:szCs w:val="20"/>
        </w:rPr>
        <w:t>otes</w:t>
      </w:r>
      <w:r>
        <w:rPr>
          <w:rFonts w:ascii="Times New Roman" w:hAnsi="Times New Roman" w:cs="Times New Roman"/>
          <w:szCs w:val="20"/>
        </w:rPr>
        <w:t xml:space="preserve">: </w:t>
      </w:r>
      <w:r w:rsidR="0018223E" w:rsidRPr="0018223E">
        <w:rPr>
          <w:rFonts w:ascii="Times New Roman" w:hAnsi="Times New Roman" w:cs="Times New Roman"/>
          <w:szCs w:val="20"/>
        </w:rPr>
        <w:t>Values are presented as number of people (% in each group).</w:t>
      </w:r>
      <w:r>
        <w:rPr>
          <w:rFonts w:ascii="Times New Roman" w:hAnsi="Times New Roman" w:cs="Times New Roman" w:hint="eastAsia"/>
          <w:szCs w:val="20"/>
        </w:rPr>
        <w:t xml:space="preserve"> </w:t>
      </w:r>
      <w:r w:rsidR="0018223E">
        <w:rPr>
          <w:rFonts w:ascii="Times New Roman" w:hAnsi="Times New Roman" w:cs="Times New Roman"/>
          <w:szCs w:val="20"/>
        </w:rPr>
        <w:t xml:space="preserve">Dysphagia group was age- and sex- matched with </w:t>
      </w:r>
      <w:r w:rsidR="004F1CB2" w:rsidRPr="00946D6A">
        <w:rPr>
          <w:rFonts w:ascii="Times New Roman" w:hAnsi="Times New Roman" w:cs="Times New Roman"/>
          <w:color w:val="000000" w:themeColor="text1"/>
          <w:szCs w:val="20"/>
        </w:rPr>
        <w:t>non-</w:t>
      </w:r>
      <w:r w:rsidR="0018223E" w:rsidRPr="00946D6A">
        <w:rPr>
          <w:rFonts w:ascii="Times New Roman" w:hAnsi="Times New Roman" w:cs="Times New Roman"/>
          <w:color w:val="000000" w:themeColor="text1"/>
          <w:szCs w:val="20"/>
        </w:rPr>
        <w:t xml:space="preserve">dysphagia </w:t>
      </w:r>
      <w:r w:rsidR="0018223E" w:rsidRPr="0018223E">
        <w:rPr>
          <w:rFonts w:ascii="Times New Roman" w:hAnsi="Times New Roman" w:cs="Times New Roman"/>
          <w:szCs w:val="20"/>
        </w:rPr>
        <w:t>group</w:t>
      </w:r>
      <w:r w:rsidR="00803F6F">
        <w:rPr>
          <w:rFonts w:ascii="Times New Roman" w:hAnsi="Times New Roman" w:cs="Times New Roman"/>
          <w:szCs w:val="20"/>
        </w:rPr>
        <w:t>.</w:t>
      </w:r>
      <w:bookmarkStart w:id="0" w:name="_GoBack"/>
      <w:bookmarkEnd w:id="0"/>
    </w:p>
    <w:p w14:paraId="2706F47E" w14:textId="0C3F63A6" w:rsidR="0018223E" w:rsidRDefault="00946D6A" w:rsidP="00946D6A">
      <w:pPr>
        <w:wordWrap/>
        <w:spacing w:line="240" w:lineRule="auto"/>
      </w:pPr>
      <w:r>
        <w:rPr>
          <w:rFonts w:ascii="Times New Roman" w:hAnsi="Times New Roman" w:cs="Times New Roman"/>
          <w:szCs w:val="20"/>
        </w:rPr>
        <w:t xml:space="preserve">ND: Neurodegenerative disease; </w:t>
      </w:r>
      <w:r w:rsidR="005B5C1A" w:rsidRPr="0018223E">
        <w:rPr>
          <w:rFonts w:ascii="Times New Roman" w:hAnsi="Times New Roman" w:cs="Times New Roman"/>
          <w:szCs w:val="20"/>
        </w:rPr>
        <w:t>COPD: Chronic obstructive pulmonary disease</w:t>
      </w:r>
    </w:p>
    <w:sectPr w:rsidR="0018223E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74AE4A" w14:textId="77777777" w:rsidR="00B9695B" w:rsidRDefault="00B9695B" w:rsidP="0018223E">
      <w:pPr>
        <w:spacing w:after="0" w:line="240" w:lineRule="auto"/>
      </w:pPr>
      <w:r>
        <w:separator/>
      </w:r>
    </w:p>
  </w:endnote>
  <w:endnote w:type="continuationSeparator" w:id="0">
    <w:p w14:paraId="37825BED" w14:textId="77777777" w:rsidR="00B9695B" w:rsidRDefault="00B9695B" w:rsidP="001822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F0A8444" w14:textId="77777777" w:rsidR="00B9695B" w:rsidRDefault="00B9695B" w:rsidP="0018223E">
      <w:pPr>
        <w:spacing w:after="0" w:line="240" w:lineRule="auto"/>
      </w:pPr>
      <w:r>
        <w:separator/>
      </w:r>
    </w:p>
  </w:footnote>
  <w:footnote w:type="continuationSeparator" w:id="0">
    <w:p w14:paraId="6A256986" w14:textId="77777777" w:rsidR="00B9695B" w:rsidRDefault="00B9695B" w:rsidP="001822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0A36A8"/>
    <w:multiLevelType w:val="hybridMultilevel"/>
    <w:tmpl w:val="CFD6FF2E"/>
    <w:lvl w:ilvl="0" w:tplc="A4AE5262">
      <w:start w:val="16"/>
      <w:numFmt w:val="upperLetter"/>
      <w:lvlText w:val="("/>
      <w:lvlJc w:val="left"/>
      <w:pPr>
        <w:ind w:left="760" w:hanging="36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23E"/>
    <w:rsid w:val="0018223E"/>
    <w:rsid w:val="004F1CB2"/>
    <w:rsid w:val="00561353"/>
    <w:rsid w:val="005B5C1A"/>
    <w:rsid w:val="00803F6F"/>
    <w:rsid w:val="00946D6A"/>
    <w:rsid w:val="00B9695B"/>
    <w:rsid w:val="00BD12AF"/>
    <w:rsid w:val="00D93E7B"/>
    <w:rsid w:val="00E2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02DA500"/>
  <w15:chartTrackingRefBased/>
  <w15:docId w15:val="{DC3B4473-0481-419C-AEFF-8E9D723DF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8223E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822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Char"/>
    <w:uiPriority w:val="99"/>
    <w:semiHidden/>
    <w:unhideWhenUsed/>
    <w:rsid w:val="0018223E"/>
    <w:pPr>
      <w:snapToGrid w:val="0"/>
      <w:jc w:val="left"/>
    </w:pPr>
  </w:style>
  <w:style w:type="character" w:customStyle="1" w:styleId="Char">
    <w:name w:val="각주 텍스트 Char"/>
    <w:basedOn w:val="a0"/>
    <w:link w:val="a4"/>
    <w:uiPriority w:val="99"/>
    <w:semiHidden/>
    <w:rsid w:val="0018223E"/>
  </w:style>
  <w:style w:type="character" w:styleId="a5">
    <w:name w:val="footnote reference"/>
    <w:basedOn w:val="a0"/>
    <w:uiPriority w:val="99"/>
    <w:semiHidden/>
    <w:unhideWhenUsed/>
    <w:rsid w:val="0018223E"/>
    <w:rPr>
      <w:vertAlign w:val="superscript"/>
    </w:rPr>
  </w:style>
  <w:style w:type="paragraph" w:styleId="a6">
    <w:name w:val="endnote text"/>
    <w:basedOn w:val="a"/>
    <w:link w:val="Char0"/>
    <w:uiPriority w:val="99"/>
    <w:semiHidden/>
    <w:unhideWhenUsed/>
    <w:rsid w:val="0018223E"/>
    <w:pPr>
      <w:snapToGrid w:val="0"/>
      <w:jc w:val="left"/>
    </w:pPr>
  </w:style>
  <w:style w:type="character" w:customStyle="1" w:styleId="Char0">
    <w:name w:val="미주 텍스트 Char"/>
    <w:basedOn w:val="a0"/>
    <w:link w:val="a6"/>
    <w:uiPriority w:val="99"/>
    <w:semiHidden/>
    <w:rsid w:val="0018223E"/>
  </w:style>
  <w:style w:type="character" w:styleId="a7">
    <w:name w:val="endnote reference"/>
    <w:basedOn w:val="a0"/>
    <w:uiPriority w:val="99"/>
    <w:semiHidden/>
    <w:unhideWhenUsed/>
    <w:rsid w:val="0018223E"/>
    <w:rPr>
      <w:vertAlign w:val="superscript"/>
    </w:rPr>
  </w:style>
  <w:style w:type="paragraph" w:styleId="a8">
    <w:name w:val="List Paragraph"/>
    <w:basedOn w:val="a"/>
    <w:uiPriority w:val="34"/>
    <w:qFormat/>
    <w:rsid w:val="00BD12AF"/>
    <w:pPr>
      <w:ind w:leftChars="400" w:left="800"/>
    </w:pPr>
  </w:style>
  <w:style w:type="paragraph" w:styleId="a9">
    <w:name w:val="header"/>
    <w:basedOn w:val="a"/>
    <w:link w:val="Char1"/>
    <w:uiPriority w:val="99"/>
    <w:unhideWhenUsed/>
    <w:rsid w:val="004F1CB2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9"/>
    <w:uiPriority w:val="99"/>
    <w:rsid w:val="004F1CB2"/>
  </w:style>
  <w:style w:type="paragraph" w:styleId="aa">
    <w:name w:val="footer"/>
    <w:basedOn w:val="a"/>
    <w:link w:val="Char2"/>
    <w:uiPriority w:val="99"/>
    <w:unhideWhenUsed/>
    <w:rsid w:val="004F1CB2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a"/>
    <w:uiPriority w:val="99"/>
    <w:rsid w:val="004F1CB2"/>
  </w:style>
  <w:style w:type="paragraph" w:styleId="ab">
    <w:name w:val="Revision"/>
    <w:hidden/>
    <w:uiPriority w:val="99"/>
    <w:semiHidden/>
    <w:rsid w:val="004F1CB2"/>
    <w:pPr>
      <w:spacing w:after="0" w:line="240" w:lineRule="auto"/>
      <w:jc w:val="left"/>
    </w:pPr>
  </w:style>
  <w:style w:type="paragraph" w:styleId="ac">
    <w:name w:val="Balloon Text"/>
    <w:basedOn w:val="a"/>
    <w:link w:val="Char3"/>
    <w:uiPriority w:val="99"/>
    <w:semiHidden/>
    <w:unhideWhenUsed/>
    <w:rsid w:val="00E22C3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c"/>
    <w:uiPriority w:val="99"/>
    <w:semiHidden/>
    <w:rsid w:val="00E22C3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008B25-03C5-4C2B-80A4-14665D9E68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JJSY</dc:creator>
  <cp:keywords/>
  <dc:description/>
  <cp:lastModifiedBy>Seungwoo Cha</cp:lastModifiedBy>
  <cp:revision>6</cp:revision>
  <dcterms:created xsi:type="dcterms:W3CDTF">2022-06-21T12:05:00Z</dcterms:created>
  <dcterms:modified xsi:type="dcterms:W3CDTF">2022-09-15T04:45:00Z</dcterms:modified>
</cp:coreProperties>
</file>