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B07" w14:textId="77777777" w:rsidR="009676FC" w:rsidRPr="009617A0" w:rsidRDefault="009676FC" w:rsidP="009676FC">
      <w:pPr>
        <w:adjustRightInd w:val="0"/>
        <w:snapToGrid w:val="0"/>
        <w:jc w:val="both"/>
        <w:rPr>
          <w:sz w:val="20"/>
          <w:szCs w:val="20"/>
        </w:rPr>
      </w:pPr>
      <w:r w:rsidRPr="009617A0">
        <w:rPr>
          <w:b/>
          <w:sz w:val="20"/>
          <w:szCs w:val="20"/>
        </w:rPr>
        <w:t>Appendix A1:</w:t>
      </w:r>
      <w:r w:rsidRPr="009617A0">
        <w:rPr>
          <w:sz w:val="20"/>
          <w:szCs w:val="20"/>
        </w:rPr>
        <w:t xml:space="preserve"> Summary of empirical studies of finance-inequality nexus</w:t>
      </w:r>
    </w:p>
    <w:tbl>
      <w:tblPr>
        <w:tblpPr w:leftFromText="180" w:rightFromText="180" w:vertAnchor="text" w:tblpY="1"/>
        <w:tblOverlap w:val="never"/>
        <w:tblW w:w="139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71"/>
        <w:gridCol w:w="3279"/>
        <w:gridCol w:w="2036"/>
        <w:gridCol w:w="1944"/>
        <w:gridCol w:w="1690"/>
        <w:gridCol w:w="2609"/>
      </w:tblGrid>
      <w:tr w:rsidR="009676FC" w14:paraId="048CBC9C" w14:textId="77777777" w:rsidTr="00303DAF">
        <w:trPr>
          <w:trHeight w:val="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898D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sz w:val="20"/>
                <w:szCs w:val="20"/>
              </w:rPr>
            </w:pPr>
            <w:r w:rsidRPr="009617A0">
              <w:rPr>
                <w:rFonts w:eastAsia="Yu Gothic"/>
                <w:b/>
                <w:sz w:val="20"/>
                <w:szCs w:val="20"/>
              </w:rPr>
              <w:t>Empirical studies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D30BA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sz w:val="20"/>
                <w:szCs w:val="20"/>
              </w:rPr>
            </w:pPr>
            <w:r w:rsidRPr="009617A0">
              <w:rPr>
                <w:rFonts w:eastAsia="Yu Gothic"/>
                <w:b/>
                <w:sz w:val="20"/>
                <w:szCs w:val="20"/>
              </w:rPr>
              <w:t>Sample countries (period)</w:t>
            </w:r>
          </w:p>
          <w:p w14:paraId="26630C44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>[Data structure]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A452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sz w:val="20"/>
                <w:szCs w:val="20"/>
              </w:rPr>
            </w:pPr>
            <w:r w:rsidRPr="009617A0">
              <w:rPr>
                <w:rFonts w:eastAsia="Yu Gothic"/>
                <w:b/>
                <w:sz w:val="20"/>
                <w:szCs w:val="20"/>
              </w:rPr>
              <w:t>Inequality measures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AADDA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sz w:val="20"/>
                <w:szCs w:val="20"/>
              </w:rPr>
            </w:pPr>
            <w:r w:rsidRPr="009617A0">
              <w:rPr>
                <w:rFonts w:eastAsia="Yu Gothic"/>
                <w:b/>
                <w:sz w:val="20"/>
                <w:szCs w:val="20"/>
              </w:rPr>
              <w:t>F.D. measures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C33C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sz w:val="20"/>
                <w:szCs w:val="20"/>
              </w:rPr>
            </w:pPr>
            <w:r w:rsidRPr="009617A0">
              <w:rPr>
                <w:rFonts w:eastAsia="Yu Gothic"/>
                <w:b/>
                <w:sz w:val="20"/>
                <w:szCs w:val="20"/>
              </w:rPr>
              <w:t>Methods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B19E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sz w:val="20"/>
                <w:szCs w:val="20"/>
              </w:rPr>
            </w:pPr>
            <w:r w:rsidRPr="009617A0">
              <w:rPr>
                <w:rFonts w:eastAsia="Yu Gothic"/>
                <w:b/>
                <w:sz w:val="20"/>
                <w:szCs w:val="20"/>
              </w:rPr>
              <w:t>Results</w:t>
            </w:r>
          </w:p>
        </w:tc>
      </w:tr>
      <w:tr w:rsidR="009676FC" w14:paraId="754A5158" w14:textId="77777777" w:rsidTr="00303DAF">
        <w:trPr>
          <w:trHeight w:val="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C676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Jauch and Watzka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836EF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138 countries (1960-2008)</w:t>
            </w:r>
          </w:p>
          <w:p w14:paraId="54B0381A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[annual and five-year average panel]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53004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Gross and net Gini</w:t>
            </w:r>
          </w:p>
          <w:p w14:paraId="4FEFB28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03A1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1AF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F.E., GMM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730501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 xml:space="preserve">Linear Positive </w:t>
            </w:r>
          </w:p>
          <w:p w14:paraId="237C5EB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 xml:space="preserve">　</w:t>
            </w:r>
          </w:p>
        </w:tc>
      </w:tr>
      <w:tr w:rsidR="009676FC" w14:paraId="1C302FDB" w14:textId="77777777" w:rsidTr="00303DAF">
        <w:trPr>
          <w:trHeight w:val="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F8605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de Haan and Sturm (2017)</w:t>
            </w:r>
          </w:p>
          <w:p w14:paraId="37653AC5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C5FF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121 countries (1975-2005) </w:t>
            </w:r>
          </w:p>
          <w:p w14:paraId="4149B296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[five-year average panel]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4FF0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Gross Gini</w:t>
            </w:r>
          </w:p>
          <w:p w14:paraId="2EC7B36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9B7A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Domestic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66D16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RE, G2SLS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D3B769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  <w:tr w:rsidR="009676FC" w14:paraId="5812D72C" w14:textId="77777777" w:rsidTr="00303DAF">
        <w:trPr>
          <w:trHeight w:val="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8B00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Beck et al., (2004)</w:t>
            </w:r>
          </w:p>
          <w:p w14:paraId="0575399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DEE19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52 countries (1960-1999)</w:t>
            </w:r>
          </w:p>
          <w:p w14:paraId="66143C6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[cross-country analysis]</w:t>
            </w:r>
          </w:p>
          <w:p w14:paraId="315E170E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538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Growth of Gini index </w:t>
            </w:r>
          </w:p>
          <w:p w14:paraId="0B3CE51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CBAC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573F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OLS, 2SLS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93D9D0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 xml:space="preserve">Linear Negative </w:t>
            </w:r>
          </w:p>
          <w:p w14:paraId="3BBEAD8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　</w:t>
            </w:r>
          </w:p>
          <w:p w14:paraId="1D14CC0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　</w:t>
            </w:r>
          </w:p>
          <w:p w14:paraId="41E4A95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　</w:t>
            </w:r>
          </w:p>
          <w:p w14:paraId="7C409B2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　</w:t>
            </w:r>
          </w:p>
          <w:p w14:paraId="558C5A3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　</w:t>
            </w:r>
          </w:p>
          <w:p w14:paraId="046DDB5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　</w:t>
            </w:r>
          </w:p>
          <w:p w14:paraId="0584F0B4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　</w:t>
            </w:r>
          </w:p>
        </w:tc>
      </w:tr>
      <w:tr w:rsidR="009676FC" w14:paraId="0F341E73" w14:textId="77777777" w:rsidTr="00303DAF">
        <w:trPr>
          <w:trHeight w:val="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58C26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Beck et al. (2007)</w:t>
            </w:r>
          </w:p>
          <w:p w14:paraId="4C6E6D7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B2C8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72 countries (1960-2005)</w:t>
            </w:r>
          </w:p>
          <w:p w14:paraId="019801E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[cross-country and five-year panel]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D99A4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Growth of Gini index </w:t>
            </w:r>
          </w:p>
          <w:p w14:paraId="364BEE3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D82E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8F9F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OLS, GMM 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14:paraId="3756923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  <w:tr w:rsidR="009676FC" w14:paraId="5C6A618A" w14:textId="77777777" w:rsidTr="00303DAF">
        <w:trPr>
          <w:trHeight w:val="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0ECC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Clarke et al. (2003)</w:t>
            </w:r>
          </w:p>
          <w:p w14:paraId="360887A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9DB95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91 countries (1960-1995)</w:t>
            </w:r>
          </w:p>
          <w:p w14:paraId="2C798D8A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[five-year average panel]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B9A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Gini index </w:t>
            </w:r>
          </w:p>
          <w:p w14:paraId="4AD93D3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D4344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A3F9A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OLS, GMM 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14:paraId="4DC6BDC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  <w:tr w:rsidR="009676FC" w14:paraId="77E8DBA4" w14:textId="77777777" w:rsidTr="00303DAF">
        <w:trPr>
          <w:trHeight w:val="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CCF75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Clarke et al. (2006)</w:t>
            </w:r>
          </w:p>
          <w:p w14:paraId="6A1FC405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FF238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83 countries (1960-1995)</w:t>
            </w:r>
          </w:p>
          <w:p w14:paraId="7BEC389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[five-year average panel]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E86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Gini index</w:t>
            </w:r>
          </w:p>
          <w:p w14:paraId="383862E8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738C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ADC4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OLS, 2SLS</w:t>
            </w:r>
          </w:p>
          <w:p w14:paraId="3639393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RE</w:t>
            </w:r>
          </w:p>
          <w:p w14:paraId="4C555E2E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14:paraId="020AEB1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  <w:tr w:rsidR="009676FC" w14:paraId="52727273" w14:textId="77777777" w:rsidTr="00303DAF">
        <w:trPr>
          <w:trHeight w:val="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F151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Kappel (2010)</w:t>
            </w:r>
          </w:p>
          <w:p w14:paraId="7E18331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C2A16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78 countries (1960-2006)</w:t>
            </w:r>
          </w:p>
          <w:p w14:paraId="2D973AE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[five-year average panel]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A75A6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Gini index </w:t>
            </w:r>
          </w:p>
          <w:p w14:paraId="15403138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CED3F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67F6A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OLS, 2SLS, RE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14:paraId="7522C87E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  <w:tr w:rsidR="009676FC" w14:paraId="21FA47BB" w14:textId="77777777" w:rsidTr="00303DAF">
        <w:trPr>
          <w:trHeight w:val="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eastAsia="Yu Gothic"/>
                <w:color w:val="000000"/>
                <w:sz w:val="20"/>
                <w:szCs w:val="20"/>
              </w:rPr>
              <w:tag w:val="MENDELEY_CITATION_v3_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"/>
              <w:id w:val="495695422"/>
              <w:placeholder>
                <w:docPart w:val="6CE4AACE36694FF98A0D651F5FA2D0B0"/>
              </w:placeholder>
            </w:sdtPr>
            <w:sdtContent>
              <w:p w14:paraId="0B9D762E" w14:textId="77777777" w:rsidR="009676FC" w:rsidRPr="009617A0" w:rsidRDefault="009676FC" w:rsidP="00303DAF">
                <w:pPr>
                  <w:adjustRightInd w:val="0"/>
                  <w:snapToGrid w:val="0"/>
                  <w:rPr>
                    <w:rFonts w:eastAsia="Yu Gothic"/>
                    <w:sz w:val="20"/>
                    <w:szCs w:val="20"/>
                  </w:rPr>
                </w:pPr>
                <w:r w:rsidRPr="00677CC7">
                  <w:rPr>
                    <w:rFonts w:eastAsia="Yu Gothic"/>
                    <w:color w:val="000000"/>
                    <w:sz w:val="20"/>
                    <w:szCs w:val="20"/>
                  </w:rPr>
                  <w:t>Li et al. (1998)</w:t>
                </w:r>
              </w:p>
            </w:sdtContent>
          </w:sdt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B725E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49 countries (1947-94)</w:t>
            </w:r>
          </w:p>
          <w:p w14:paraId="41EF47B5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[five-year average panel]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B024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Gini index </w:t>
            </w:r>
          </w:p>
          <w:p w14:paraId="49D8103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341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M2/GDP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44B36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OLS, IV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</w:tcPr>
          <w:p w14:paraId="13864B0F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  <w:tr w:rsidR="009676FC" w14:paraId="648A8F1F" w14:textId="77777777" w:rsidTr="00303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"/>
        </w:trPr>
        <w:tc>
          <w:tcPr>
            <w:tcW w:w="0" w:type="auto"/>
            <w:shd w:val="clear" w:color="auto" w:fill="auto"/>
            <w:noWrap/>
            <w:hideMark/>
          </w:tcPr>
          <w:p w14:paraId="199E9D2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Park and Shin (2015)</w:t>
            </w:r>
          </w:p>
          <w:p w14:paraId="74FF172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927883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162 countries (1960-2011)</w:t>
            </w:r>
          </w:p>
          <w:p w14:paraId="7CA23CA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[five-year average panel]</w:t>
            </w:r>
          </w:p>
        </w:tc>
        <w:tc>
          <w:tcPr>
            <w:tcW w:w="0" w:type="auto"/>
            <w:shd w:val="clear" w:color="auto" w:fill="auto"/>
            <w:hideMark/>
          </w:tcPr>
          <w:p w14:paraId="76FD272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Gross and net Gini</w:t>
            </w:r>
          </w:p>
          <w:p w14:paraId="68D32F2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Top income share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C5938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  <w:p w14:paraId="1EB8CAF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Market capitalization</w:t>
            </w:r>
          </w:p>
        </w:tc>
        <w:tc>
          <w:tcPr>
            <w:tcW w:w="0" w:type="auto"/>
            <w:shd w:val="clear" w:color="auto" w:fill="auto"/>
            <w:hideMark/>
          </w:tcPr>
          <w:p w14:paraId="324FB01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Pooled OLS, F.E.</w:t>
            </w:r>
          </w:p>
        </w:tc>
        <w:tc>
          <w:tcPr>
            <w:tcW w:w="0" w:type="auto"/>
            <w:vMerge w:val="restart"/>
          </w:tcPr>
          <w:p w14:paraId="3624137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 xml:space="preserve">Nonlinear U-Shape </w:t>
            </w:r>
          </w:p>
          <w:p w14:paraId="210B8849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 xml:space="preserve">　</w:t>
            </w:r>
          </w:p>
          <w:p w14:paraId="52781A0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 xml:space="preserve">　</w:t>
            </w:r>
          </w:p>
        </w:tc>
      </w:tr>
      <w:tr w:rsidR="009676FC" w14:paraId="46A52FDF" w14:textId="77777777" w:rsidTr="00303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"/>
        </w:trPr>
        <w:tc>
          <w:tcPr>
            <w:tcW w:w="0" w:type="auto"/>
            <w:shd w:val="clear" w:color="auto" w:fill="auto"/>
            <w:noWrap/>
            <w:hideMark/>
          </w:tcPr>
          <w:p w14:paraId="32A194A5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Brei et al. (2018)</w:t>
            </w:r>
          </w:p>
          <w:p w14:paraId="7BD0457F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00704E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97 countries (1989-2012)</w:t>
            </w:r>
          </w:p>
          <w:p w14:paraId="285333B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[five-year average panel]</w:t>
            </w:r>
          </w:p>
        </w:tc>
        <w:tc>
          <w:tcPr>
            <w:tcW w:w="0" w:type="auto"/>
            <w:shd w:val="clear" w:color="auto" w:fill="auto"/>
            <w:hideMark/>
          </w:tcPr>
          <w:p w14:paraId="1AF480C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Gini index</w:t>
            </w:r>
          </w:p>
          <w:p w14:paraId="30FD0C5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6D01CD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Fin. Dev. index</w:t>
            </w:r>
          </w:p>
        </w:tc>
        <w:tc>
          <w:tcPr>
            <w:tcW w:w="0" w:type="auto"/>
            <w:shd w:val="clear" w:color="auto" w:fill="auto"/>
            <w:hideMark/>
          </w:tcPr>
          <w:p w14:paraId="28EFEBEE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GMM</w:t>
            </w:r>
          </w:p>
        </w:tc>
        <w:tc>
          <w:tcPr>
            <w:tcW w:w="0" w:type="auto"/>
            <w:vMerge/>
          </w:tcPr>
          <w:p w14:paraId="173AD25E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  <w:tr w:rsidR="009676FC" w14:paraId="49974AC7" w14:textId="77777777" w:rsidTr="00303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"/>
        </w:trPr>
        <w:tc>
          <w:tcPr>
            <w:tcW w:w="0" w:type="auto"/>
            <w:shd w:val="clear" w:color="auto" w:fill="auto"/>
            <w:noWrap/>
            <w:hideMark/>
          </w:tcPr>
          <w:p w14:paraId="4A2A620A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Tan and Law (2012)</w:t>
            </w:r>
          </w:p>
          <w:p w14:paraId="5700064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6FDBA2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35 countries (1980-2000)</w:t>
            </w:r>
          </w:p>
          <w:p w14:paraId="3EDBDE6F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[annual panel analysis]</w:t>
            </w:r>
          </w:p>
        </w:tc>
        <w:tc>
          <w:tcPr>
            <w:tcW w:w="0" w:type="auto"/>
            <w:shd w:val="clear" w:color="auto" w:fill="auto"/>
            <w:hideMark/>
          </w:tcPr>
          <w:p w14:paraId="13F127D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Gini index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2ED1A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  <w:p w14:paraId="109ED18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Market capitalization </w:t>
            </w:r>
          </w:p>
        </w:tc>
        <w:tc>
          <w:tcPr>
            <w:tcW w:w="0" w:type="auto"/>
            <w:shd w:val="clear" w:color="auto" w:fill="auto"/>
            <w:hideMark/>
          </w:tcPr>
          <w:p w14:paraId="37D985D5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GMM</w:t>
            </w:r>
          </w:p>
        </w:tc>
        <w:tc>
          <w:tcPr>
            <w:tcW w:w="0" w:type="auto"/>
            <w:vMerge/>
          </w:tcPr>
          <w:p w14:paraId="2EF00908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  <w:tr w:rsidR="009676FC" w14:paraId="679F421F" w14:textId="77777777" w:rsidTr="00303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"/>
        </w:trPr>
        <w:tc>
          <w:tcPr>
            <w:tcW w:w="0" w:type="auto"/>
            <w:shd w:val="clear" w:color="auto" w:fill="auto"/>
            <w:noWrap/>
            <w:hideMark/>
          </w:tcPr>
          <w:p w14:paraId="4C1C8A16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Kim and Lin (2011)</w:t>
            </w:r>
          </w:p>
          <w:p w14:paraId="7DEA470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FB2E97A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65 countries (1960-2005)</w:t>
            </w:r>
          </w:p>
          <w:p w14:paraId="2DB3A764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[cross country analysis]</w:t>
            </w:r>
          </w:p>
        </w:tc>
        <w:tc>
          <w:tcPr>
            <w:tcW w:w="0" w:type="auto"/>
            <w:shd w:val="clear" w:color="auto" w:fill="auto"/>
            <w:hideMark/>
          </w:tcPr>
          <w:p w14:paraId="60297866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Growth of Gini index</w:t>
            </w:r>
          </w:p>
          <w:p w14:paraId="31FCCF6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AAE516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Private credit </w:t>
            </w:r>
          </w:p>
          <w:p w14:paraId="1C76B1B8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Liquid liabilities</w:t>
            </w:r>
          </w:p>
        </w:tc>
        <w:tc>
          <w:tcPr>
            <w:tcW w:w="0" w:type="auto"/>
            <w:shd w:val="clear" w:color="auto" w:fill="auto"/>
            <w:hideMark/>
          </w:tcPr>
          <w:p w14:paraId="108CA1A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OLS, IV</w:t>
            </w:r>
          </w:p>
        </w:tc>
        <w:tc>
          <w:tcPr>
            <w:tcW w:w="0" w:type="auto"/>
            <w:vMerge w:val="restart"/>
          </w:tcPr>
          <w:p w14:paraId="7E2189C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>Nonlinear Inverted U-Shape</w:t>
            </w:r>
          </w:p>
          <w:p w14:paraId="67AEC35F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 xml:space="preserve">　</w:t>
            </w:r>
          </w:p>
          <w:p w14:paraId="368A02EE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 xml:space="preserve">　</w:t>
            </w:r>
          </w:p>
        </w:tc>
      </w:tr>
      <w:tr w:rsidR="009676FC" w14:paraId="4B52F47E" w14:textId="77777777" w:rsidTr="00303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"/>
        </w:trPr>
        <w:tc>
          <w:tcPr>
            <w:tcW w:w="0" w:type="auto"/>
            <w:shd w:val="clear" w:color="auto" w:fill="auto"/>
            <w:noWrap/>
            <w:hideMark/>
          </w:tcPr>
          <w:p w14:paraId="63B87B0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 xml:space="preserve">Nikoloski (2012) </w:t>
            </w:r>
          </w:p>
          <w:p w14:paraId="375568C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2A0957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52 countries (1962-2006)</w:t>
            </w:r>
          </w:p>
          <w:p w14:paraId="45920E6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[five-year average panel]</w:t>
            </w:r>
          </w:p>
        </w:tc>
        <w:tc>
          <w:tcPr>
            <w:tcW w:w="0" w:type="auto"/>
            <w:shd w:val="clear" w:color="auto" w:fill="auto"/>
            <w:hideMark/>
          </w:tcPr>
          <w:p w14:paraId="0F3E8286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Gini index</w:t>
            </w:r>
          </w:p>
          <w:p w14:paraId="6C21F5A4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DD97FC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</w:tc>
        <w:tc>
          <w:tcPr>
            <w:tcW w:w="0" w:type="auto"/>
            <w:shd w:val="clear" w:color="auto" w:fill="auto"/>
            <w:hideMark/>
          </w:tcPr>
          <w:p w14:paraId="4C08B29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F.E., GMM</w:t>
            </w:r>
          </w:p>
        </w:tc>
        <w:tc>
          <w:tcPr>
            <w:tcW w:w="0" w:type="auto"/>
            <w:vMerge/>
          </w:tcPr>
          <w:p w14:paraId="04B91478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  <w:tr w:rsidR="009676FC" w14:paraId="6E46F3FA" w14:textId="77777777" w:rsidTr="00303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"/>
        </w:trPr>
        <w:tc>
          <w:tcPr>
            <w:tcW w:w="0" w:type="auto"/>
            <w:shd w:val="clear" w:color="auto" w:fill="auto"/>
            <w:noWrap/>
          </w:tcPr>
          <w:p w14:paraId="487A68C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Chen and Kinkyo (2016)</w:t>
            </w:r>
          </w:p>
          <w:p w14:paraId="1B118BEF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B31FECF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88 countries (1961-2012)</w:t>
            </w:r>
          </w:p>
          <w:p w14:paraId="1808FA68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[annual panel analysis]</w:t>
            </w:r>
          </w:p>
        </w:tc>
        <w:tc>
          <w:tcPr>
            <w:tcW w:w="0" w:type="auto"/>
            <w:shd w:val="clear" w:color="auto" w:fill="auto"/>
          </w:tcPr>
          <w:p w14:paraId="2B7B2BE5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Gini index</w:t>
            </w:r>
          </w:p>
          <w:p w14:paraId="2F4FA7F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DEA816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</w:tc>
        <w:tc>
          <w:tcPr>
            <w:tcW w:w="0" w:type="auto"/>
            <w:shd w:val="clear" w:color="auto" w:fill="auto"/>
          </w:tcPr>
          <w:p w14:paraId="4873E0E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PMG estimator</w:t>
            </w:r>
          </w:p>
        </w:tc>
        <w:tc>
          <w:tcPr>
            <w:tcW w:w="0" w:type="auto"/>
            <w:vMerge w:val="restart"/>
          </w:tcPr>
          <w:p w14:paraId="2087E18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>Mixed-Effects</w:t>
            </w:r>
          </w:p>
          <w:p w14:paraId="17E2AE5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  <w:tr w:rsidR="009676FC" w14:paraId="5A312D39" w14:textId="77777777" w:rsidTr="00303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"/>
        </w:trPr>
        <w:tc>
          <w:tcPr>
            <w:tcW w:w="0" w:type="auto"/>
            <w:shd w:val="clear" w:color="auto" w:fill="auto"/>
            <w:noWrap/>
          </w:tcPr>
          <w:sdt>
            <w:sdtPr>
              <w:rPr>
                <w:rFonts w:eastAsia="Yu Gothic"/>
                <w:color w:val="000000"/>
                <w:sz w:val="20"/>
                <w:szCs w:val="20"/>
              </w:rPr>
              <w:tag w:val="MENDELEY_CITATION_v3_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"/>
              <w:id w:val="-1490013087"/>
              <w:placeholder>
                <w:docPart w:val="6CE4AACE36694FF98A0D651F5FA2D0B0"/>
              </w:placeholder>
            </w:sdtPr>
            <w:sdtContent>
              <w:p w14:paraId="330ABCC0" w14:textId="77777777" w:rsidR="009676FC" w:rsidRPr="00812D37" w:rsidRDefault="009676FC" w:rsidP="00303DAF">
                <w:pPr>
                  <w:adjustRightInd w:val="0"/>
                  <w:snapToGrid w:val="0"/>
                  <w:rPr>
                    <w:rFonts w:eastAsia="Yu Gothic"/>
                    <w:sz w:val="20"/>
                    <w:szCs w:val="20"/>
                  </w:rPr>
                </w:pPr>
                <w:r w:rsidRPr="00677CC7">
                  <w:rPr>
                    <w:color w:val="000000"/>
                    <w:sz w:val="20"/>
                    <w:szCs w:val="20"/>
                  </w:rPr>
                  <w:t>Čihák and Sahay (2020)</w:t>
                </w:r>
              </w:p>
            </w:sdtContent>
          </w:sdt>
        </w:tc>
        <w:tc>
          <w:tcPr>
            <w:tcW w:w="0" w:type="auto"/>
            <w:shd w:val="clear" w:color="auto" w:fill="auto"/>
            <w:noWrap/>
          </w:tcPr>
          <w:p w14:paraId="3DF7E03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128 countries (1980-2015)</w:t>
            </w:r>
          </w:p>
          <w:p w14:paraId="6960E52F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[cross-country and 5-yr av. panel]</w:t>
            </w:r>
          </w:p>
        </w:tc>
        <w:tc>
          <w:tcPr>
            <w:tcW w:w="0" w:type="auto"/>
            <w:shd w:val="clear" w:color="auto" w:fill="auto"/>
          </w:tcPr>
          <w:p w14:paraId="4545220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Gross and net Gini</w:t>
            </w:r>
          </w:p>
        </w:tc>
        <w:tc>
          <w:tcPr>
            <w:tcW w:w="0" w:type="auto"/>
            <w:shd w:val="clear" w:color="auto" w:fill="auto"/>
            <w:noWrap/>
          </w:tcPr>
          <w:p w14:paraId="08382EB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Financial depth</w:t>
            </w:r>
          </w:p>
          <w:p w14:paraId="6E6585E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Financial inclusion</w:t>
            </w:r>
          </w:p>
        </w:tc>
        <w:tc>
          <w:tcPr>
            <w:tcW w:w="0" w:type="auto"/>
            <w:shd w:val="clear" w:color="auto" w:fill="auto"/>
          </w:tcPr>
          <w:p w14:paraId="47CE3A05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OLS, GLS, GMM</w:t>
            </w:r>
          </w:p>
        </w:tc>
        <w:tc>
          <w:tcPr>
            <w:tcW w:w="0" w:type="auto"/>
            <w:vMerge/>
          </w:tcPr>
          <w:p w14:paraId="4D94A2AA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  <w:tr w:rsidR="009676FC" w14:paraId="713C7201" w14:textId="77777777" w:rsidTr="00303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sdt>
          <w:sdtPr>
            <w:rPr>
              <w:rFonts w:eastAsia="Yu Gothic"/>
              <w:color w:val="000000"/>
              <w:sz w:val="20"/>
              <w:szCs w:val="20"/>
            </w:rPr>
            <w:tag w:val="MENDELEY_CITATION_v3_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"/>
            <w:id w:val="-669097711"/>
            <w:placeholder>
              <w:docPart w:val="6CE4AACE36694FF98A0D651F5FA2D0B0"/>
            </w:placeholder>
          </w:sdtPr>
          <w:sdtContent>
            <w:tc>
              <w:tcPr>
                <w:tcW w:w="0" w:type="auto"/>
                <w:shd w:val="clear" w:color="auto" w:fill="auto"/>
                <w:noWrap/>
              </w:tcPr>
              <w:p w14:paraId="2BA0B8E7" w14:textId="77777777" w:rsidR="009676FC" w:rsidRPr="00677CC7" w:rsidRDefault="009676FC" w:rsidP="00303DAF">
                <w:pPr>
                  <w:adjustRightInd w:val="0"/>
                  <w:snapToGrid w:val="0"/>
                  <w:rPr>
                    <w:color w:val="000000"/>
                    <w:sz w:val="20"/>
                    <w:szCs w:val="20"/>
                  </w:rPr>
                </w:pPr>
                <w:r w:rsidRPr="00677CC7">
                  <w:rPr>
                    <w:color w:val="000000"/>
                    <w:sz w:val="20"/>
                    <w:szCs w:val="20"/>
                  </w:rPr>
                  <w:t xml:space="preserve">Canavire-Bacarreza </w:t>
                </w:r>
              </w:p>
              <w:p w14:paraId="4FE23D8C" w14:textId="77777777" w:rsidR="009676FC" w:rsidRPr="009617A0" w:rsidRDefault="009676FC" w:rsidP="00303DAF">
                <w:pPr>
                  <w:adjustRightInd w:val="0"/>
                  <w:snapToGrid w:val="0"/>
                  <w:rPr>
                    <w:rFonts w:eastAsia="Yu Gothic"/>
                    <w:sz w:val="20"/>
                    <w:szCs w:val="20"/>
                  </w:rPr>
                </w:pPr>
                <w:r w:rsidRPr="00677CC7">
                  <w:rPr>
                    <w:color w:val="000000"/>
                    <w:sz w:val="20"/>
                    <w:szCs w:val="20"/>
                  </w:rPr>
                  <w:t>and Rioja (2008)</w:t>
                </w:r>
              </w:p>
            </w:tc>
          </w:sdtContent>
        </w:sdt>
        <w:tc>
          <w:tcPr>
            <w:tcW w:w="0" w:type="auto"/>
            <w:shd w:val="clear" w:color="auto" w:fill="auto"/>
            <w:noWrap/>
          </w:tcPr>
          <w:p w14:paraId="3560169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21 LAC countries (1960-2005)</w:t>
            </w:r>
          </w:p>
          <w:p w14:paraId="424EE2C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[five-year average panel]</w:t>
            </w:r>
          </w:p>
        </w:tc>
        <w:tc>
          <w:tcPr>
            <w:tcW w:w="0" w:type="auto"/>
            <w:shd w:val="clear" w:color="auto" w:fill="auto"/>
          </w:tcPr>
          <w:p w14:paraId="675E391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Q1-Q5 and Gini index</w:t>
            </w:r>
          </w:p>
        </w:tc>
        <w:tc>
          <w:tcPr>
            <w:tcW w:w="0" w:type="auto"/>
            <w:shd w:val="clear" w:color="auto" w:fill="auto"/>
            <w:noWrap/>
          </w:tcPr>
          <w:p w14:paraId="24C20B6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</w:tc>
        <w:tc>
          <w:tcPr>
            <w:tcW w:w="0" w:type="auto"/>
            <w:shd w:val="clear" w:color="auto" w:fill="auto"/>
          </w:tcPr>
          <w:p w14:paraId="433CC15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dynamic GMM</w:t>
            </w:r>
          </w:p>
        </w:tc>
        <w:tc>
          <w:tcPr>
            <w:tcW w:w="0" w:type="auto"/>
            <w:vMerge/>
          </w:tcPr>
          <w:p w14:paraId="0CD20CA9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</w:tbl>
    <w:p w14:paraId="36EE7C90" w14:textId="77777777" w:rsidR="009676FC" w:rsidRPr="009617A0" w:rsidRDefault="009676FC" w:rsidP="009676FC">
      <w:pPr>
        <w:adjustRightInd w:val="0"/>
        <w:snapToGrid w:val="0"/>
        <w:spacing w:line="480" w:lineRule="auto"/>
        <w:ind w:firstLine="567"/>
        <w:jc w:val="right"/>
        <w:rPr>
          <w:b/>
          <w:i/>
          <w:iCs/>
          <w:sz w:val="20"/>
          <w:szCs w:val="20"/>
        </w:rPr>
      </w:pPr>
      <w:r w:rsidRPr="009617A0">
        <w:rPr>
          <w:b/>
          <w:i/>
          <w:iCs/>
          <w:sz w:val="20"/>
          <w:szCs w:val="20"/>
        </w:rPr>
        <w:t>Cont’d</w:t>
      </w:r>
    </w:p>
    <w:p w14:paraId="762D5EE0" w14:textId="77777777" w:rsidR="009676FC" w:rsidRDefault="009676FC" w:rsidP="009676FC">
      <w:pPr>
        <w:adjustRightInd w:val="0"/>
        <w:snapToGrid w:val="0"/>
        <w:spacing w:line="480" w:lineRule="auto"/>
        <w:jc w:val="both"/>
        <w:rPr>
          <w:b/>
          <w:sz w:val="20"/>
          <w:szCs w:val="20"/>
        </w:rPr>
      </w:pPr>
    </w:p>
    <w:p w14:paraId="459DAAEA" w14:textId="77777777" w:rsidR="009676FC" w:rsidRPr="00582B28" w:rsidRDefault="009676FC" w:rsidP="009676FC">
      <w:pPr>
        <w:adjustRightInd w:val="0"/>
        <w:snapToGrid w:val="0"/>
        <w:jc w:val="both"/>
        <w:rPr>
          <w:i/>
          <w:iCs/>
          <w:sz w:val="20"/>
          <w:szCs w:val="20"/>
        </w:rPr>
      </w:pPr>
      <w:r w:rsidRPr="009617A0">
        <w:rPr>
          <w:b/>
          <w:sz w:val="20"/>
          <w:szCs w:val="20"/>
        </w:rPr>
        <w:lastRenderedPageBreak/>
        <w:t>Appendix A1:</w:t>
      </w:r>
      <w:r w:rsidRPr="009617A0">
        <w:rPr>
          <w:sz w:val="20"/>
          <w:szCs w:val="20"/>
        </w:rPr>
        <w:t xml:space="preserve"> Summary of empirical studies of finance-inequality nexus </w:t>
      </w:r>
      <w:r w:rsidRPr="009617A0">
        <w:rPr>
          <w:i/>
          <w:iCs/>
          <w:sz w:val="20"/>
          <w:szCs w:val="20"/>
        </w:rPr>
        <w:t>[cont’d]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44"/>
        <w:gridCol w:w="3234"/>
        <w:gridCol w:w="2192"/>
        <w:gridCol w:w="2047"/>
        <w:gridCol w:w="1632"/>
        <w:gridCol w:w="1978"/>
      </w:tblGrid>
      <w:tr w:rsidR="009676FC" w14:paraId="25A3910E" w14:textId="77777777" w:rsidTr="00303DAF">
        <w:trPr>
          <w:trHeight w:val="460"/>
        </w:trPr>
        <w:tc>
          <w:tcPr>
            <w:tcW w:w="1021" w:type="pct"/>
            <w:shd w:val="clear" w:color="auto" w:fill="auto"/>
            <w:noWrap/>
          </w:tcPr>
          <w:p w14:paraId="4CB2B07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sz w:val="20"/>
                <w:szCs w:val="20"/>
              </w:rPr>
            </w:pPr>
            <w:bookmarkStart w:id="0" w:name="Summary"/>
            <w:bookmarkEnd w:id="0"/>
            <w:r w:rsidRPr="009617A0">
              <w:rPr>
                <w:rFonts w:eastAsia="Yu Gothic"/>
                <w:b/>
                <w:sz w:val="20"/>
                <w:szCs w:val="20"/>
              </w:rPr>
              <w:t>Empirical studies</w:t>
            </w:r>
          </w:p>
        </w:tc>
        <w:tc>
          <w:tcPr>
            <w:tcW w:w="1161" w:type="pct"/>
            <w:shd w:val="clear" w:color="auto" w:fill="auto"/>
            <w:noWrap/>
          </w:tcPr>
          <w:p w14:paraId="7E27CC4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sz w:val="20"/>
                <w:szCs w:val="20"/>
              </w:rPr>
            </w:pPr>
            <w:r w:rsidRPr="009617A0">
              <w:rPr>
                <w:rFonts w:eastAsia="Yu Gothic"/>
                <w:b/>
                <w:sz w:val="20"/>
                <w:szCs w:val="20"/>
              </w:rPr>
              <w:t>Sample countries, period</w:t>
            </w:r>
          </w:p>
        </w:tc>
        <w:tc>
          <w:tcPr>
            <w:tcW w:w="787" w:type="pct"/>
            <w:shd w:val="clear" w:color="auto" w:fill="auto"/>
          </w:tcPr>
          <w:p w14:paraId="57D5530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sz w:val="20"/>
                <w:szCs w:val="20"/>
              </w:rPr>
            </w:pPr>
            <w:r w:rsidRPr="009617A0">
              <w:rPr>
                <w:rFonts w:eastAsia="Yu Gothic"/>
                <w:b/>
                <w:sz w:val="20"/>
                <w:szCs w:val="20"/>
              </w:rPr>
              <w:t>Inequality measures</w:t>
            </w:r>
          </w:p>
        </w:tc>
        <w:tc>
          <w:tcPr>
            <w:tcW w:w="735" w:type="pct"/>
            <w:shd w:val="clear" w:color="auto" w:fill="auto"/>
            <w:noWrap/>
          </w:tcPr>
          <w:p w14:paraId="2DDE2DA6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sz w:val="20"/>
                <w:szCs w:val="20"/>
              </w:rPr>
            </w:pPr>
            <w:r w:rsidRPr="009617A0">
              <w:rPr>
                <w:rFonts w:eastAsia="Yu Gothic"/>
                <w:b/>
                <w:sz w:val="20"/>
                <w:szCs w:val="20"/>
              </w:rPr>
              <w:t>F.D. measures</w:t>
            </w:r>
          </w:p>
        </w:tc>
        <w:tc>
          <w:tcPr>
            <w:tcW w:w="586" w:type="pct"/>
            <w:shd w:val="clear" w:color="auto" w:fill="auto"/>
          </w:tcPr>
          <w:p w14:paraId="3F89FC7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sz w:val="20"/>
                <w:szCs w:val="20"/>
              </w:rPr>
            </w:pPr>
            <w:r w:rsidRPr="009617A0">
              <w:rPr>
                <w:rFonts w:eastAsia="Yu Gothic"/>
                <w:b/>
                <w:sz w:val="20"/>
                <w:szCs w:val="20"/>
              </w:rPr>
              <w:t>Methods</w:t>
            </w:r>
          </w:p>
        </w:tc>
        <w:tc>
          <w:tcPr>
            <w:tcW w:w="711" w:type="pct"/>
          </w:tcPr>
          <w:p w14:paraId="2BA64B4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sz w:val="20"/>
                <w:szCs w:val="20"/>
              </w:rPr>
            </w:pPr>
            <w:r w:rsidRPr="009617A0">
              <w:rPr>
                <w:rFonts w:eastAsia="Yu Gothic"/>
                <w:b/>
                <w:sz w:val="20"/>
                <w:szCs w:val="20"/>
              </w:rPr>
              <w:t>Results</w:t>
            </w:r>
          </w:p>
        </w:tc>
      </w:tr>
      <w:tr w:rsidR="009676FC" w14:paraId="3141A718" w14:textId="77777777" w:rsidTr="00303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0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095E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Law et al. (2014)</w:t>
            </w:r>
          </w:p>
          <w:p w14:paraId="2482EA1A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BA99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81 countries, 1985-2010</w:t>
            </w:r>
          </w:p>
          <w:p w14:paraId="5086880F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[cross-country and annual panel]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7EB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Net Gini</w:t>
            </w:r>
          </w:p>
          <w:p w14:paraId="30F109F4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7A1B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Bank credit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EB26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OLS, IV, GMM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024079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bCs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>Conditional Effects</w:t>
            </w:r>
          </w:p>
          <w:p w14:paraId="31431BB2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b/>
                <w:i/>
                <w:iCs/>
                <w:sz w:val="20"/>
                <w:szCs w:val="20"/>
              </w:rPr>
              <w:t xml:space="preserve">　</w:t>
            </w:r>
          </w:p>
          <w:p w14:paraId="768A4338" w14:textId="77777777" w:rsidR="009676FC" w:rsidRPr="009617A0" w:rsidRDefault="009676FC" w:rsidP="00303DAF">
            <w:pPr>
              <w:adjustRightInd w:val="0"/>
              <w:snapToGrid w:val="0"/>
              <w:rPr>
                <w:rFonts w:eastAsia="Malgun Gothic"/>
                <w:b/>
                <w:bCs/>
                <w:i/>
                <w:iCs/>
                <w:sz w:val="20"/>
                <w:szCs w:val="20"/>
                <w:lang w:eastAsia="ko-KR"/>
              </w:rPr>
            </w:pPr>
          </w:p>
        </w:tc>
      </w:tr>
      <w:tr w:rsidR="009676FC" w14:paraId="5EB4C988" w14:textId="77777777" w:rsidTr="00303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0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3FEF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Benczúr and Kvedaras (2021)</w:t>
            </w:r>
          </w:p>
          <w:p w14:paraId="1A49FD6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A91C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33 OECD (1960-2010)</w:t>
            </w:r>
          </w:p>
          <w:p w14:paraId="1606B4A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[annual panel analysis]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BAE5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Gross and net Gini</w:t>
            </w:r>
          </w:p>
          <w:p w14:paraId="3307B49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Top 1 % income share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6DC3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domestic bank credit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A228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GMM</w:t>
            </w:r>
          </w:p>
        </w:tc>
        <w:tc>
          <w:tcPr>
            <w:tcW w:w="711" w:type="pct"/>
            <w:vMerge/>
            <w:tcBorders>
              <w:top w:val="nil"/>
              <w:left w:val="nil"/>
              <w:right w:val="single" w:sz="4" w:space="0" w:color="auto"/>
            </w:tcBorders>
          </w:tcPr>
          <w:p w14:paraId="19EAC5D9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b/>
                <w:i/>
                <w:iCs/>
                <w:sz w:val="20"/>
                <w:szCs w:val="20"/>
              </w:rPr>
            </w:pPr>
          </w:p>
        </w:tc>
      </w:tr>
      <w:tr w:rsidR="009676FC" w14:paraId="4C6C2264" w14:textId="77777777" w:rsidTr="00303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0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44CFB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Kunieda et al. (2014)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A2C93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100 countries (1985-2009)</w:t>
            </w:r>
          </w:p>
          <w:p w14:paraId="16FCD2C1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i/>
                <w:iCs/>
                <w:sz w:val="20"/>
                <w:szCs w:val="20"/>
              </w:rPr>
            </w:pPr>
            <w:r w:rsidRPr="009617A0">
              <w:rPr>
                <w:rFonts w:eastAsia="Yu Gothic"/>
                <w:i/>
                <w:iCs/>
                <w:sz w:val="20"/>
                <w:szCs w:val="20"/>
              </w:rPr>
              <w:t>[Cross-country and annual panel]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F74C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Net Gini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51FDD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Private credit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2180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  <w:r w:rsidRPr="009617A0">
              <w:rPr>
                <w:rFonts w:eastAsia="Yu Gothic"/>
                <w:sz w:val="20"/>
                <w:szCs w:val="20"/>
              </w:rPr>
              <w:t>GMM</w:t>
            </w:r>
          </w:p>
        </w:tc>
        <w:tc>
          <w:tcPr>
            <w:tcW w:w="7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95F887" w14:textId="77777777" w:rsidR="009676FC" w:rsidRPr="009617A0" w:rsidRDefault="009676FC" w:rsidP="00303DAF">
            <w:pPr>
              <w:adjustRightInd w:val="0"/>
              <w:snapToGrid w:val="0"/>
              <w:rPr>
                <w:rFonts w:eastAsia="Yu Gothic"/>
                <w:sz w:val="20"/>
                <w:szCs w:val="20"/>
              </w:rPr>
            </w:pPr>
          </w:p>
        </w:tc>
      </w:tr>
    </w:tbl>
    <w:p w14:paraId="6B703DE0" w14:textId="77777777" w:rsidR="009676FC" w:rsidRPr="009617A0" w:rsidRDefault="009676FC" w:rsidP="009676FC">
      <w:pPr>
        <w:adjustRightInd w:val="0"/>
        <w:snapToGrid w:val="0"/>
      </w:pPr>
      <w:r w:rsidRPr="009617A0">
        <w:rPr>
          <w:i/>
          <w:iCs/>
          <w:sz w:val="20"/>
          <w:szCs w:val="20"/>
        </w:rPr>
        <w:t>Note: OLS=ordinary least square, 2SLS= second stage least square, 2SGLS= second stage generalized least square, IV= instrumental variables, FE=fixed effects, RE=random effects, PMG=pooled mean group, GMM=generalized method of moment</w:t>
      </w:r>
    </w:p>
    <w:p w14:paraId="2A0CBB9E" w14:textId="77777777" w:rsidR="00342BD7" w:rsidRDefault="00342BD7"/>
    <w:sectPr w:rsidR="00342BD7" w:rsidSect="009D68E2">
      <w:footerReference w:type="default" r:id="rId4"/>
      <w:endnotePr>
        <w:numFmt w:val="decimal"/>
      </w:endnotePr>
      <w:pgSz w:w="16817" w:h="11901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23195784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/>
        <w:sz w:val="24"/>
        <w:szCs w:val="24"/>
      </w:rPr>
    </w:sdtEndPr>
    <w:sdtContent>
      <w:p w14:paraId="4C02BBA0" w14:textId="77777777" w:rsidR="00837D24" w:rsidRPr="007C6C7D" w:rsidRDefault="009676FC" w:rsidP="009D68E2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/>
            <w:sz w:val="24"/>
            <w:szCs w:val="24"/>
          </w:rPr>
        </w:pPr>
        <w:r w:rsidRPr="007C6C7D">
          <w:rPr>
            <w:rStyle w:val="PageNumber"/>
            <w:rFonts w:ascii="Times New Roman" w:hAnsi="Times New Roman"/>
            <w:sz w:val="24"/>
            <w:szCs w:val="24"/>
          </w:rPr>
          <w:fldChar w:fldCharType="begin"/>
        </w:r>
        <w:r w:rsidRPr="007C6C7D">
          <w:rPr>
            <w:rStyle w:val="PageNumber"/>
            <w:rFonts w:ascii="Times New Roman" w:hAnsi="Times New Roman"/>
            <w:sz w:val="24"/>
            <w:szCs w:val="24"/>
          </w:rPr>
          <w:instrText xml:space="preserve"> PAGE </w:instrText>
        </w:r>
        <w:r w:rsidRPr="007C6C7D">
          <w:rPr>
            <w:rStyle w:val="PageNumber"/>
            <w:rFonts w:ascii="Times New Roman" w:hAnsi="Times New Roman"/>
            <w:sz w:val="24"/>
            <w:szCs w:val="24"/>
          </w:rPr>
          <w:fldChar w:fldCharType="separate"/>
        </w:r>
        <w:r w:rsidRPr="007C6C7D">
          <w:rPr>
            <w:rStyle w:val="PageNumber"/>
            <w:rFonts w:ascii="Times New Roman" w:hAnsi="Times New Roman"/>
            <w:noProof/>
            <w:sz w:val="24"/>
            <w:szCs w:val="24"/>
          </w:rPr>
          <w:t>17</w:t>
        </w:r>
        <w:r w:rsidRPr="007C6C7D">
          <w:rPr>
            <w:rStyle w:val="PageNumber"/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FE4CFB4" w14:textId="77777777" w:rsidR="00837D24" w:rsidRPr="007C6C7D" w:rsidRDefault="009676FC" w:rsidP="00B71619">
    <w:pPr>
      <w:pStyle w:val="Footer"/>
      <w:jc w:val="center"/>
      <w:rPr>
        <w:rFonts w:ascii="Times New Roman" w:hAnsi="Times New Roman"/>
        <w:sz w:val="24"/>
        <w:szCs w:val="24"/>
      </w:rPr>
    </w:pPr>
  </w:p>
  <w:p w14:paraId="2800F96B" w14:textId="77777777" w:rsidR="00837D24" w:rsidRDefault="009676F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FC"/>
    <w:rsid w:val="00342BD7"/>
    <w:rsid w:val="0096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80264"/>
  <w15:chartTrackingRefBased/>
  <w15:docId w15:val="{E6531CA3-FB97-4A28-B989-D7DFBC67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676FC"/>
    <w:pPr>
      <w:tabs>
        <w:tab w:val="center" w:pos="4680"/>
        <w:tab w:val="right" w:pos="9360"/>
      </w:tabs>
      <w:spacing w:line="276" w:lineRule="auto"/>
    </w:pPr>
    <w:rPr>
      <w:rFonts w:ascii="Calibri" w:eastAsia="MS Mincho" w:hAnsi="Calibri"/>
      <w:sz w:val="20"/>
      <w:szCs w:val="20"/>
      <w:lang w:val="x-none" w:eastAsia="x-none" w:bidi="ar-SA"/>
    </w:rPr>
  </w:style>
  <w:style w:type="character" w:customStyle="1" w:styleId="FooterChar">
    <w:name w:val="Footer Char"/>
    <w:basedOn w:val="DefaultParagraphFont"/>
    <w:link w:val="Footer"/>
    <w:uiPriority w:val="99"/>
    <w:rsid w:val="009676FC"/>
    <w:rPr>
      <w:rFonts w:ascii="Calibri" w:eastAsia="MS Mincho" w:hAnsi="Calibri" w:cs="Times New Roman"/>
      <w:sz w:val="20"/>
      <w:szCs w:val="20"/>
      <w:lang w:val="x-none" w:eastAsia="x-none"/>
    </w:rPr>
  </w:style>
  <w:style w:type="character" w:styleId="PageNumber">
    <w:name w:val="page number"/>
    <w:basedOn w:val="DefaultParagraphFont"/>
    <w:rsid w:val="00967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CE4AACE36694FF98A0D651F5FA2D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E8B10-AEAE-41BD-8A7F-5D63BABEC6E4}"/>
      </w:docPartPr>
      <w:docPartBody>
        <w:p w:rsidR="00000000" w:rsidRDefault="00F87D66" w:rsidP="00F87D66">
          <w:pPr>
            <w:pStyle w:val="6CE4AACE36694FF98A0D651F5FA2D0B0"/>
          </w:pPr>
          <w:r w:rsidRPr="00FD497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66"/>
    <w:rsid w:val="00CC699A"/>
    <w:rsid w:val="00F8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F87D66"/>
    <w:rPr>
      <w:color w:val="808080"/>
    </w:rPr>
  </w:style>
  <w:style w:type="paragraph" w:customStyle="1" w:styleId="6CE4AACE36694FF98A0D651F5FA2D0B0">
    <w:name w:val="6CE4AACE36694FF98A0D651F5FA2D0B0"/>
    <w:rsid w:val="00F87D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2638</Characters>
  <Application>Microsoft Office Word</Application>
  <DocSecurity>0</DocSecurity>
  <Lines>21</Lines>
  <Paragraphs>6</Paragraphs>
  <ScaleCrop>false</ScaleCrop>
  <Company>Springer Nature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2022-10-11T09:03:00Z</dcterms:created>
  <dcterms:modified xsi:type="dcterms:W3CDTF">2022-10-11T09:03:00Z</dcterms:modified>
</cp:coreProperties>
</file>