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C03" w:rsidRPr="00014A40" w:rsidRDefault="00B165AA" w:rsidP="006E4C03">
      <w:pPr>
        <w:spacing w:before="24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014A40">
        <w:rPr>
          <w:rFonts w:ascii="Times New Roman" w:hAnsi="Times New Roman"/>
          <w:b/>
          <w:iCs/>
          <w:sz w:val="24"/>
          <w:szCs w:val="24"/>
        </w:rPr>
        <w:t>Supplementary Materials</w:t>
      </w:r>
    </w:p>
    <w:p w:rsidR="00762B22" w:rsidRPr="00014A40" w:rsidRDefault="006E4C03" w:rsidP="006E4C03">
      <w:pPr>
        <w:spacing w:before="240" w:line="360" w:lineRule="auto"/>
        <w:jc w:val="center"/>
        <w:rPr>
          <w:rFonts w:ascii="Times New Roman" w:hAnsi="Times New Roman"/>
          <w:sz w:val="24"/>
          <w:szCs w:val="24"/>
        </w:rPr>
      </w:pPr>
      <w:r w:rsidRPr="00014A40">
        <w:rPr>
          <w:rFonts w:ascii="Times New Roman" w:hAnsi="Times New Roman"/>
          <w:b/>
          <w:iCs/>
          <w:sz w:val="24"/>
          <w:szCs w:val="24"/>
        </w:rPr>
        <w:t>T</w:t>
      </w:r>
      <w:r w:rsidRPr="00014A40">
        <w:rPr>
          <w:rFonts w:ascii="Times New Roman" w:hAnsi="Times New Roman"/>
          <w:b/>
          <w:sz w:val="24"/>
          <w:szCs w:val="24"/>
        </w:rPr>
        <w:t>able S</w:t>
      </w:r>
      <w:r w:rsidR="00762B22" w:rsidRPr="00014A40">
        <w:rPr>
          <w:rFonts w:ascii="Times New Roman" w:hAnsi="Times New Roman"/>
          <w:b/>
          <w:sz w:val="24"/>
          <w:szCs w:val="24"/>
        </w:rPr>
        <w:t xml:space="preserve">1: </w:t>
      </w:r>
      <w:r w:rsidR="00762B22" w:rsidRPr="00014A40">
        <w:rPr>
          <w:rFonts w:ascii="Times New Roman" w:hAnsi="Times New Roman"/>
          <w:sz w:val="24"/>
          <w:szCs w:val="24"/>
        </w:rPr>
        <w:t>Summary of reviewed studies on EE-CE nexus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33"/>
        <w:gridCol w:w="2415"/>
        <w:gridCol w:w="1593"/>
        <w:gridCol w:w="2044"/>
        <w:gridCol w:w="2994"/>
        <w:gridCol w:w="2495"/>
      </w:tblGrid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sz w:val="24"/>
                <w:szCs w:val="24"/>
              </w:rPr>
              <w:t>Author(s)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sz w:val="24"/>
                <w:szCs w:val="24"/>
              </w:rPr>
              <w:t>Sample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sz w:val="24"/>
                <w:szCs w:val="24"/>
              </w:rPr>
              <w:t>Study Period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sz w:val="24"/>
                <w:szCs w:val="24"/>
              </w:rPr>
              <w:t>Major variables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sz w:val="24"/>
                <w:szCs w:val="24"/>
              </w:rPr>
              <w:t>Methodology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sz w:val="24"/>
                <w:szCs w:val="24"/>
              </w:rPr>
              <w:t>Major findings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4A40">
              <w:rPr>
                <w:rFonts w:ascii="Times New Roman" w:hAnsi="Times New Roman"/>
                <w:sz w:val="24"/>
                <w:szCs w:val="24"/>
              </w:rPr>
              <w:t>Akbostanci</w:t>
            </w:r>
            <w:proofErr w:type="spellEnd"/>
            <w:r w:rsidRPr="00014A40">
              <w:rPr>
                <w:rFonts w:ascii="Times New Roman" w:hAnsi="Times New Roman"/>
                <w:sz w:val="24"/>
                <w:szCs w:val="24"/>
              </w:rPr>
              <w:t xml:space="preserve"> et al. (2011)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Turkey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1995-2001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EI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 xml:space="preserve">Decomposition analysis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Begum and Pereira (2010)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Malaysia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2000-2010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>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E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Trend analysis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Yuan et al. (2011)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China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2000-2010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Trend analysis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Hammond and Norman (2012)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United Kingdom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1990-2007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 and EI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 xml:space="preserve">Decomposition analysis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Lopez-Pena et al. (2012)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Spain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1996-2008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Scenario analysis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Wu et al. (2012)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China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1997-2008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E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Decomposition analysis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Moya and Pardo (2013)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27 EU countries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E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Simulation analysis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Das and Paul (2014)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India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1993-94 to 2006-07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EI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 xml:space="preserve">Decomposition analysis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4A40">
              <w:rPr>
                <w:rFonts w:ascii="Times New Roman" w:hAnsi="Times New Roman"/>
                <w:sz w:val="24"/>
                <w:szCs w:val="24"/>
              </w:rPr>
              <w:t>Gunatilake</w:t>
            </w:r>
            <w:proofErr w:type="spellEnd"/>
            <w:r w:rsidRPr="00014A40">
              <w:rPr>
                <w:rFonts w:ascii="Times New Roman" w:hAnsi="Times New Roman"/>
                <w:sz w:val="24"/>
                <w:szCs w:val="24"/>
              </w:rPr>
              <w:t xml:space="preserve"> et al. (2014)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India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2004 and 2007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GHG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CGE Framework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4A40">
              <w:rPr>
                <w:rFonts w:ascii="Times New Roman" w:hAnsi="Times New Roman"/>
                <w:sz w:val="24"/>
                <w:szCs w:val="24"/>
              </w:rPr>
              <w:t>Karali</w:t>
            </w:r>
            <w:proofErr w:type="spellEnd"/>
            <w:r w:rsidRPr="00014A40">
              <w:rPr>
                <w:rFonts w:ascii="Times New Roman" w:hAnsi="Times New Roman"/>
                <w:sz w:val="24"/>
                <w:szCs w:val="24"/>
              </w:rPr>
              <w:t xml:space="preserve"> et al. (2014)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US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E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Scenario analysis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4A40">
              <w:rPr>
                <w:rFonts w:ascii="Times New Roman" w:hAnsi="Times New Roman"/>
                <w:sz w:val="24"/>
                <w:szCs w:val="24"/>
              </w:rPr>
              <w:t>Mohammadi</w:t>
            </w:r>
            <w:proofErr w:type="spellEnd"/>
            <w:r w:rsidRPr="00014A40">
              <w:rPr>
                <w:rFonts w:ascii="Times New Roman" w:hAnsi="Times New Roman"/>
                <w:sz w:val="24"/>
                <w:szCs w:val="24"/>
              </w:rPr>
              <w:t xml:space="preserve"> et al. (2014)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Iran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Life cycle analysis &amp; DEA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Shao et al. (2014)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China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2003-2010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E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Life cycle analysis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Li and Lin (2015)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China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1997-2012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Meta-frontier analysis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noProof/>
                <w:sz w:val="24"/>
                <w:szCs w:val="24"/>
              </w:rPr>
              <w:t>Ozbugday</w:t>
            </w:r>
            <w:r w:rsidRPr="00014A40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and </w:t>
            </w:r>
            <w:proofErr w:type="spellStart"/>
            <w:r w:rsidRPr="00014A40">
              <w:rPr>
                <w:rStyle w:val="fontstyle01"/>
                <w:rFonts w:ascii="Times New Roman" w:hAnsi="Times New Roman"/>
                <w:sz w:val="24"/>
                <w:szCs w:val="24"/>
              </w:rPr>
              <w:t>Erbas</w:t>
            </w:r>
            <w:proofErr w:type="spellEnd"/>
            <w:r w:rsidRPr="00014A40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(2015)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36 DEE countries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1971-2009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Panel data analysis - CCE estimator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4A40">
              <w:rPr>
                <w:rFonts w:ascii="Times New Roman" w:hAnsi="Times New Roman"/>
                <w:sz w:val="24"/>
                <w:szCs w:val="24"/>
              </w:rPr>
              <w:t>Iftikhar</w:t>
            </w:r>
            <w:proofErr w:type="spellEnd"/>
            <w:r w:rsidRPr="00014A40">
              <w:rPr>
                <w:rFonts w:ascii="Times New Roman" w:hAnsi="Times New Roman"/>
                <w:sz w:val="24"/>
                <w:szCs w:val="24"/>
              </w:rPr>
              <w:t xml:space="preserve"> et al. (2016)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26 major economies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2013-2014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CEE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DEA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Singh and Rao (2016)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India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E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Scenario analysis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Bhattacharya et al. (2017)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India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1960-2012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E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Time series analysis- ARDL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Singh et al. (2017)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India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CCS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E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Scenario analysis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↑CCS - ↓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lastRenderedPageBreak/>
              <w:t>Mohan (2018)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India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2005-2014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IPCC method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Zhou et al. (2018)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China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2010-2050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E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Scenario analysis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Gupta et al. (2019)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India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2013-2050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E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Scenario analysis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 xml:space="preserve">Le </w:t>
            </w:r>
            <w:proofErr w:type="spellStart"/>
            <w:r w:rsidRPr="00014A40">
              <w:rPr>
                <w:rFonts w:ascii="Times New Roman" w:hAnsi="Times New Roman"/>
                <w:sz w:val="24"/>
                <w:szCs w:val="24"/>
              </w:rPr>
              <w:t>Quéré</w:t>
            </w:r>
            <w:proofErr w:type="spellEnd"/>
            <w:r w:rsidRPr="00014A40">
              <w:rPr>
                <w:rFonts w:ascii="Times New Roman" w:hAnsi="Times New Roman"/>
                <w:sz w:val="24"/>
                <w:szCs w:val="24"/>
              </w:rPr>
              <w:t xml:space="preserve"> et al. (2019)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18 developed economies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2002-2015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Correlation analysis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4A40">
              <w:rPr>
                <w:rFonts w:ascii="Times New Roman" w:hAnsi="Times New Roman"/>
                <w:sz w:val="24"/>
                <w:szCs w:val="24"/>
              </w:rPr>
              <w:t>Abban</w:t>
            </w:r>
            <w:proofErr w:type="spellEnd"/>
            <w:r w:rsidRPr="00014A40">
              <w:rPr>
                <w:rFonts w:ascii="Times New Roman" w:hAnsi="Times New Roman"/>
                <w:sz w:val="24"/>
                <w:szCs w:val="24"/>
              </w:rPr>
              <w:t xml:space="preserve"> et al. (2020)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 xml:space="preserve">43 countries; part of Belt and Road Initiative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1995-2015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EI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Panel data analysis - AMG estimator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↑EI or ↓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↑C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4A40">
              <w:rPr>
                <w:rFonts w:ascii="Times New Roman" w:hAnsi="Times New Roman"/>
                <w:sz w:val="24"/>
                <w:szCs w:val="24"/>
              </w:rPr>
              <w:t>Akram</w:t>
            </w:r>
            <w:proofErr w:type="spellEnd"/>
            <w:r w:rsidRPr="00014A40">
              <w:rPr>
                <w:rFonts w:ascii="Times New Roman" w:hAnsi="Times New Roman"/>
                <w:sz w:val="24"/>
                <w:szCs w:val="24"/>
              </w:rPr>
              <w:t xml:space="preserve"> et al. (2020a)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66 developing economies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1990-2014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Panel data analysis- PQR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E; Effect is strongest in 90</w:t>
            </w:r>
            <w:r w:rsidRPr="00014A40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th 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quantile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4A40">
              <w:rPr>
                <w:rFonts w:ascii="Times New Roman" w:hAnsi="Times New Roman"/>
                <w:sz w:val="24"/>
                <w:szCs w:val="24"/>
              </w:rPr>
              <w:t>Akram</w:t>
            </w:r>
            <w:proofErr w:type="spellEnd"/>
            <w:r w:rsidRPr="00014A40">
              <w:rPr>
                <w:rFonts w:ascii="Times New Roman" w:hAnsi="Times New Roman"/>
                <w:sz w:val="24"/>
                <w:szCs w:val="24"/>
              </w:rPr>
              <w:t xml:space="preserve"> et al. (2020b)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BRICS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1990-2014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E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Panel data analysis- NPARDL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Asymmetric impacts (SR and LR)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Danish et al. (2020)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US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1985-2017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EI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Time series analysis- ARDL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↑EI or ↓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 (SR);</w:t>
            </w:r>
          </w:p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↑EI or ↓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↑C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 (LR)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Das and Roy (2020)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India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1990-91 to 2012-13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EI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 xml:space="preserve">Decomposition analysis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4A40">
              <w:rPr>
                <w:rFonts w:ascii="Times New Roman" w:hAnsi="Times New Roman"/>
                <w:sz w:val="24"/>
                <w:szCs w:val="24"/>
              </w:rPr>
              <w:t>Javid</w:t>
            </w:r>
            <w:proofErr w:type="spellEnd"/>
            <w:r w:rsidRPr="00014A40">
              <w:rPr>
                <w:rFonts w:ascii="Times New Roman" w:hAnsi="Times New Roman"/>
                <w:sz w:val="24"/>
                <w:szCs w:val="24"/>
              </w:rPr>
              <w:t xml:space="preserve"> and Khan (2020)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US, India, China, Germany, and Japan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1971-2016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Time series analysis- STSM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Lin and Xu (2020)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China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2005-2017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B64C6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ENEF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 xml:space="preserve">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="006E4C03"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Semi-parametric regression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E; Effect is strongest in the central region</w:t>
            </w:r>
          </w:p>
        </w:tc>
      </w:tr>
      <w:tr w:rsidR="006E4C03" w:rsidRPr="00014A40" w:rsidTr="006E4C0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Wang and Wang (2020)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India and China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2000-2014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EI and 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 xml:space="preserve">Decomposition analysis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3" w:rsidRPr="00014A40" w:rsidRDefault="006E4C03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↑</w:t>
            </w:r>
            <w:r w:rsidR="006B64C6" w:rsidRPr="00014A40">
              <w:rPr>
                <w:rFonts w:ascii="Times New Roman" w:hAnsi="Times New Roman"/>
                <w:sz w:val="24"/>
                <w:szCs w:val="24"/>
              </w:rPr>
              <w:t xml:space="preserve"> ENEF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 xml:space="preserve"> - ↓C</w:t>
            </w:r>
            <w:r w:rsidR="00F23044" w:rsidRPr="00014A40">
              <w:rPr>
                <w:rFonts w:ascii="Times New Roman" w:hAnsi="Times New Roman"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</w:tbl>
    <w:p w:rsidR="00762B22" w:rsidRPr="00014A40" w:rsidRDefault="00762B22" w:rsidP="00762B22">
      <w:pPr>
        <w:tabs>
          <w:tab w:val="left" w:pos="1711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14A40">
        <w:rPr>
          <w:rFonts w:ascii="Times New Roman" w:hAnsi="Times New Roman"/>
          <w:b/>
          <w:sz w:val="24"/>
          <w:szCs w:val="24"/>
        </w:rPr>
        <w:t xml:space="preserve">Notes:  </w:t>
      </w:r>
      <w:r w:rsidRPr="00014A40">
        <w:rPr>
          <w:rFonts w:ascii="Times New Roman" w:hAnsi="Times New Roman"/>
          <w:sz w:val="24"/>
          <w:szCs w:val="24"/>
        </w:rPr>
        <w:t>↑ and ↓ indicate increase</w:t>
      </w:r>
      <w:r w:rsidRPr="00014A40">
        <w:rPr>
          <w:rFonts w:ascii="Times New Roman" w:eastAsia="DengXian" w:hAnsi="Times New Roman"/>
          <w:sz w:val="24"/>
          <w:szCs w:val="24"/>
        </w:rPr>
        <w:t xml:space="preserve">s and decreases, respectively. </w:t>
      </w:r>
      <w:r w:rsidRPr="00014A40">
        <w:rPr>
          <w:rFonts w:ascii="Times New Roman" w:hAnsi="Times New Roman"/>
          <w:sz w:val="24"/>
          <w:szCs w:val="24"/>
        </w:rPr>
        <w:t>ARDL-autoregressive distributed lag, AMG: augmented mean group, BRICS- Brazil, Russia, India, China</w:t>
      </w:r>
      <w:r w:rsidRPr="00014A40">
        <w:rPr>
          <w:rFonts w:ascii="Times New Roman" w:eastAsia="DengXian" w:hAnsi="Times New Roman"/>
          <w:sz w:val="24"/>
          <w:szCs w:val="24"/>
        </w:rPr>
        <w:t>, and South Africa</w:t>
      </w:r>
      <w:r w:rsidRPr="00014A40">
        <w:rPr>
          <w:rFonts w:ascii="Times New Roman" w:hAnsi="Times New Roman"/>
          <w:sz w:val="24"/>
          <w:szCs w:val="24"/>
        </w:rPr>
        <w:t xml:space="preserve">; CCE-common correlated effects, CCS: </w:t>
      </w:r>
      <w:r w:rsidRPr="00014A40">
        <w:rPr>
          <w:rFonts w:ascii="Times New Roman" w:eastAsia="DengXian" w:hAnsi="Times New Roman"/>
          <w:sz w:val="24"/>
          <w:szCs w:val="24"/>
        </w:rPr>
        <w:t xml:space="preserve">carbon capture sequestration, CGE: computable general equilibrium, </w:t>
      </w:r>
      <w:r w:rsidRPr="00014A40">
        <w:rPr>
          <w:rFonts w:ascii="Times New Roman" w:hAnsi="Times New Roman"/>
          <w:sz w:val="24"/>
          <w:szCs w:val="24"/>
        </w:rPr>
        <w:t>C</w:t>
      </w:r>
      <w:r w:rsidR="006B64C6" w:rsidRPr="00014A40">
        <w:rPr>
          <w:rFonts w:ascii="Times New Roman" w:hAnsi="Times New Roman"/>
          <w:sz w:val="24"/>
          <w:szCs w:val="24"/>
        </w:rPr>
        <w:t>A</w:t>
      </w:r>
      <w:r w:rsidRPr="00014A40">
        <w:rPr>
          <w:rFonts w:ascii="Times New Roman" w:hAnsi="Times New Roman"/>
          <w:sz w:val="24"/>
          <w:szCs w:val="24"/>
        </w:rPr>
        <w:t xml:space="preserve">E: carbon emissions, DEA: data envelopment analysis, DEE: developed and emerging economies, EI: energy intensity (reciprocal of EE), </w:t>
      </w:r>
      <w:r w:rsidR="006B64C6" w:rsidRPr="00014A40">
        <w:rPr>
          <w:rFonts w:ascii="Times New Roman" w:eastAsia="DengXian" w:hAnsi="Times New Roman"/>
          <w:sz w:val="24"/>
          <w:szCs w:val="24"/>
        </w:rPr>
        <w:t>ENEF</w:t>
      </w:r>
      <w:r w:rsidR="006B64C6" w:rsidRPr="00014A40">
        <w:rPr>
          <w:rFonts w:ascii="Times New Roman" w:hAnsi="Times New Roman"/>
          <w:sz w:val="24"/>
          <w:szCs w:val="24"/>
        </w:rPr>
        <w:t xml:space="preserve">: energy efficiency, </w:t>
      </w:r>
      <w:r w:rsidRPr="00014A40">
        <w:rPr>
          <w:rFonts w:ascii="Times New Roman" w:hAnsi="Times New Roman"/>
          <w:sz w:val="24"/>
          <w:szCs w:val="24"/>
        </w:rPr>
        <w:t>EU: European Union, GHG: greenhouse gases, I/O: Input-Output, LR: long-run, NPARDL: Nonlinear panel autoregressive distributed lag, PQR: panel quantile regression, SR- short-run, STSM: structural time series model, US: the United States.</w:t>
      </w:r>
    </w:p>
    <w:p w:rsidR="006E4C03" w:rsidRPr="00014A40" w:rsidRDefault="006E4C03" w:rsidP="00B165AA">
      <w:pPr>
        <w:spacing w:before="240" w:line="360" w:lineRule="auto"/>
        <w:jc w:val="center"/>
        <w:rPr>
          <w:rFonts w:ascii="Times New Roman" w:hAnsi="Times New Roman"/>
          <w:b/>
          <w:iCs/>
          <w:sz w:val="24"/>
          <w:szCs w:val="24"/>
        </w:rPr>
        <w:sectPr w:rsidR="006E4C03" w:rsidRPr="00014A40" w:rsidSect="00C352B4">
          <w:footerReference w:type="default" r:id="rId9"/>
          <w:type w:val="continuous"/>
          <w:pgSz w:w="16838" w:h="11906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:rsidR="000B73D7" w:rsidRPr="00014A40" w:rsidRDefault="00C0011A" w:rsidP="005E7744">
      <w:pPr>
        <w:jc w:val="center"/>
        <w:rPr>
          <w:rFonts w:ascii="Times New Roman" w:hAnsi="Times New Roman"/>
          <w:sz w:val="24"/>
          <w:szCs w:val="24"/>
        </w:rPr>
      </w:pPr>
      <w:r w:rsidRPr="00014A40">
        <w:rPr>
          <w:rFonts w:ascii="Times New Roman" w:hAnsi="Times New Roman"/>
          <w:b/>
          <w:sz w:val="24"/>
          <w:szCs w:val="24"/>
        </w:rPr>
        <w:lastRenderedPageBreak/>
        <w:t>Table S</w:t>
      </w:r>
      <w:r w:rsidR="006E4C03" w:rsidRPr="00014A40">
        <w:rPr>
          <w:rFonts w:ascii="Times New Roman" w:hAnsi="Times New Roman"/>
          <w:b/>
          <w:sz w:val="24"/>
          <w:szCs w:val="24"/>
        </w:rPr>
        <w:t>2</w:t>
      </w:r>
      <w:r w:rsidR="00537E18" w:rsidRPr="00014A40">
        <w:rPr>
          <w:rFonts w:ascii="Times New Roman" w:hAnsi="Times New Roman"/>
          <w:b/>
          <w:sz w:val="24"/>
          <w:szCs w:val="24"/>
        </w:rPr>
        <w:t>:</w:t>
      </w:r>
      <w:r w:rsidRPr="00014A40">
        <w:rPr>
          <w:rFonts w:ascii="Times New Roman" w:hAnsi="Times New Roman"/>
          <w:sz w:val="24"/>
          <w:szCs w:val="24"/>
        </w:rPr>
        <w:t xml:space="preserve"> The sectors covered in WIOD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527"/>
        <w:gridCol w:w="7715"/>
      </w:tblGrid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6E4C03" w:rsidP="003E3320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Sector </w:t>
            </w:r>
            <w:r w:rsidR="000B73D7" w:rsidRPr="00014A4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Sector</w:t>
            </w:r>
            <w:r w:rsidR="006E4C03" w:rsidRPr="00014A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Name</w:t>
            </w:r>
          </w:p>
        </w:tc>
      </w:tr>
      <w:tr w:rsidR="000B73D7" w:rsidRPr="00014A40" w:rsidTr="006E4C03">
        <w:trPr>
          <w:trHeight w:val="158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A01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Crop and animal production, hunting and related service activities</w:t>
            </w:r>
          </w:p>
        </w:tc>
      </w:tr>
      <w:tr w:rsidR="000B73D7" w:rsidRPr="00014A40" w:rsidTr="006E4C03">
        <w:trPr>
          <w:trHeight w:val="19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A02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Forestry and logging</w:t>
            </w:r>
          </w:p>
        </w:tc>
      </w:tr>
      <w:tr w:rsidR="000B73D7" w:rsidRPr="00014A40" w:rsidTr="006E4C03">
        <w:trPr>
          <w:trHeight w:val="25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A03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Fishing and aquaculture</w:t>
            </w:r>
          </w:p>
        </w:tc>
      </w:tr>
      <w:tr w:rsidR="000B73D7" w:rsidRPr="00014A40" w:rsidTr="006E4C03">
        <w:trPr>
          <w:trHeight w:val="253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B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Mining and quarrying</w:t>
            </w:r>
          </w:p>
        </w:tc>
      </w:tr>
      <w:tr w:rsidR="000B73D7" w:rsidRPr="00014A40" w:rsidTr="006E4C03">
        <w:trPr>
          <w:trHeight w:val="143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C10-C12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Manufacture of food products, beverages and tobacco products</w:t>
            </w:r>
          </w:p>
        </w:tc>
      </w:tr>
      <w:tr w:rsidR="000B73D7" w:rsidRPr="00014A40" w:rsidTr="006E4C03">
        <w:trPr>
          <w:trHeight w:val="176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C13-C15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Manufacture of textiles, wearing apparel and leather products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C16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Manufacture of wood and of products of wood and cork, except furniture; manufacture of articles of straw and plaiting materials</w:t>
            </w:r>
          </w:p>
        </w:tc>
      </w:tr>
      <w:tr w:rsidR="000B73D7" w:rsidRPr="00014A40" w:rsidTr="006E4C03">
        <w:trPr>
          <w:trHeight w:val="185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C17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Manufacture of paper and paper products</w:t>
            </w:r>
          </w:p>
        </w:tc>
      </w:tr>
      <w:tr w:rsidR="000B73D7" w:rsidRPr="00014A40" w:rsidTr="006E4C03">
        <w:trPr>
          <w:trHeight w:val="89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C18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Printing and reproduction of recorded media</w:t>
            </w:r>
          </w:p>
        </w:tc>
      </w:tr>
      <w:tr w:rsidR="000B73D7" w:rsidRPr="00014A40" w:rsidTr="006E4C03">
        <w:trPr>
          <w:trHeight w:val="121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C19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Manufacture of coke and refined petroleum products </w:t>
            </w:r>
          </w:p>
        </w:tc>
      </w:tr>
      <w:tr w:rsidR="000B73D7" w:rsidRPr="00014A40" w:rsidTr="006E4C03">
        <w:trPr>
          <w:trHeight w:val="181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C20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Manufacture of chemicals and chemical products </w:t>
            </w:r>
          </w:p>
        </w:tc>
      </w:tr>
      <w:tr w:rsidR="000B73D7" w:rsidRPr="00014A40" w:rsidTr="006E4C03">
        <w:trPr>
          <w:trHeight w:val="228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C21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Manufacture of basic pharmaceutical products and pharmaceutical preparations</w:t>
            </w:r>
          </w:p>
        </w:tc>
      </w:tr>
      <w:tr w:rsidR="000B73D7" w:rsidRPr="00014A40" w:rsidTr="006E4C03">
        <w:trPr>
          <w:trHeight w:val="117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C22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Manufacture of rubber and plastic products</w:t>
            </w:r>
          </w:p>
        </w:tc>
      </w:tr>
      <w:tr w:rsidR="000B73D7" w:rsidRPr="00014A40" w:rsidTr="006E4C03">
        <w:trPr>
          <w:trHeight w:val="163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C23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Manufacture of other non-metallic mineral products</w:t>
            </w:r>
          </w:p>
        </w:tc>
      </w:tr>
      <w:tr w:rsidR="000B73D7" w:rsidRPr="00014A40" w:rsidTr="006E4C03">
        <w:trPr>
          <w:trHeight w:val="209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C24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Manufacture of basic metals</w:t>
            </w:r>
          </w:p>
        </w:tc>
      </w:tr>
      <w:tr w:rsidR="000B73D7" w:rsidRPr="00014A40" w:rsidTr="006E4C03">
        <w:trPr>
          <w:trHeight w:val="99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C25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Manufacture of fabricated metal products, except machinery and equipment</w:t>
            </w:r>
          </w:p>
        </w:tc>
      </w:tr>
      <w:tr w:rsidR="000B73D7" w:rsidRPr="00014A40" w:rsidTr="006E4C03">
        <w:trPr>
          <w:trHeight w:val="16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C26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Manufacture of computer, electronic and optical products</w:t>
            </w:r>
          </w:p>
        </w:tc>
      </w:tr>
      <w:tr w:rsidR="000B73D7" w:rsidRPr="00014A40" w:rsidTr="006E4C03">
        <w:trPr>
          <w:trHeight w:val="77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C27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Manufacture of electrical equipment</w:t>
            </w:r>
          </w:p>
        </w:tc>
      </w:tr>
      <w:tr w:rsidR="000B73D7" w:rsidRPr="00014A40" w:rsidTr="006E4C03">
        <w:trPr>
          <w:trHeight w:val="238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C28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Manufacture of machinery and equipment n.e.c.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C29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Manufacture of motor vehicles, trailers and semi-trailers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C30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Manufacture of other transport equipment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C31_C32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Manufacture of furniture; other manufacturing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D35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Electricity, gas, steam and air conditioning supply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E36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Water collection, treatment and supply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Construction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G45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Wholesale and retail trade and repair of motor vehicles and motorcycles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G46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Wholesale trade, except of motor vehicles and motorcycles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G47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Retail trade, except of motor vehicles and motorcycles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H49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Land transport and transport via pipelines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H50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Water transport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H51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Air transport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H52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Warehousing and support activities for transportation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Accommodation and food service activities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J61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Telecommunications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J62_J63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Computer programming, consultancy and related activities; information service activities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K64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Financial service activities, except insurance and pension funding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K65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Insurance, reinsurance and pension funding, except compulsory social security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L68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Real estate activities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M69_M70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Legal and accounting activities; activities of head offices; management consultancy activities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M71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Architectural and engineering activities; technical testing and analysis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Administrative and support service activities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O84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Public administration and defence; compulsory social security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P85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Education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Q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Human health and social work activities</w:t>
            </w:r>
          </w:p>
        </w:tc>
      </w:tr>
      <w:tr w:rsidR="000B73D7" w:rsidRPr="00014A40" w:rsidTr="006E4C03">
        <w:trPr>
          <w:trHeight w:val="300"/>
        </w:trPr>
        <w:tc>
          <w:tcPr>
            <w:tcW w:w="826" w:type="pct"/>
            <w:noWrap/>
            <w:hideMark/>
          </w:tcPr>
          <w:p w:rsidR="000B73D7" w:rsidRPr="00014A40" w:rsidRDefault="000B73D7" w:rsidP="003E332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sz w:val="20"/>
                <w:szCs w:val="20"/>
              </w:rPr>
              <w:t>R_S</w:t>
            </w:r>
          </w:p>
        </w:tc>
        <w:tc>
          <w:tcPr>
            <w:tcW w:w="4174" w:type="pct"/>
            <w:noWrap/>
            <w:hideMark/>
          </w:tcPr>
          <w:p w:rsidR="000B73D7" w:rsidRPr="00014A40" w:rsidRDefault="000B73D7" w:rsidP="003E332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14A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Other service activities</w:t>
            </w:r>
          </w:p>
        </w:tc>
      </w:tr>
    </w:tbl>
    <w:p w:rsidR="00EA2FA0" w:rsidRPr="00014A40" w:rsidRDefault="00EA2FA0" w:rsidP="00EA2FA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14A40">
        <w:rPr>
          <w:rFonts w:ascii="Times New Roman" w:hAnsi="Times New Roman"/>
          <w:b/>
          <w:sz w:val="24"/>
          <w:szCs w:val="24"/>
        </w:rPr>
        <w:lastRenderedPageBreak/>
        <w:t>Table S</w:t>
      </w:r>
      <w:r w:rsidR="006E4C03" w:rsidRPr="00014A40">
        <w:rPr>
          <w:rFonts w:ascii="Times New Roman" w:hAnsi="Times New Roman"/>
          <w:b/>
          <w:sz w:val="24"/>
          <w:szCs w:val="24"/>
        </w:rPr>
        <w:t>3</w:t>
      </w:r>
      <w:r w:rsidRPr="00014A40">
        <w:rPr>
          <w:rFonts w:ascii="Times New Roman" w:hAnsi="Times New Roman"/>
          <w:b/>
          <w:sz w:val="24"/>
          <w:szCs w:val="24"/>
        </w:rPr>
        <w:t xml:space="preserve">: </w:t>
      </w:r>
      <w:r w:rsidRPr="00014A40">
        <w:rPr>
          <w:rFonts w:ascii="Times New Roman" w:hAnsi="Times New Roman"/>
          <w:sz w:val="24"/>
          <w:szCs w:val="24"/>
        </w:rPr>
        <w:t xml:space="preserve">Details of the variables used for </w:t>
      </w:r>
      <w:r w:rsidR="0052057E" w:rsidRPr="00014A40">
        <w:rPr>
          <w:rFonts w:ascii="Times New Roman" w:hAnsi="Times New Roman"/>
          <w:sz w:val="24"/>
          <w:szCs w:val="24"/>
        </w:rPr>
        <w:t>Energy Efficiency</w:t>
      </w:r>
      <w:r w:rsidRPr="00014A40">
        <w:rPr>
          <w:rFonts w:ascii="Times New Roman" w:hAnsi="Times New Roman"/>
          <w:sz w:val="24"/>
          <w:szCs w:val="24"/>
        </w:rPr>
        <w:t xml:space="preserve"> estimates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75"/>
        <w:gridCol w:w="2128"/>
        <w:gridCol w:w="4739"/>
      </w:tblGrid>
      <w:tr w:rsidR="00EA2FA0" w:rsidRPr="00014A40" w:rsidTr="00D31863">
        <w:trPr>
          <w:trHeight w:val="422"/>
        </w:trPr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FA0" w:rsidRPr="00014A40" w:rsidRDefault="00EA2FA0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Variables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Nomenclature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Description</w:t>
            </w:r>
          </w:p>
        </w:tc>
      </w:tr>
      <w:tr w:rsidR="00EA2FA0" w:rsidRPr="00014A40" w:rsidTr="00D31863"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A0" w:rsidRPr="00014A40" w:rsidRDefault="00EA2FA0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Real Value-Added</w:t>
            </w:r>
            <w:r w:rsidRPr="00014A40">
              <w:rPr>
                <w:rFonts w:ascii="Times New Roman" w:hAnsi="Times New Roman"/>
                <w:sz w:val="24"/>
                <w:szCs w:val="24"/>
                <w:vertAlign w:val="superscript"/>
              </w:rPr>
              <w:t>@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RVA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FA0" w:rsidRPr="00014A40" w:rsidRDefault="00EA2FA0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Defined as the real value added (deflated at the price level of gross value added at 2010=100, measured in millions of INR)</w:t>
            </w:r>
          </w:p>
        </w:tc>
      </w:tr>
      <w:tr w:rsidR="00EA2FA0" w:rsidRPr="00014A40" w:rsidTr="00D31863"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A0" w:rsidRPr="00014A40" w:rsidRDefault="00EA2FA0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Real Capital Stock</w:t>
            </w:r>
            <w:r w:rsidRPr="00014A40">
              <w:rPr>
                <w:rFonts w:ascii="Times New Roman" w:hAnsi="Times New Roman"/>
                <w:sz w:val="24"/>
                <w:szCs w:val="24"/>
                <w:vertAlign w:val="superscript"/>
              </w:rPr>
              <w:t>@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CAP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FA0" w:rsidRPr="00014A40" w:rsidRDefault="00EA2FA0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Defined as real capital stock, and is deflated by the intermediate inputs price level (</w:t>
            </w:r>
            <w:r w:rsidRPr="00014A40">
              <w:rPr>
                <w:rFonts w:ascii="Times New Roman" w:hAnsi="Times New Roman"/>
                <w:i/>
                <w:sz w:val="24"/>
                <w:szCs w:val="24"/>
              </w:rPr>
              <w:t>II_PI</w:t>
            </w:r>
            <w:r w:rsidRPr="00014A40">
              <w:rPr>
                <w:rFonts w:ascii="Times New Roman" w:hAnsi="Times New Roman"/>
                <w:sz w:val="24"/>
                <w:szCs w:val="24"/>
              </w:rPr>
              <w:t>) at 2010=100 (in millions INR)</w:t>
            </w:r>
          </w:p>
        </w:tc>
      </w:tr>
      <w:tr w:rsidR="00EA2FA0" w:rsidRPr="00014A40" w:rsidTr="00D31863"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A0" w:rsidRPr="00014A40" w:rsidRDefault="00EA2FA0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 xml:space="preserve">Labour Usage </w:t>
            </w:r>
            <w:r w:rsidRPr="00014A40">
              <w:rPr>
                <w:rFonts w:ascii="Times New Roman" w:hAnsi="Times New Roman"/>
                <w:sz w:val="24"/>
                <w:szCs w:val="24"/>
                <w:vertAlign w:val="superscript"/>
              </w:rPr>
              <w:t>@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FA0" w:rsidRPr="00014A40" w:rsidRDefault="00EA2FA0" w:rsidP="00D31863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LAB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FA0" w:rsidRPr="00014A40" w:rsidRDefault="00EA2FA0" w:rsidP="00D31863">
            <w:pPr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Defined as number of persons engaged (in Thousands)</w:t>
            </w:r>
          </w:p>
        </w:tc>
      </w:tr>
      <w:tr w:rsidR="00EA2FA0" w:rsidRPr="00014A40" w:rsidTr="00D31863"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A0" w:rsidRPr="00014A40" w:rsidRDefault="00EA2FA0" w:rsidP="00D3186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Energy Consumption</w:t>
            </w:r>
            <w:r w:rsidRPr="00014A40">
              <w:rPr>
                <w:rFonts w:ascii="Times New Roman" w:hAnsi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FA0" w:rsidRPr="00014A40" w:rsidRDefault="00EA2FA0" w:rsidP="00D31863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EGY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FA0" w:rsidRPr="00014A40" w:rsidRDefault="00EA2FA0" w:rsidP="00D31863">
            <w:pPr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 xml:space="preserve">Defined as emission-relevant energy use (in </w:t>
            </w:r>
            <w:proofErr w:type="spellStart"/>
            <w:r w:rsidRPr="00014A40">
              <w:rPr>
                <w:rFonts w:ascii="Times New Roman" w:hAnsi="Times New Roman"/>
                <w:sz w:val="24"/>
                <w:szCs w:val="24"/>
              </w:rPr>
              <w:t>Terajoules</w:t>
            </w:r>
            <w:proofErr w:type="spellEnd"/>
            <w:r w:rsidRPr="00014A4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EA2FA0" w:rsidRPr="00014A40" w:rsidRDefault="00EA2FA0" w:rsidP="00EA2FA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014A40">
        <w:rPr>
          <w:rFonts w:ascii="Times New Roman" w:hAnsi="Times New Roman"/>
          <w:b/>
          <w:sz w:val="24"/>
          <w:szCs w:val="24"/>
        </w:rPr>
        <w:t xml:space="preserve">Note: </w:t>
      </w:r>
      <w:r w:rsidRPr="00014A40">
        <w:rPr>
          <w:rFonts w:ascii="Times New Roman" w:hAnsi="Times New Roman"/>
          <w:sz w:val="24"/>
          <w:szCs w:val="24"/>
        </w:rPr>
        <w:t>@ and # denotes data series collected from WIOD-SEA and WIOD-EA, respectively</w:t>
      </w:r>
    </w:p>
    <w:p w:rsidR="006E4C03" w:rsidRPr="00014A40" w:rsidRDefault="006E4C03" w:rsidP="00EA2FA0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FA0" w:rsidRPr="00014A40" w:rsidRDefault="00EA2FA0" w:rsidP="00EA2FA0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014A40">
        <w:rPr>
          <w:rFonts w:ascii="Times New Roman" w:hAnsi="Times New Roman"/>
          <w:b/>
          <w:sz w:val="24"/>
          <w:szCs w:val="24"/>
        </w:rPr>
        <w:t xml:space="preserve">Table </w:t>
      </w:r>
      <w:r w:rsidR="006E4C03" w:rsidRPr="00014A40">
        <w:rPr>
          <w:rFonts w:ascii="Times New Roman" w:hAnsi="Times New Roman"/>
          <w:b/>
          <w:sz w:val="24"/>
          <w:szCs w:val="24"/>
        </w:rPr>
        <w:t>S4:</w:t>
      </w:r>
      <w:r w:rsidRPr="00014A40">
        <w:rPr>
          <w:rFonts w:ascii="Times New Roman" w:hAnsi="Times New Roman"/>
          <w:b/>
          <w:sz w:val="24"/>
          <w:szCs w:val="24"/>
        </w:rPr>
        <w:t xml:space="preserve"> </w:t>
      </w:r>
      <w:r w:rsidRPr="00014A40">
        <w:rPr>
          <w:rFonts w:ascii="Times New Roman" w:hAnsi="Times New Roman"/>
          <w:sz w:val="24"/>
          <w:szCs w:val="24"/>
        </w:rPr>
        <w:t>Descriptive Statistics</w:t>
      </w:r>
      <w:r w:rsidR="0052057E" w:rsidRPr="00014A40">
        <w:rPr>
          <w:rFonts w:ascii="Times New Roman" w:hAnsi="Times New Roman"/>
          <w:sz w:val="24"/>
          <w:szCs w:val="24"/>
        </w:rPr>
        <w:t xml:space="preserve"> on the variables used for ENEF estimation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8"/>
        <w:gridCol w:w="1773"/>
        <w:gridCol w:w="1771"/>
        <w:gridCol w:w="1668"/>
        <w:gridCol w:w="1666"/>
      </w:tblGrid>
      <w:tr w:rsidR="00EA2FA0" w:rsidRPr="00014A40" w:rsidTr="00D31863">
        <w:trPr>
          <w:trHeight w:val="220"/>
        </w:trPr>
        <w:tc>
          <w:tcPr>
            <w:tcW w:w="1194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sz w:val="24"/>
                <w:szCs w:val="24"/>
              </w:rPr>
              <w:t>Statistic</w:t>
            </w:r>
          </w:p>
        </w:tc>
        <w:tc>
          <w:tcPr>
            <w:tcW w:w="981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i/>
                <w:sz w:val="24"/>
                <w:szCs w:val="24"/>
              </w:rPr>
              <w:t>RVA</w:t>
            </w:r>
          </w:p>
        </w:tc>
        <w:tc>
          <w:tcPr>
            <w:tcW w:w="980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i/>
                <w:sz w:val="24"/>
                <w:szCs w:val="24"/>
              </w:rPr>
              <w:t>LAB</w:t>
            </w:r>
          </w:p>
        </w:tc>
        <w:tc>
          <w:tcPr>
            <w:tcW w:w="923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i/>
                <w:sz w:val="24"/>
                <w:szCs w:val="24"/>
              </w:rPr>
              <w:t>CAP</w:t>
            </w:r>
          </w:p>
        </w:tc>
        <w:tc>
          <w:tcPr>
            <w:tcW w:w="922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i/>
                <w:sz w:val="24"/>
                <w:szCs w:val="24"/>
              </w:rPr>
              <w:t>EGY</w:t>
            </w:r>
          </w:p>
        </w:tc>
      </w:tr>
      <w:tr w:rsidR="00EA2FA0" w:rsidRPr="00014A40" w:rsidTr="00D31863">
        <w:trPr>
          <w:trHeight w:val="220"/>
        </w:trPr>
        <w:tc>
          <w:tcPr>
            <w:tcW w:w="1194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Mean</w:t>
            </w:r>
          </w:p>
        </w:tc>
        <w:tc>
          <w:tcPr>
            <w:tcW w:w="981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07.811</w:t>
            </w:r>
          </w:p>
        </w:tc>
        <w:tc>
          <w:tcPr>
            <w:tcW w:w="980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14.323</w:t>
            </w:r>
          </w:p>
        </w:tc>
        <w:tc>
          <w:tcPr>
            <w:tcW w:w="923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11.334</w:t>
            </w:r>
          </w:p>
        </w:tc>
        <w:tc>
          <w:tcPr>
            <w:tcW w:w="922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13.301</w:t>
            </w:r>
          </w:p>
        </w:tc>
      </w:tr>
      <w:tr w:rsidR="00EA2FA0" w:rsidRPr="00014A40" w:rsidTr="00D31863">
        <w:trPr>
          <w:trHeight w:val="220"/>
        </w:trPr>
        <w:tc>
          <w:tcPr>
            <w:tcW w:w="1194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Maximum</w:t>
            </w:r>
          </w:p>
        </w:tc>
        <w:tc>
          <w:tcPr>
            <w:tcW w:w="981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12.442</w:t>
            </w:r>
          </w:p>
        </w:tc>
        <w:tc>
          <w:tcPr>
            <w:tcW w:w="980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17.653</w:t>
            </w:r>
          </w:p>
        </w:tc>
        <w:tc>
          <w:tcPr>
            <w:tcW w:w="923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16.301</w:t>
            </w:r>
          </w:p>
        </w:tc>
        <w:tc>
          <w:tcPr>
            <w:tcW w:w="922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16.342</w:t>
            </w:r>
          </w:p>
        </w:tc>
      </w:tr>
      <w:tr w:rsidR="00EA2FA0" w:rsidRPr="00014A40" w:rsidTr="00D31863">
        <w:trPr>
          <w:trHeight w:val="220"/>
        </w:trPr>
        <w:tc>
          <w:tcPr>
            <w:tcW w:w="1194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Minimum</w:t>
            </w:r>
          </w:p>
        </w:tc>
        <w:tc>
          <w:tcPr>
            <w:tcW w:w="981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03.894</w:t>
            </w:r>
          </w:p>
        </w:tc>
        <w:tc>
          <w:tcPr>
            <w:tcW w:w="980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10.372</w:t>
            </w:r>
          </w:p>
        </w:tc>
        <w:tc>
          <w:tcPr>
            <w:tcW w:w="923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06.883</w:t>
            </w:r>
          </w:p>
        </w:tc>
        <w:tc>
          <w:tcPr>
            <w:tcW w:w="922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09.642</w:t>
            </w:r>
          </w:p>
        </w:tc>
      </w:tr>
      <w:tr w:rsidR="00EA2FA0" w:rsidRPr="00014A40" w:rsidTr="00D31863">
        <w:trPr>
          <w:trHeight w:val="220"/>
        </w:trPr>
        <w:tc>
          <w:tcPr>
            <w:tcW w:w="1194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Std. Dev.</w:t>
            </w:r>
          </w:p>
        </w:tc>
        <w:tc>
          <w:tcPr>
            <w:tcW w:w="981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01.662</w:t>
            </w:r>
          </w:p>
        </w:tc>
        <w:tc>
          <w:tcPr>
            <w:tcW w:w="980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01.351</w:t>
            </w:r>
          </w:p>
        </w:tc>
        <w:tc>
          <w:tcPr>
            <w:tcW w:w="923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01.793</w:t>
            </w:r>
          </w:p>
        </w:tc>
        <w:tc>
          <w:tcPr>
            <w:tcW w:w="922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01.334</w:t>
            </w:r>
          </w:p>
        </w:tc>
      </w:tr>
    </w:tbl>
    <w:p w:rsidR="00EA2FA0" w:rsidRPr="00014A40" w:rsidRDefault="00EA2FA0" w:rsidP="00EA2FA0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014A40">
        <w:rPr>
          <w:rFonts w:ascii="Times New Roman" w:hAnsi="Times New Roman"/>
          <w:sz w:val="24"/>
          <w:szCs w:val="24"/>
        </w:rPr>
        <w:t xml:space="preserve">Note: </w:t>
      </w:r>
      <w:r w:rsidRPr="00014A40">
        <w:rPr>
          <w:rFonts w:ascii="Times New Roman" w:hAnsi="Times New Roman"/>
          <w:i/>
          <w:sz w:val="24"/>
          <w:szCs w:val="24"/>
        </w:rPr>
        <w:t>N</w:t>
      </w:r>
      <w:r w:rsidR="006E4C03" w:rsidRPr="00014A40">
        <w:rPr>
          <w:rFonts w:ascii="Times New Roman" w:hAnsi="Times New Roman"/>
          <w:sz w:val="24"/>
          <w:szCs w:val="24"/>
        </w:rPr>
        <w:t xml:space="preserve"> = 67</w:t>
      </w:r>
      <w:r w:rsidRPr="00014A40">
        <w:rPr>
          <w:rFonts w:ascii="Times New Roman" w:hAnsi="Times New Roman"/>
          <w:sz w:val="24"/>
          <w:szCs w:val="24"/>
        </w:rPr>
        <w:t xml:space="preserve">5, </w:t>
      </w:r>
      <w:r w:rsidRPr="00014A40">
        <w:rPr>
          <w:rFonts w:ascii="Times New Roman" w:hAnsi="Times New Roman"/>
          <w:i/>
          <w:sz w:val="24"/>
          <w:szCs w:val="24"/>
        </w:rPr>
        <w:t>n</w:t>
      </w:r>
      <w:r w:rsidRPr="00014A40">
        <w:rPr>
          <w:rFonts w:ascii="Times New Roman" w:hAnsi="Times New Roman"/>
          <w:sz w:val="24"/>
          <w:szCs w:val="24"/>
        </w:rPr>
        <w:t xml:space="preserve"> =</w:t>
      </w:r>
      <w:r w:rsidR="006E4C03" w:rsidRPr="00014A40">
        <w:rPr>
          <w:rFonts w:ascii="Times New Roman" w:hAnsi="Times New Roman"/>
          <w:sz w:val="24"/>
          <w:szCs w:val="24"/>
        </w:rPr>
        <w:t xml:space="preserve"> 45</w:t>
      </w:r>
      <w:r w:rsidRPr="00014A40">
        <w:rPr>
          <w:rFonts w:ascii="Times New Roman" w:hAnsi="Times New Roman"/>
          <w:sz w:val="24"/>
          <w:szCs w:val="24"/>
        </w:rPr>
        <w:t xml:space="preserve">, </w:t>
      </w:r>
      <w:r w:rsidRPr="00014A40">
        <w:rPr>
          <w:rFonts w:ascii="Times New Roman" w:hAnsi="Times New Roman"/>
          <w:i/>
          <w:sz w:val="24"/>
          <w:szCs w:val="24"/>
        </w:rPr>
        <w:t>T</w:t>
      </w:r>
      <w:r w:rsidRPr="00014A40">
        <w:rPr>
          <w:rFonts w:ascii="Times New Roman" w:hAnsi="Times New Roman"/>
          <w:sz w:val="24"/>
          <w:szCs w:val="24"/>
        </w:rPr>
        <w:t xml:space="preserve"> =15 </w:t>
      </w:r>
    </w:p>
    <w:p w:rsidR="00EA2FA0" w:rsidRPr="00014A40" w:rsidRDefault="00EA2FA0" w:rsidP="00EA2FA0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EA2FA0" w:rsidRPr="00014A40" w:rsidRDefault="00EA2FA0" w:rsidP="00EA2FA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014A40">
        <w:rPr>
          <w:rFonts w:ascii="Times New Roman" w:hAnsi="Times New Roman"/>
          <w:b/>
          <w:sz w:val="24"/>
          <w:szCs w:val="24"/>
        </w:rPr>
        <w:t xml:space="preserve">Table </w:t>
      </w:r>
      <w:r w:rsidR="006E4C03" w:rsidRPr="00014A40">
        <w:rPr>
          <w:rFonts w:ascii="Times New Roman" w:hAnsi="Times New Roman"/>
          <w:b/>
          <w:sz w:val="24"/>
          <w:szCs w:val="24"/>
        </w:rPr>
        <w:t>S5:</w:t>
      </w:r>
      <w:r w:rsidRPr="00014A40">
        <w:rPr>
          <w:rFonts w:ascii="Times New Roman" w:hAnsi="Times New Roman"/>
          <w:b/>
          <w:sz w:val="24"/>
          <w:szCs w:val="24"/>
        </w:rPr>
        <w:t xml:space="preserve"> </w:t>
      </w:r>
      <w:r w:rsidRPr="00014A40">
        <w:rPr>
          <w:rFonts w:ascii="Times New Roman" w:hAnsi="Times New Roman"/>
          <w:sz w:val="24"/>
          <w:szCs w:val="24"/>
        </w:rPr>
        <w:t>Correlation Matrix</w:t>
      </w:r>
      <w:r w:rsidR="0052057E" w:rsidRPr="00014A40">
        <w:rPr>
          <w:rFonts w:ascii="Times New Roman" w:hAnsi="Times New Roman"/>
          <w:sz w:val="24"/>
          <w:szCs w:val="24"/>
        </w:rPr>
        <w:t xml:space="preserve"> between the variables used for ENEF estimation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4"/>
        <w:gridCol w:w="1816"/>
        <w:gridCol w:w="1816"/>
        <w:gridCol w:w="1816"/>
        <w:gridCol w:w="1814"/>
      </w:tblGrid>
      <w:tr w:rsidR="00EA2FA0" w:rsidRPr="00014A40" w:rsidTr="00D31863">
        <w:trPr>
          <w:trHeight w:val="220"/>
          <w:jc w:val="center"/>
        </w:trPr>
        <w:tc>
          <w:tcPr>
            <w:tcW w:w="981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005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i/>
                <w:sz w:val="24"/>
                <w:szCs w:val="24"/>
              </w:rPr>
              <w:t>RVA</w:t>
            </w:r>
          </w:p>
        </w:tc>
        <w:tc>
          <w:tcPr>
            <w:tcW w:w="1005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i/>
                <w:sz w:val="24"/>
                <w:szCs w:val="24"/>
              </w:rPr>
              <w:t>LAB</w:t>
            </w:r>
          </w:p>
        </w:tc>
        <w:tc>
          <w:tcPr>
            <w:tcW w:w="1005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i/>
                <w:sz w:val="24"/>
                <w:szCs w:val="24"/>
              </w:rPr>
              <w:t>CAP</w:t>
            </w:r>
          </w:p>
        </w:tc>
        <w:tc>
          <w:tcPr>
            <w:tcW w:w="1005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i/>
                <w:sz w:val="24"/>
                <w:szCs w:val="24"/>
              </w:rPr>
              <w:t>EGY</w:t>
            </w:r>
          </w:p>
        </w:tc>
      </w:tr>
      <w:tr w:rsidR="00EA2FA0" w:rsidRPr="00014A40" w:rsidTr="00D31863">
        <w:trPr>
          <w:trHeight w:val="220"/>
          <w:jc w:val="center"/>
        </w:trPr>
        <w:tc>
          <w:tcPr>
            <w:tcW w:w="981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i/>
                <w:sz w:val="24"/>
                <w:szCs w:val="24"/>
              </w:rPr>
              <w:t>RVA</w:t>
            </w:r>
          </w:p>
        </w:tc>
        <w:tc>
          <w:tcPr>
            <w:tcW w:w="1005" w:type="pct"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pct"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0.741**</w:t>
            </w:r>
          </w:p>
        </w:tc>
        <w:tc>
          <w:tcPr>
            <w:tcW w:w="1005" w:type="pct"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0.798**</w:t>
            </w:r>
          </w:p>
        </w:tc>
        <w:tc>
          <w:tcPr>
            <w:tcW w:w="1005" w:type="pct"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0.483**</w:t>
            </w:r>
          </w:p>
        </w:tc>
      </w:tr>
      <w:tr w:rsidR="00EA2FA0" w:rsidRPr="00014A40" w:rsidTr="00D31863">
        <w:trPr>
          <w:trHeight w:val="220"/>
          <w:jc w:val="center"/>
        </w:trPr>
        <w:tc>
          <w:tcPr>
            <w:tcW w:w="981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i/>
                <w:sz w:val="24"/>
                <w:szCs w:val="24"/>
              </w:rPr>
              <w:t>LAB</w:t>
            </w:r>
          </w:p>
        </w:tc>
        <w:tc>
          <w:tcPr>
            <w:tcW w:w="1005" w:type="pct"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5" w:type="pct"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pct"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0.631***</w:t>
            </w:r>
          </w:p>
        </w:tc>
        <w:tc>
          <w:tcPr>
            <w:tcW w:w="1005" w:type="pct"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0.423**</w:t>
            </w:r>
          </w:p>
        </w:tc>
      </w:tr>
      <w:tr w:rsidR="00EA2FA0" w:rsidRPr="00014A40" w:rsidTr="00D31863">
        <w:trPr>
          <w:trHeight w:val="220"/>
          <w:jc w:val="center"/>
        </w:trPr>
        <w:tc>
          <w:tcPr>
            <w:tcW w:w="981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i/>
                <w:sz w:val="24"/>
                <w:szCs w:val="24"/>
              </w:rPr>
              <w:t>CAP</w:t>
            </w:r>
          </w:p>
        </w:tc>
        <w:tc>
          <w:tcPr>
            <w:tcW w:w="1005" w:type="pct"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5" w:type="pct"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5" w:type="pct"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pct"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0.571***</w:t>
            </w:r>
          </w:p>
        </w:tc>
      </w:tr>
      <w:tr w:rsidR="00EA2FA0" w:rsidRPr="00014A40" w:rsidTr="00D31863">
        <w:trPr>
          <w:trHeight w:val="220"/>
          <w:jc w:val="center"/>
        </w:trPr>
        <w:tc>
          <w:tcPr>
            <w:tcW w:w="981" w:type="pct"/>
            <w:vAlign w:val="bottom"/>
          </w:tcPr>
          <w:p w:rsidR="00EA2FA0" w:rsidRPr="00014A40" w:rsidRDefault="00EA2FA0" w:rsidP="00D3186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/>
                <w:i/>
                <w:sz w:val="24"/>
                <w:szCs w:val="24"/>
              </w:rPr>
              <w:t>EGY</w:t>
            </w:r>
          </w:p>
        </w:tc>
        <w:tc>
          <w:tcPr>
            <w:tcW w:w="1005" w:type="pct"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5" w:type="pct"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5" w:type="pct"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5" w:type="pct"/>
          </w:tcPr>
          <w:p w:rsidR="00EA2FA0" w:rsidRPr="00014A40" w:rsidRDefault="00EA2FA0" w:rsidP="00D3186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7674EC" w:rsidRPr="00014A40" w:rsidRDefault="00EA2FA0" w:rsidP="004911F9">
      <w:pPr>
        <w:rPr>
          <w:rFonts w:ascii="Times New Roman" w:hAnsi="Times New Roman"/>
          <w:sz w:val="24"/>
          <w:szCs w:val="24"/>
        </w:rPr>
      </w:pPr>
      <w:r w:rsidRPr="00014A40">
        <w:rPr>
          <w:rFonts w:ascii="Times New Roman" w:hAnsi="Times New Roman"/>
          <w:sz w:val="24"/>
          <w:szCs w:val="24"/>
        </w:rPr>
        <w:t xml:space="preserve">Note: The reported values are the Pearson correlation coefficient. ** </w:t>
      </w:r>
      <w:proofErr w:type="gramStart"/>
      <w:r w:rsidRPr="00014A40">
        <w:rPr>
          <w:rFonts w:ascii="Times New Roman" w:hAnsi="Times New Roman"/>
          <w:sz w:val="24"/>
          <w:szCs w:val="24"/>
        </w:rPr>
        <w:t>and</w:t>
      </w:r>
      <w:proofErr w:type="gramEnd"/>
      <w:r w:rsidRPr="00014A40">
        <w:rPr>
          <w:rFonts w:ascii="Times New Roman" w:hAnsi="Times New Roman"/>
          <w:sz w:val="24"/>
          <w:szCs w:val="24"/>
        </w:rPr>
        <w:t xml:space="preserve"> *** denotes statistical significance at 5% and 1% respectively.</w:t>
      </w:r>
      <w:r w:rsidRPr="00014A40">
        <w:rPr>
          <w:rFonts w:ascii="Times New Roman" w:hAnsi="Times New Roman"/>
          <w:sz w:val="24"/>
          <w:szCs w:val="24"/>
        </w:rPr>
        <w:br/>
      </w:r>
    </w:p>
    <w:p w:rsidR="00EA2FA0" w:rsidRPr="00014A40" w:rsidRDefault="00EA2FA0" w:rsidP="004911F9">
      <w:pPr>
        <w:rPr>
          <w:rFonts w:ascii="Times New Roman" w:hAnsi="Times New Roman"/>
          <w:b/>
          <w:sz w:val="24"/>
          <w:szCs w:val="24"/>
        </w:rPr>
      </w:pPr>
    </w:p>
    <w:p w:rsidR="006E4C03" w:rsidRPr="00014A40" w:rsidRDefault="006E4C03" w:rsidP="004911F9">
      <w:pPr>
        <w:rPr>
          <w:rFonts w:ascii="Times New Roman" w:hAnsi="Times New Roman"/>
          <w:sz w:val="24"/>
          <w:szCs w:val="24"/>
        </w:rPr>
      </w:pPr>
    </w:p>
    <w:p w:rsidR="00C51B58" w:rsidRPr="00014A40" w:rsidRDefault="00C51B58" w:rsidP="004911F9">
      <w:pPr>
        <w:rPr>
          <w:rFonts w:ascii="Times New Roman" w:hAnsi="Times New Roman"/>
          <w:sz w:val="24"/>
          <w:szCs w:val="24"/>
        </w:rPr>
      </w:pPr>
    </w:p>
    <w:p w:rsidR="006E4C03" w:rsidRPr="00014A40" w:rsidRDefault="006E4C03" w:rsidP="004911F9">
      <w:pPr>
        <w:rPr>
          <w:rFonts w:ascii="Times New Roman" w:hAnsi="Times New Roman"/>
          <w:sz w:val="24"/>
          <w:szCs w:val="24"/>
        </w:rPr>
      </w:pPr>
    </w:p>
    <w:p w:rsidR="006E4C03" w:rsidRPr="00014A40" w:rsidRDefault="006E4C03" w:rsidP="007674EC">
      <w:pPr>
        <w:jc w:val="center"/>
        <w:rPr>
          <w:rFonts w:ascii="Times New Roman" w:hAnsi="Times New Roman"/>
          <w:b/>
          <w:sz w:val="24"/>
          <w:szCs w:val="24"/>
        </w:rPr>
        <w:sectPr w:rsidR="006E4C03" w:rsidRPr="00014A40" w:rsidSect="00C352B4">
          <w:type w:val="continuous"/>
          <w:pgSz w:w="11906" w:h="16838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:rsidR="007674EC" w:rsidRPr="00014A40" w:rsidRDefault="006E4C03" w:rsidP="007674EC">
      <w:pPr>
        <w:jc w:val="center"/>
        <w:rPr>
          <w:rFonts w:ascii="Times New Roman" w:hAnsi="Times New Roman"/>
          <w:sz w:val="24"/>
          <w:szCs w:val="24"/>
        </w:rPr>
      </w:pPr>
      <w:r w:rsidRPr="00014A40">
        <w:rPr>
          <w:rFonts w:ascii="Times New Roman" w:hAnsi="Times New Roman"/>
          <w:b/>
          <w:sz w:val="24"/>
          <w:szCs w:val="24"/>
        </w:rPr>
        <w:lastRenderedPageBreak/>
        <w:t>Table S6:</w:t>
      </w:r>
      <w:r w:rsidR="007674EC" w:rsidRPr="00014A40">
        <w:rPr>
          <w:rFonts w:ascii="Times New Roman" w:hAnsi="Times New Roman"/>
          <w:sz w:val="24"/>
          <w:szCs w:val="24"/>
        </w:rPr>
        <w:t xml:space="preserve"> Sector-specific </w:t>
      </w:r>
      <w:r w:rsidRPr="00014A40">
        <w:rPr>
          <w:rFonts w:ascii="Times New Roman" w:hAnsi="Times New Roman"/>
          <w:sz w:val="24"/>
          <w:szCs w:val="24"/>
        </w:rPr>
        <w:t>ENEF</w:t>
      </w:r>
      <w:r w:rsidR="007674EC" w:rsidRPr="00014A40">
        <w:rPr>
          <w:rFonts w:ascii="Times New Roman" w:hAnsi="Times New Roman"/>
          <w:sz w:val="24"/>
          <w:szCs w:val="24"/>
        </w:rPr>
        <w:t xml:space="preserve"> estimates over the period 2000-2014.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10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84"/>
        <w:gridCol w:w="811"/>
        <w:gridCol w:w="811"/>
        <w:gridCol w:w="812"/>
        <w:gridCol w:w="1330"/>
      </w:tblGrid>
      <w:tr w:rsidR="0009694D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D5793F" w:rsidP="003E332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14A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NIC_</w:t>
            </w:r>
            <w:r w:rsidR="007674EC" w:rsidRPr="00014A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Code</w:t>
            </w:r>
            <w:proofErr w:type="spellEnd"/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2000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2001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2002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2003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2005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2006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2007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2008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2009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2010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2011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260973" w:rsidP="003E332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014A40">
              <w:rPr>
                <w:rFonts w:ascii="Times New Roman" w:eastAsia="Times New Roman" w:hAnsi="Times New Roman"/>
                <w:b/>
                <w:sz w:val="24"/>
                <w:szCs w:val="24"/>
              </w:rPr>
              <w:t>Avg.ENEF</w:t>
            </w:r>
            <w:proofErr w:type="spellEnd"/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A01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0.812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0.793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0.772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0.762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0.730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0.867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A02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0.763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0.882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A03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0.823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0.785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0.796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0.824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0.773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0.767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0.863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0.966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0.793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0.814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0.770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0.708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0.792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0.592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0.691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0.703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0.532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0.561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0.465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0.747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C10-C12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0.815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0.824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0.772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0.780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0.870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C13-C15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0.531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0.564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0.627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0.688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0.700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0.738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0.766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0.796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C16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0.789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0.827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0.969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0.796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0.675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0.609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0.594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0.597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0.553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0.518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0.548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0.743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C17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0.976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0.659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0.590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0.551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0.563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0.514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0.501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0.759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C18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0.965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0.666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0.822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0.868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C19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0.765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0.810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0.824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0.965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0.739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0.857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C20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0.611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0.662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0.631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0.740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0.730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0.755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0.747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0.825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0.967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0.800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C21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0.456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0.545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0.576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0.645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0.709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0.752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0.721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0.757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0.776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0.967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0.764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C22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0.753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0.586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0.578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0.600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0.553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0.527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0.529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0.514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0.742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C23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0.815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0.967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0.760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0.684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0.636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0.850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C24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0.971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0.963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0.779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0.678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0.718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0.691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0.582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0.557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0.502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0.474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0.400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0.392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0.355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0.654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C25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0.979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0.664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0.270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0.245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0.199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0.148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0.153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0.138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0.137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0.197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0.170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0.208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0.414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C26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0.462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0.515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0.589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0.635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0.661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0.617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0.512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0.475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0.970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0.770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0.716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C27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0.406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0.448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0.504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0.568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0.603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0.568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0.495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0.488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0.735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0.963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0.689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C28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0.970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0.643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0.679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0.594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0.618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0.476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0.452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0.495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0.654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0.599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0.722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0.705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C29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0.666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0.707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0.686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0.689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0.721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0.797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0.648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0.719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0.801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C30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0.757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0.961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0.775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0.640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0.516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0.463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0.629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0.570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0.634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0.756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C31_C32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0.960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0.811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0.656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0.786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0.422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0.366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0.525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0.489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0.512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0.535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0.477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0.682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D35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0.906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E36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0.593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0.606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0.513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0.500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0.640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0.651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0.981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0.476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0.511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0.445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0.430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0.510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0.581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0.613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F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0.697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0.685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0.792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0.965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0.751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0.774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0.772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0.830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G45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0.891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G46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0.964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0.815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0.795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0.820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0.864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G47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0.892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H49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0.764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0.886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H50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0.680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0.661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0.646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0.777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0.784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0.830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H51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0.216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0.186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0.180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0.168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0.240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0.330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0.298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0.269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0.435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0.291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0.275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0.305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0.982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0.767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0.681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0.375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H52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0.894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0.825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0.816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0.819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0.825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0.664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0.964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0.852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J61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0.281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0.253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0.288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0.245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0.264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0.300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0.338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0.354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0.426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0.485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0.700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0.738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0.967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0.970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0.494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J62_J63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0.788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0.679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0.621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0.665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0.836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K64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0.775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0.709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0.628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0.722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0.829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0.851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K65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0.788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0.730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0.631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0.744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0.859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L68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0.960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0.677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0.576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0.524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0.443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0.386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0.382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0.374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0.359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0.665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M69_M70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0.824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0.792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0.637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0.644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0.663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0.678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0.969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0.964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0.806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M71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0.694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0.504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0.585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0.740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0.624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0.732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0.691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0.794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0.828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0.796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0.727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0.658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0.703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0.844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O84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0.702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0.775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0.829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0.814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0.813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0.810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0.912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0.927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0.867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P85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0.892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0.785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0.716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0.671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0.701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0.677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0.659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0.831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Q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0.794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0.817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0.879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0.891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0.935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0.946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0.954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0.840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0.864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0.839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0.843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0.873</w:t>
            </w:r>
          </w:p>
        </w:tc>
      </w:tr>
      <w:tr w:rsidR="007674EC" w:rsidRPr="00014A40" w:rsidTr="003E3320">
        <w:trPr>
          <w:trHeight w:val="300"/>
        </w:trPr>
        <w:tc>
          <w:tcPr>
            <w:tcW w:w="310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R_S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0.730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0.796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0.813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0.828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0.904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0.883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0.934</w:t>
            </w:r>
          </w:p>
        </w:tc>
        <w:tc>
          <w:tcPr>
            <w:tcW w:w="279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0.977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0.884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0.636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0.692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0.858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0.761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0.766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0.717</w:t>
            </w:r>
          </w:p>
        </w:tc>
        <w:tc>
          <w:tcPr>
            <w:tcW w:w="307" w:type="pct"/>
            <w:noWrap/>
            <w:hideMark/>
          </w:tcPr>
          <w:p w:rsidR="007674EC" w:rsidRPr="00014A40" w:rsidRDefault="007674EC" w:rsidP="003E33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4A40">
              <w:rPr>
                <w:rFonts w:ascii="Times New Roman" w:eastAsia="Times New Roman" w:hAnsi="Times New Roman"/>
                <w:sz w:val="24"/>
                <w:szCs w:val="24"/>
              </w:rPr>
              <w:t>0.812</w:t>
            </w:r>
          </w:p>
        </w:tc>
      </w:tr>
    </w:tbl>
    <w:p w:rsidR="007674EC" w:rsidRPr="00014A40" w:rsidRDefault="003612EF" w:rsidP="007674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14A40">
        <w:rPr>
          <w:rFonts w:ascii="Times New Roman" w:hAnsi="Times New Roman"/>
          <w:b/>
          <w:sz w:val="24"/>
          <w:szCs w:val="24"/>
        </w:rPr>
        <w:t>Note</w:t>
      </w:r>
      <w:r w:rsidR="007674EC" w:rsidRPr="00014A40">
        <w:rPr>
          <w:rFonts w:ascii="Times New Roman" w:hAnsi="Times New Roman"/>
          <w:b/>
          <w:sz w:val="24"/>
          <w:szCs w:val="24"/>
        </w:rPr>
        <w:t>:</w:t>
      </w:r>
      <w:r w:rsidR="007674EC" w:rsidRPr="00014A40">
        <w:rPr>
          <w:rFonts w:ascii="Times New Roman" w:hAnsi="Times New Roman"/>
          <w:sz w:val="24"/>
          <w:szCs w:val="24"/>
        </w:rPr>
        <w:t xml:space="preserve"> Estimates </w:t>
      </w:r>
      <w:r w:rsidR="00260973" w:rsidRPr="00014A40">
        <w:rPr>
          <w:rFonts w:ascii="Times New Roman" w:hAnsi="Times New Roman"/>
          <w:sz w:val="24"/>
          <w:szCs w:val="24"/>
        </w:rPr>
        <w:t>stated</w:t>
      </w:r>
      <w:r w:rsidR="007674EC" w:rsidRPr="00014A40">
        <w:rPr>
          <w:rFonts w:ascii="Times New Roman" w:hAnsi="Times New Roman"/>
          <w:sz w:val="24"/>
          <w:szCs w:val="24"/>
        </w:rPr>
        <w:t xml:space="preserve"> in this table are </w:t>
      </w:r>
      <w:r w:rsidR="00260973" w:rsidRPr="00014A40">
        <w:rPr>
          <w:rFonts w:ascii="Times New Roman" w:hAnsi="Times New Roman"/>
          <w:sz w:val="24"/>
          <w:szCs w:val="24"/>
        </w:rPr>
        <w:t>calculated</w:t>
      </w:r>
      <w:r w:rsidR="007674EC" w:rsidRPr="00014A40">
        <w:rPr>
          <w:rFonts w:ascii="Times New Roman" w:hAnsi="Times New Roman"/>
          <w:sz w:val="24"/>
          <w:szCs w:val="24"/>
        </w:rPr>
        <w:t xml:space="preserve"> using panel SFA approach. </w:t>
      </w:r>
    </w:p>
    <w:p w:rsidR="006E4C03" w:rsidRPr="00014A40" w:rsidRDefault="006E4C03" w:rsidP="007674EC">
      <w:pPr>
        <w:spacing w:after="0"/>
        <w:jc w:val="center"/>
        <w:rPr>
          <w:rFonts w:ascii="Times New Roman" w:hAnsi="Times New Roman"/>
          <w:sz w:val="24"/>
          <w:szCs w:val="24"/>
        </w:rPr>
        <w:sectPr w:rsidR="006E4C03" w:rsidRPr="00014A40" w:rsidSect="00C352B4">
          <w:type w:val="continuous"/>
          <w:pgSz w:w="16838" w:h="11906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:rsidR="00C51B58" w:rsidRPr="00014A40" w:rsidRDefault="00C51B58" w:rsidP="00C51B58">
      <w:pPr>
        <w:jc w:val="both"/>
        <w:rPr>
          <w:rFonts w:ascii="Times New Roman" w:hAnsi="Times New Roman"/>
          <w:b/>
          <w:sz w:val="24"/>
          <w:szCs w:val="24"/>
        </w:rPr>
      </w:pPr>
      <w:r w:rsidRPr="00014A40">
        <w:rPr>
          <w:rFonts w:ascii="Times New Roman" w:hAnsi="Times New Roman"/>
          <w:b/>
          <w:sz w:val="24"/>
          <w:szCs w:val="24"/>
        </w:rPr>
        <w:lastRenderedPageBreak/>
        <w:t xml:space="preserve">Analysing asymmetric impacts of </w:t>
      </w:r>
      <w:r w:rsidR="00AA679B" w:rsidRPr="00014A40">
        <w:rPr>
          <w:rFonts w:ascii="Times New Roman" w:hAnsi="Times New Roman"/>
          <w:b/>
          <w:sz w:val="24"/>
          <w:szCs w:val="24"/>
        </w:rPr>
        <w:t>energy efficiency (</w:t>
      </w:r>
      <w:r w:rsidRPr="00014A40">
        <w:rPr>
          <w:rFonts w:ascii="Times New Roman" w:hAnsi="Times New Roman"/>
          <w:b/>
          <w:sz w:val="24"/>
          <w:szCs w:val="24"/>
        </w:rPr>
        <w:t>ENE</w:t>
      </w:r>
      <w:r w:rsidR="00AA679B" w:rsidRPr="00014A40">
        <w:rPr>
          <w:rFonts w:ascii="Times New Roman" w:hAnsi="Times New Roman"/>
          <w:b/>
          <w:sz w:val="24"/>
          <w:szCs w:val="24"/>
        </w:rPr>
        <w:t>F)</w:t>
      </w:r>
      <w:r w:rsidRPr="00014A40">
        <w:rPr>
          <w:rFonts w:ascii="Times New Roman" w:hAnsi="Times New Roman"/>
          <w:b/>
          <w:sz w:val="24"/>
          <w:szCs w:val="24"/>
        </w:rPr>
        <w:t xml:space="preserve"> on </w:t>
      </w:r>
      <w:r w:rsidR="00AA679B" w:rsidRPr="00014A40">
        <w:rPr>
          <w:rFonts w:ascii="Times New Roman" w:hAnsi="Times New Roman"/>
          <w:b/>
          <w:sz w:val="24"/>
          <w:szCs w:val="24"/>
        </w:rPr>
        <w:t>carbon emissions (</w:t>
      </w:r>
      <w:r w:rsidRPr="00014A40">
        <w:rPr>
          <w:rFonts w:ascii="Times New Roman" w:hAnsi="Times New Roman"/>
          <w:b/>
          <w:sz w:val="24"/>
          <w:szCs w:val="24"/>
        </w:rPr>
        <w:t>C</w:t>
      </w:r>
      <w:r w:rsidR="00AA679B" w:rsidRPr="00014A40">
        <w:rPr>
          <w:rFonts w:ascii="Times New Roman" w:hAnsi="Times New Roman"/>
          <w:b/>
          <w:sz w:val="24"/>
          <w:szCs w:val="24"/>
        </w:rPr>
        <w:t>A</w:t>
      </w:r>
      <w:r w:rsidRPr="00014A40">
        <w:rPr>
          <w:rFonts w:ascii="Times New Roman" w:hAnsi="Times New Roman"/>
          <w:b/>
          <w:sz w:val="24"/>
          <w:szCs w:val="24"/>
        </w:rPr>
        <w:t>E</w:t>
      </w:r>
      <w:r w:rsidR="00AA679B" w:rsidRPr="00014A40">
        <w:rPr>
          <w:rFonts w:ascii="Times New Roman" w:hAnsi="Times New Roman"/>
          <w:b/>
          <w:sz w:val="24"/>
          <w:szCs w:val="24"/>
        </w:rPr>
        <w:t>)</w:t>
      </w:r>
    </w:p>
    <w:p w:rsidR="00C51B58" w:rsidRPr="00014A40" w:rsidRDefault="00C51B58" w:rsidP="00C51B58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014A40">
        <w:rPr>
          <w:rFonts w:ascii="Times New Roman" w:hAnsi="Times New Roman"/>
          <w:i/>
          <w:sz w:val="24"/>
          <w:szCs w:val="24"/>
        </w:rPr>
        <w:t>Preliminary results</w:t>
      </w:r>
    </w:p>
    <w:p w:rsidR="00260973" w:rsidRPr="00014A40" w:rsidRDefault="00260973" w:rsidP="0026097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14A40">
        <w:rPr>
          <w:rFonts w:ascii="Times New Roman" w:hAnsi="Times New Roman"/>
          <w:b/>
          <w:sz w:val="24"/>
          <w:szCs w:val="24"/>
        </w:rPr>
        <w:t xml:space="preserve">Table S7: </w:t>
      </w:r>
      <w:proofErr w:type="spellStart"/>
      <w:r w:rsidRPr="00014A40">
        <w:rPr>
          <w:rFonts w:ascii="Times New Roman" w:hAnsi="Times New Roman"/>
          <w:sz w:val="24"/>
          <w:szCs w:val="24"/>
        </w:rPr>
        <w:t>Pesaran</w:t>
      </w:r>
      <w:proofErr w:type="spellEnd"/>
      <w:r w:rsidRPr="00014A40">
        <w:rPr>
          <w:rFonts w:ascii="Times New Roman" w:hAnsi="Times New Roman"/>
          <w:sz w:val="24"/>
          <w:szCs w:val="24"/>
        </w:rPr>
        <w:t xml:space="preserve"> (2004) </w:t>
      </w:r>
      <w:r w:rsidR="00AA679B" w:rsidRPr="00014A40">
        <w:rPr>
          <w:rFonts w:ascii="Times New Roman" w:hAnsi="Times New Roman"/>
          <w:sz w:val="24"/>
          <w:szCs w:val="24"/>
        </w:rPr>
        <w:t>cross-sectional dependence (</w:t>
      </w:r>
      <w:r w:rsidRPr="00014A40">
        <w:rPr>
          <w:rFonts w:ascii="Times New Roman" w:hAnsi="Times New Roman"/>
          <w:sz w:val="24"/>
          <w:szCs w:val="24"/>
        </w:rPr>
        <w:t>C</w:t>
      </w:r>
      <w:r w:rsidR="00DF32F4" w:rsidRPr="00014A40">
        <w:rPr>
          <w:rFonts w:ascii="Times New Roman" w:hAnsi="Times New Roman"/>
          <w:sz w:val="24"/>
          <w:szCs w:val="24"/>
        </w:rPr>
        <w:t>S</w:t>
      </w:r>
      <w:r w:rsidRPr="00014A40">
        <w:rPr>
          <w:rFonts w:ascii="Times New Roman" w:hAnsi="Times New Roman"/>
          <w:sz w:val="24"/>
          <w:szCs w:val="24"/>
        </w:rPr>
        <w:t>D</w:t>
      </w:r>
      <w:r w:rsidR="00AA679B" w:rsidRPr="00014A40">
        <w:rPr>
          <w:rFonts w:ascii="Times New Roman" w:hAnsi="Times New Roman"/>
          <w:sz w:val="24"/>
          <w:szCs w:val="24"/>
        </w:rPr>
        <w:t>)</w:t>
      </w:r>
      <w:r w:rsidRPr="00014A40">
        <w:rPr>
          <w:rFonts w:ascii="Times New Roman" w:hAnsi="Times New Roman"/>
          <w:sz w:val="24"/>
          <w:szCs w:val="24"/>
        </w:rPr>
        <w:t xml:space="preserve"> test results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96"/>
        <w:gridCol w:w="3725"/>
        <w:gridCol w:w="2521"/>
      </w:tblGrid>
      <w:tr w:rsidR="00343FD2" w:rsidRPr="00014A40" w:rsidTr="00D31863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Cs/>
                <w:sz w:val="24"/>
                <w:szCs w:val="24"/>
              </w:rPr>
              <w:t>Variables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="00DF32F4" w:rsidRPr="00014A40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014A40">
              <w:rPr>
                <w:rFonts w:ascii="Times New Roman" w:hAnsi="Times New Roman"/>
                <w:bCs/>
                <w:sz w:val="24"/>
                <w:szCs w:val="24"/>
              </w:rPr>
              <w:t>D Test Statistic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Cs/>
                <w:sz w:val="24"/>
                <w:szCs w:val="24"/>
              </w:rPr>
              <w:t>P-value</w:t>
            </w:r>
          </w:p>
        </w:tc>
      </w:tr>
      <w:tr w:rsidR="00343FD2" w:rsidRPr="00014A40" w:rsidTr="00D31863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014A40">
              <w:rPr>
                <w:rFonts w:ascii="Times New Roman" w:hAnsi="Times New Roman"/>
                <w:i/>
                <w:sz w:val="24"/>
                <w:szCs w:val="24"/>
              </w:rPr>
              <w:t>lnC</w:t>
            </w:r>
            <w:r w:rsidR="00AA679B" w:rsidRPr="00014A40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014A40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proofErr w:type="spellEnd"/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53.608***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343FD2" w:rsidRPr="00014A40" w:rsidTr="00D31863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014A40">
              <w:rPr>
                <w:rFonts w:ascii="Times New Roman" w:hAnsi="Times New Roman"/>
                <w:i/>
                <w:sz w:val="24"/>
                <w:szCs w:val="24"/>
              </w:rPr>
              <w:t>lnY</w:t>
            </w:r>
            <w:proofErr w:type="spellEnd"/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85.965***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343FD2" w:rsidRPr="00014A40" w:rsidTr="00D31863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4A40">
              <w:rPr>
                <w:rFonts w:ascii="Times New Roman" w:hAnsi="Times New Roman"/>
                <w:i/>
                <w:sz w:val="24"/>
                <w:szCs w:val="24"/>
              </w:rPr>
              <w:t>lnY</w:t>
            </w:r>
            <w:r w:rsidRPr="00014A40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23.350***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343FD2" w:rsidRPr="00014A40" w:rsidTr="00D31863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014A40">
              <w:rPr>
                <w:rFonts w:ascii="Times New Roman" w:hAnsi="Times New Roman"/>
                <w:i/>
                <w:sz w:val="24"/>
                <w:szCs w:val="24"/>
              </w:rPr>
              <w:t>lnE</w:t>
            </w:r>
            <w:r w:rsidR="00AA679B" w:rsidRPr="00014A40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014A40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="00AA679B" w:rsidRPr="00014A40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proofErr w:type="spellEnd"/>
            <w:r w:rsidRPr="00014A40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97.206***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343FD2" w:rsidRPr="00014A40" w:rsidTr="00D31863"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014A40">
              <w:rPr>
                <w:rFonts w:ascii="Times New Roman" w:hAnsi="Times New Roman"/>
                <w:i/>
                <w:sz w:val="24"/>
                <w:szCs w:val="24"/>
              </w:rPr>
              <w:t>lnE</w:t>
            </w:r>
            <w:r w:rsidR="00AA679B" w:rsidRPr="00014A40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014A40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="00AA679B" w:rsidRPr="00014A40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proofErr w:type="spellEnd"/>
            <w:r w:rsidRPr="00014A40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106.63***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</w:tbl>
    <w:p w:rsidR="00260973" w:rsidRPr="00014A40" w:rsidRDefault="00260973" w:rsidP="0026097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14A40">
        <w:rPr>
          <w:rFonts w:ascii="Times New Roman" w:hAnsi="Times New Roman"/>
          <w:b/>
          <w:sz w:val="24"/>
          <w:szCs w:val="24"/>
        </w:rPr>
        <w:t>Notes: H</w:t>
      </w:r>
      <w:r w:rsidRPr="00014A40">
        <w:rPr>
          <w:rFonts w:ascii="Times New Roman" w:hAnsi="Times New Roman"/>
          <w:b/>
          <w:sz w:val="24"/>
          <w:szCs w:val="24"/>
          <w:vertAlign w:val="subscript"/>
        </w:rPr>
        <w:t>0</w:t>
      </w:r>
      <w:r w:rsidRPr="00014A40">
        <w:rPr>
          <w:rFonts w:ascii="Times New Roman" w:eastAsia="DengXian" w:hAnsi="Times New Roman"/>
          <w:sz w:val="24"/>
          <w:szCs w:val="24"/>
        </w:rPr>
        <w:t xml:space="preserve">: </w:t>
      </w:r>
      <w:r w:rsidRPr="00014A40">
        <w:rPr>
          <w:rFonts w:ascii="Times New Roman" w:hAnsi="Times New Roman"/>
          <w:sz w:val="24"/>
          <w:szCs w:val="24"/>
        </w:rPr>
        <w:t xml:space="preserve">cross-sectional independence in the data series. </w:t>
      </w:r>
      <w:r w:rsidRPr="00014A40">
        <w:rPr>
          <w:rFonts w:ascii="Times New Roman" w:hAnsi="Times New Roman"/>
          <w:b/>
          <w:sz w:val="24"/>
          <w:szCs w:val="24"/>
        </w:rPr>
        <w:t xml:space="preserve">*** </w:t>
      </w:r>
      <w:r w:rsidRPr="00014A40">
        <w:rPr>
          <w:rFonts w:ascii="Times New Roman" w:hAnsi="Times New Roman"/>
          <w:sz w:val="24"/>
          <w:szCs w:val="24"/>
        </w:rPr>
        <w:t>denotes statistical significance at 1% level.</w:t>
      </w:r>
    </w:p>
    <w:p w:rsidR="00E87C00" w:rsidRPr="00014A40" w:rsidRDefault="00E87C00" w:rsidP="0026097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60973" w:rsidRPr="00014A40" w:rsidRDefault="00260973" w:rsidP="0026097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14A40">
        <w:rPr>
          <w:rFonts w:ascii="Times New Roman" w:hAnsi="Times New Roman"/>
          <w:b/>
          <w:sz w:val="24"/>
          <w:szCs w:val="24"/>
        </w:rPr>
        <w:t xml:space="preserve">Table S8: </w:t>
      </w:r>
      <w:r w:rsidRPr="00014A40">
        <w:rPr>
          <w:rFonts w:ascii="Times New Roman" w:hAnsi="Times New Roman"/>
          <w:sz w:val="24"/>
          <w:szCs w:val="24"/>
        </w:rPr>
        <w:t>Slope homogeneity test results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67"/>
        <w:gridCol w:w="3057"/>
        <w:gridCol w:w="2518"/>
      </w:tblGrid>
      <w:tr w:rsidR="00343FD2" w:rsidRPr="00014A40" w:rsidTr="00D31863"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73" w:rsidRPr="00014A40" w:rsidRDefault="00260973" w:rsidP="00D318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Cs/>
                <w:sz w:val="24"/>
                <w:szCs w:val="24"/>
              </w:rPr>
              <w:t>Statistic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4A40">
              <w:rPr>
                <w:rFonts w:ascii="Times New Roman" w:hAnsi="Times New Roman"/>
                <w:bCs/>
                <w:sz w:val="24"/>
                <w:szCs w:val="24"/>
              </w:rPr>
              <w:t>P-value</w:t>
            </w:r>
          </w:p>
        </w:tc>
      </w:tr>
      <w:tr w:rsidR="00343FD2" w:rsidRPr="00014A40" w:rsidTr="00D31863"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ED253C" w:rsidP="00D31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∆</m:t>
                    </m:r>
                  </m:e>
                </m:acc>
              </m:oMath>
            </m:oMathPara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12.612***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343FD2" w:rsidRPr="00014A40" w:rsidTr="00D31863"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ED253C" w:rsidP="00D31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∆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Adj</m:t>
                    </m:r>
                  </m:sub>
                </m:sSub>
              </m:oMath>
            </m:oMathPara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17.270***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73" w:rsidRPr="00014A40" w:rsidRDefault="00260973" w:rsidP="00D318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A40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</w:tbl>
    <w:p w:rsidR="00260973" w:rsidRPr="00014A40" w:rsidRDefault="00260973" w:rsidP="0026097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14A40">
        <w:rPr>
          <w:rFonts w:ascii="Times New Roman" w:hAnsi="Times New Roman"/>
          <w:b/>
          <w:sz w:val="24"/>
          <w:szCs w:val="24"/>
        </w:rPr>
        <w:t xml:space="preserve">Notes: </w:t>
      </w:r>
      <w:r w:rsidRPr="00014A40">
        <w:rPr>
          <w:rFonts w:ascii="Times New Roman" w:eastAsia="DengXian" w:hAnsi="Times New Roman"/>
          <w:b/>
          <w:sz w:val="24"/>
          <w:szCs w:val="24"/>
        </w:rPr>
        <w:t>H</w:t>
      </w:r>
      <w:r w:rsidRPr="00014A40">
        <w:rPr>
          <w:rFonts w:ascii="Times New Roman" w:eastAsia="DengXian" w:hAnsi="Times New Roman"/>
          <w:b/>
          <w:sz w:val="24"/>
          <w:szCs w:val="24"/>
          <w:vertAlign w:val="subscript"/>
        </w:rPr>
        <w:t>0</w:t>
      </w:r>
      <w:r w:rsidRPr="00014A40">
        <w:rPr>
          <w:rFonts w:ascii="Times New Roman" w:eastAsia="DengXian" w:hAnsi="Times New Roman"/>
          <w:sz w:val="24"/>
          <w:szCs w:val="24"/>
        </w:rPr>
        <w:t xml:space="preserve">: homogeneous slope coefficients across cross-sectional units. </w:t>
      </w:r>
      <w:r w:rsidRPr="00014A40">
        <w:rPr>
          <w:rFonts w:ascii="Times New Roman" w:hAnsi="Times New Roman"/>
          <w:b/>
          <w:sz w:val="24"/>
          <w:szCs w:val="24"/>
        </w:rPr>
        <w:t xml:space="preserve">*** </w:t>
      </w:r>
      <w:r w:rsidRPr="00014A40">
        <w:rPr>
          <w:rFonts w:ascii="Times New Roman" w:hAnsi="Times New Roman"/>
          <w:sz w:val="24"/>
          <w:szCs w:val="24"/>
        </w:rPr>
        <w:t>is the statistical significance at 1% level.</w:t>
      </w:r>
    </w:p>
    <w:p w:rsidR="00F23044" w:rsidRPr="00014A40" w:rsidRDefault="00F23044" w:rsidP="002609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51B58" w:rsidRPr="00014A40" w:rsidRDefault="00C51B58" w:rsidP="0026097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4A40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014A40">
        <w:rPr>
          <w:rFonts w:ascii="Times New Roman" w:hAnsi="Times New Roman"/>
          <w:sz w:val="24"/>
          <w:szCs w:val="24"/>
        </w:rPr>
        <w:t>Pesaran</w:t>
      </w:r>
      <w:proofErr w:type="spellEnd"/>
      <w:r w:rsidRPr="00014A40">
        <w:rPr>
          <w:rFonts w:ascii="Times New Roman" w:hAnsi="Times New Roman"/>
          <w:sz w:val="24"/>
          <w:szCs w:val="24"/>
        </w:rPr>
        <w:t xml:space="preserve"> (2004) C</w:t>
      </w:r>
      <w:r w:rsidR="00DF32F4" w:rsidRPr="00014A40">
        <w:rPr>
          <w:rFonts w:ascii="Times New Roman" w:hAnsi="Times New Roman"/>
          <w:sz w:val="24"/>
          <w:szCs w:val="24"/>
        </w:rPr>
        <w:t>S</w:t>
      </w:r>
      <w:r w:rsidRPr="00014A40">
        <w:rPr>
          <w:rFonts w:ascii="Times New Roman" w:hAnsi="Times New Roman"/>
          <w:sz w:val="24"/>
          <w:szCs w:val="24"/>
        </w:rPr>
        <w:t xml:space="preserve">D test results for </w:t>
      </w:r>
      <w:r w:rsidRPr="00014A40">
        <w:rPr>
          <w:rFonts w:ascii="Times New Roman" w:eastAsia="DengXian" w:hAnsi="Times New Roman"/>
          <w:sz w:val="24"/>
          <w:szCs w:val="24"/>
        </w:rPr>
        <w:t xml:space="preserve">the </w:t>
      </w:r>
      <w:r w:rsidRPr="00014A40">
        <w:rPr>
          <w:rFonts w:ascii="Times New Roman" w:hAnsi="Times New Roman"/>
          <w:sz w:val="24"/>
          <w:szCs w:val="24"/>
        </w:rPr>
        <w:t>variables of interest (</w:t>
      </w:r>
      <w:proofErr w:type="spellStart"/>
      <w:r w:rsidRPr="00014A40">
        <w:rPr>
          <w:rFonts w:ascii="Times New Roman" w:hAnsi="Times New Roman"/>
          <w:i/>
          <w:sz w:val="24"/>
          <w:szCs w:val="24"/>
        </w:rPr>
        <w:t>lnC</w:t>
      </w:r>
      <w:r w:rsidR="00AA679B" w:rsidRPr="00014A40">
        <w:rPr>
          <w:rFonts w:ascii="Times New Roman" w:hAnsi="Times New Roman"/>
          <w:i/>
          <w:sz w:val="24"/>
          <w:szCs w:val="24"/>
        </w:rPr>
        <w:t>A</w:t>
      </w:r>
      <w:r w:rsidRPr="00014A40">
        <w:rPr>
          <w:rFonts w:ascii="Times New Roman" w:hAnsi="Times New Roman"/>
          <w:i/>
          <w:sz w:val="24"/>
          <w:szCs w:val="24"/>
        </w:rPr>
        <w:t>E</w:t>
      </w:r>
      <w:proofErr w:type="spellEnd"/>
      <w:r w:rsidRPr="00014A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4A40">
        <w:rPr>
          <w:rFonts w:ascii="Times New Roman" w:hAnsi="Times New Roman"/>
          <w:i/>
          <w:sz w:val="24"/>
          <w:szCs w:val="24"/>
        </w:rPr>
        <w:t>lnY</w:t>
      </w:r>
      <w:proofErr w:type="spellEnd"/>
      <w:r w:rsidRPr="00014A40">
        <w:rPr>
          <w:rFonts w:ascii="Times New Roman" w:hAnsi="Times New Roman"/>
          <w:sz w:val="24"/>
          <w:szCs w:val="24"/>
        </w:rPr>
        <w:t xml:space="preserve">, </w:t>
      </w:r>
      <w:r w:rsidRPr="00014A40">
        <w:rPr>
          <w:rFonts w:ascii="Times New Roman" w:hAnsi="Times New Roman"/>
          <w:i/>
          <w:sz w:val="24"/>
          <w:szCs w:val="24"/>
        </w:rPr>
        <w:t>lnY</w:t>
      </w:r>
      <w:r w:rsidRPr="00014A40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014A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4A40">
        <w:rPr>
          <w:rFonts w:ascii="Times New Roman" w:hAnsi="Times New Roman"/>
          <w:i/>
          <w:sz w:val="24"/>
          <w:szCs w:val="24"/>
        </w:rPr>
        <w:t>lnE</w:t>
      </w:r>
      <w:r w:rsidR="00AA679B" w:rsidRPr="00014A40">
        <w:rPr>
          <w:rFonts w:ascii="Times New Roman" w:hAnsi="Times New Roman"/>
          <w:i/>
          <w:sz w:val="24"/>
          <w:szCs w:val="24"/>
        </w:rPr>
        <w:t>N</w:t>
      </w:r>
      <w:r w:rsidRPr="00014A40">
        <w:rPr>
          <w:rFonts w:ascii="Times New Roman" w:hAnsi="Times New Roman"/>
          <w:i/>
          <w:sz w:val="24"/>
          <w:szCs w:val="24"/>
        </w:rPr>
        <w:t>E</w:t>
      </w:r>
      <w:r w:rsidR="00AA679B" w:rsidRPr="00014A40">
        <w:rPr>
          <w:rFonts w:ascii="Times New Roman" w:hAnsi="Times New Roman"/>
          <w:i/>
          <w:sz w:val="24"/>
          <w:szCs w:val="24"/>
        </w:rPr>
        <w:t>F</w:t>
      </w:r>
      <w:proofErr w:type="spellEnd"/>
      <w:r w:rsidRPr="00014A40">
        <w:rPr>
          <w:rFonts w:ascii="Times New Roman" w:hAnsi="Times New Roman"/>
          <w:i/>
          <w:sz w:val="24"/>
          <w:szCs w:val="24"/>
          <w:vertAlign w:val="superscript"/>
        </w:rPr>
        <w:t>+</w:t>
      </w:r>
      <w:r w:rsidRPr="00014A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4A40">
        <w:rPr>
          <w:rFonts w:ascii="Times New Roman" w:hAnsi="Times New Roman"/>
          <w:i/>
          <w:sz w:val="24"/>
          <w:szCs w:val="24"/>
        </w:rPr>
        <w:t>lnE</w:t>
      </w:r>
      <w:r w:rsidR="00AA679B" w:rsidRPr="00014A40">
        <w:rPr>
          <w:rFonts w:ascii="Times New Roman" w:hAnsi="Times New Roman"/>
          <w:i/>
          <w:sz w:val="24"/>
          <w:szCs w:val="24"/>
        </w:rPr>
        <w:t>N</w:t>
      </w:r>
      <w:r w:rsidRPr="00014A40">
        <w:rPr>
          <w:rFonts w:ascii="Times New Roman" w:hAnsi="Times New Roman"/>
          <w:i/>
          <w:sz w:val="24"/>
          <w:szCs w:val="24"/>
        </w:rPr>
        <w:t>E</w:t>
      </w:r>
      <w:r w:rsidR="00AA679B" w:rsidRPr="00014A40">
        <w:rPr>
          <w:rFonts w:ascii="Times New Roman" w:hAnsi="Times New Roman"/>
          <w:i/>
          <w:sz w:val="24"/>
          <w:szCs w:val="24"/>
        </w:rPr>
        <w:t>F</w:t>
      </w:r>
      <w:proofErr w:type="spellEnd"/>
      <w:r w:rsidRPr="00014A40">
        <w:rPr>
          <w:rFonts w:ascii="Times New Roman" w:hAnsi="Times New Roman"/>
          <w:i/>
          <w:sz w:val="24"/>
          <w:szCs w:val="24"/>
          <w:vertAlign w:val="superscript"/>
        </w:rPr>
        <w:t>-</w:t>
      </w:r>
      <w:r w:rsidRPr="00014A40">
        <w:rPr>
          <w:rFonts w:ascii="Times New Roman" w:hAnsi="Times New Roman"/>
          <w:sz w:val="24"/>
          <w:szCs w:val="24"/>
        </w:rPr>
        <w:t xml:space="preserve">) are shown in Table </w:t>
      </w:r>
      <w:r w:rsidR="00260973" w:rsidRPr="00014A40">
        <w:rPr>
          <w:rFonts w:ascii="Times New Roman" w:hAnsi="Times New Roman"/>
          <w:sz w:val="24"/>
          <w:szCs w:val="24"/>
        </w:rPr>
        <w:t>S7</w:t>
      </w:r>
      <w:r w:rsidRPr="00014A40">
        <w:rPr>
          <w:rFonts w:ascii="Times New Roman" w:hAnsi="Times New Roman"/>
          <w:sz w:val="24"/>
          <w:szCs w:val="24"/>
        </w:rPr>
        <w:t>. The reported C</w:t>
      </w:r>
      <w:r w:rsidR="00DF32F4" w:rsidRPr="00014A40">
        <w:rPr>
          <w:rFonts w:ascii="Times New Roman" w:hAnsi="Times New Roman"/>
          <w:sz w:val="24"/>
          <w:szCs w:val="24"/>
        </w:rPr>
        <w:t>S</w:t>
      </w:r>
      <w:r w:rsidRPr="00014A40">
        <w:rPr>
          <w:rFonts w:ascii="Times New Roman" w:hAnsi="Times New Roman"/>
          <w:sz w:val="24"/>
          <w:szCs w:val="24"/>
        </w:rPr>
        <w:t xml:space="preserve">D test statistic </w:t>
      </w:r>
      <w:r w:rsidRPr="00014A40">
        <w:rPr>
          <w:rFonts w:ascii="Times New Roman" w:eastAsia="DengXian" w:hAnsi="Times New Roman"/>
          <w:sz w:val="24"/>
          <w:szCs w:val="24"/>
        </w:rPr>
        <w:t xml:space="preserve">values for all </w:t>
      </w:r>
      <w:r w:rsidRPr="00014A40">
        <w:rPr>
          <w:rFonts w:ascii="Times New Roman" w:hAnsi="Times New Roman"/>
          <w:sz w:val="24"/>
          <w:szCs w:val="24"/>
        </w:rPr>
        <w:t xml:space="preserve">variables reject the null hypothesis, </w:t>
      </w:r>
      <w:r w:rsidRPr="00014A40">
        <w:rPr>
          <w:rFonts w:ascii="Times New Roman" w:hAnsi="Times New Roman"/>
          <w:b/>
          <w:sz w:val="24"/>
          <w:szCs w:val="24"/>
        </w:rPr>
        <w:t>H</w:t>
      </w:r>
      <w:r w:rsidRPr="00014A40">
        <w:rPr>
          <w:rFonts w:ascii="Times New Roman" w:hAnsi="Times New Roman"/>
          <w:b/>
          <w:sz w:val="24"/>
          <w:szCs w:val="24"/>
          <w:vertAlign w:val="subscript"/>
        </w:rPr>
        <w:t>0</w:t>
      </w:r>
      <w:r w:rsidRPr="00014A40">
        <w:rPr>
          <w:rFonts w:ascii="Times New Roman" w:hAnsi="Times New Roman"/>
          <w:sz w:val="24"/>
          <w:szCs w:val="24"/>
        </w:rPr>
        <w:t>: cross-sectional independence in the data series, at the 1% level of statistical significance. This finding signifies that the data series for all variables are cross-</w:t>
      </w:r>
      <w:proofErr w:type="spellStart"/>
      <w:r w:rsidRPr="00014A40">
        <w:rPr>
          <w:rFonts w:ascii="Times New Roman" w:hAnsi="Times New Roman"/>
          <w:sz w:val="24"/>
          <w:szCs w:val="24"/>
        </w:rPr>
        <w:t>sectionally</w:t>
      </w:r>
      <w:proofErr w:type="spellEnd"/>
      <w:r w:rsidRPr="00014A40">
        <w:rPr>
          <w:rFonts w:ascii="Times New Roman" w:hAnsi="Times New Roman"/>
          <w:sz w:val="24"/>
          <w:szCs w:val="24"/>
        </w:rPr>
        <w:t xml:space="preserve"> dependent in the sample panel, and using conventional (first-generation)</w:t>
      </w:r>
      <w:r w:rsidRPr="00014A40">
        <w:rPr>
          <w:rStyle w:val="FootnoteReference"/>
          <w:rFonts w:ascii="Times New Roman" w:hAnsi="Times New Roman"/>
          <w:sz w:val="24"/>
          <w:szCs w:val="24"/>
        </w:rPr>
        <w:footnoteReference w:id="1"/>
      </w:r>
      <w:r w:rsidRPr="00014A40">
        <w:rPr>
          <w:rFonts w:ascii="Times New Roman" w:hAnsi="Times New Roman"/>
          <w:sz w:val="24"/>
          <w:szCs w:val="24"/>
        </w:rPr>
        <w:t xml:space="preserve"> </w:t>
      </w:r>
      <w:r w:rsidR="00AA679B" w:rsidRPr="00014A40">
        <w:rPr>
          <w:rFonts w:ascii="Times New Roman" w:hAnsi="Times New Roman"/>
          <w:sz w:val="24"/>
          <w:szCs w:val="24"/>
        </w:rPr>
        <w:t xml:space="preserve">panel unit root (PUR) </w:t>
      </w:r>
      <w:r w:rsidRPr="00014A40">
        <w:rPr>
          <w:rFonts w:ascii="Times New Roman" w:hAnsi="Times New Roman"/>
          <w:sz w:val="24"/>
          <w:szCs w:val="24"/>
        </w:rPr>
        <w:t>tests to examine the stationary properties of the data series is inappropriate (</w:t>
      </w:r>
      <w:proofErr w:type="spellStart"/>
      <w:r w:rsidRPr="00014A40">
        <w:rPr>
          <w:rFonts w:ascii="Times New Roman" w:hAnsi="Times New Roman"/>
          <w:sz w:val="24"/>
          <w:szCs w:val="24"/>
        </w:rPr>
        <w:t>Pesaran</w:t>
      </w:r>
      <w:proofErr w:type="spellEnd"/>
      <w:r w:rsidRPr="00014A40">
        <w:rPr>
          <w:rFonts w:ascii="Times New Roman" w:hAnsi="Times New Roman"/>
          <w:sz w:val="24"/>
          <w:szCs w:val="24"/>
        </w:rPr>
        <w:t xml:space="preserve">, 2007; </w:t>
      </w:r>
      <w:proofErr w:type="spellStart"/>
      <w:r w:rsidRPr="00014A40">
        <w:rPr>
          <w:rFonts w:ascii="Times New Roman" w:hAnsi="Times New Roman"/>
          <w:sz w:val="24"/>
          <w:szCs w:val="24"/>
        </w:rPr>
        <w:t>Shahbaz</w:t>
      </w:r>
      <w:proofErr w:type="spellEnd"/>
      <w:r w:rsidRPr="00014A40">
        <w:rPr>
          <w:rFonts w:ascii="Times New Roman" w:hAnsi="Times New Roman"/>
          <w:sz w:val="24"/>
          <w:szCs w:val="24"/>
        </w:rPr>
        <w:t xml:space="preserve"> et al., 2014), because the conventional PUR tests provide less effective power in the presence of C</w:t>
      </w:r>
      <w:r w:rsidR="00DF32F4" w:rsidRPr="00014A40">
        <w:rPr>
          <w:rFonts w:ascii="Times New Roman" w:hAnsi="Times New Roman"/>
          <w:sz w:val="24"/>
          <w:szCs w:val="24"/>
        </w:rPr>
        <w:t>S</w:t>
      </w:r>
      <w:r w:rsidRPr="00014A40">
        <w:rPr>
          <w:rFonts w:ascii="Times New Roman" w:hAnsi="Times New Roman"/>
          <w:sz w:val="24"/>
          <w:szCs w:val="24"/>
        </w:rPr>
        <w:t>D</w:t>
      </w:r>
      <w:r w:rsidRPr="00014A40">
        <w:rPr>
          <w:rFonts w:ascii="Times New Roman" w:eastAsia="DengXian" w:hAnsi="Times New Roman"/>
          <w:sz w:val="24"/>
          <w:szCs w:val="24"/>
        </w:rPr>
        <w:t xml:space="preserve"> as it is assumed that individual data series in the panel are independently distributed across cross-sections </w:t>
      </w:r>
      <w:r w:rsidRPr="00014A40">
        <w:rPr>
          <w:rFonts w:ascii="Times New Roman" w:hAnsi="Times New Roman"/>
          <w:sz w:val="24"/>
          <w:szCs w:val="24"/>
        </w:rPr>
        <w:t xml:space="preserve">(Levin et al., 2002; </w:t>
      </w:r>
      <w:proofErr w:type="spellStart"/>
      <w:r w:rsidRPr="00014A40">
        <w:rPr>
          <w:rFonts w:ascii="Times New Roman" w:hAnsi="Times New Roman"/>
          <w:sz w:val="24"/>
          <w:szCs w:val="24"/>
        </w:rPr>
        <w:t>Im</w:t>
      </w:r>
      <w:proofErr w:type="spellEnd"/>
      <w:r w:rsidRPr="00014A40">
        <w:rPr>
          <w:rFonts w:ascii="Times New Roman" w:hAnsi="Times New Roman"/>
          <w:sz w:val="24"/>
          <w:szCs w:val="24"/>
        </w:rPr>
        <w:t xml:space="preserve"> et al., 2003)</w:t>
      </w:r>
      <w:r w:rsidRPr="00014A40">
        <w:rPr>
          <w:rFonts w:ascii="Times New Roman" w:hAnsi="Times New Roman"/>
          <w:sz w:val="24"/>
          <w:szCs w:val="24"/>
        </w:rPr>
        <w:fldChar w:fldCharType="begin" w:fldLock="1"/>
      </w:r>
      <w:r w:rsidRPr="00014A40">
        <w:rPr>
          <w:rFonts w:ascii="Times New Roman" w:hAnsi="Times New Roman"/>
          <w:sz w:val="24"/>
          <w:szCs w:val="24"/>
        </w:rPr>
        <w:instrText>ADDIN CSL_CITATION {"citationItems":[{"id":"ITEM-1","itemData":{"author":[{"dropping-particle":"","family":"Hadri","given":"Kaddour","non-dropping-particle":"","parse-names":false,"suffix":""}],"container-title":"The Econometrics Journal","id":"ITEM-1","issue":"2","issued":{"date-parts":[["2000"]]},"page":"148-161","title":"Testing for stationarity in heterogeneous panel data Author ( s ): Kaddour Hadri Published by : Wiley on behalf of the Royal Economic Society Stable URL : http://www.jstor.org/stable/23114886 Testing for stationarity in heterogeneous panel data","type":"article-journal","volume":"3"},"uris":["http://www.mendeley.com/documents/?uuid=40159fc3-c4bb-43ad-a89a-816bae226aa0"]}],"mendeley":{"formattedCitation":"(Hadri, 2000)","plainTextFormattedCitation":"(Hadri, 2000)","previouslyFormattedCitation":"(Hadri, 2000)"},"properties":{"noteIndex":0},"schema":"https://github.com/citation-style-language/schema/raw/master/csl-citation.json"}</w:instrText>
      </w:r>
      <w:r w:rsidRPr="00014A40">
        <w:rPr>
          <w:rFonts w:ascii="Times New Roman" w:hAnsi="Times New Roman"/>
          <w:sz w:val="24"/>
          <w:szCs w:val="24"/>
        </w:rPr>
        <w:fldChar w:fldCharType="end"/>
      </w:r>
      <w:r w:rsidRPr="00014A40">
        <w:rPr>
          <w:rFonts w:ascii="Times New Roman" w:hAnsi="Times New Roman"/>
          <w:sz w:val="24"/>
          <w:szCs w:val="24"/>
        </w:rPr>
        <w:t>. Thus, considering the existence of C</w:t>
      </w:r>
      <w:r w:rsidR="00DF32F4" w:rsidRPr="00014A40">
        <w:rPr>
          <w:rFonts w:ascii="Times New Roman" w:hAnsi="Times New Roman"/>
          <w:sz w:val="24"/>
          <w:szCs w:val="24"/>
        </w:rPr>
        <w:t>S</w:t>
      </w:r>
      <w:r w:rsidRPr="00014A40">
        <w:rPr>
          <w:rFonts w:ascii="Times New Roman" w:hAnsi="Times New Roman"/>
          <w:sz w:val="24"/>
          <w:szCs w:val="24"/>
        </w:rPr>
        <w:t xml:space="preserve">D in the data series, </w:t>
      </w:r>
      <w:proofErr w:type="spellStart"/>
      <w:r w:rsidRPr="00014A40">
        <w:rPr>
          <w:rFonts w:ascii="Times New Roman" w:hAnsi="Times New Roman"/>
          <w:sz w:val="24"/>
          <w:szCs w:val="24"/>
        </w:rPr>
        <w:t>Pesaran</w:t>
      </w:r>
      <w:proofErr w:type="spellEnd"/>
      <w:r w:rsidRPr="00014A40">
        <w:rPr>
          <w:rFonts w:ascii="Times New Roman" w:hAnsi="Times New Roman"/>
          <w:sz w:val="24"/>
          <w:szCs w:val="24"/>
        </w:rPr>
        <w:t xml:space="preserve"> (2007) has developed a second-generation PUR test. </w:t>
      </w:r>
      <w:r w:rsidRPr="00014A40">
        <w:rPr>
          <w:rFonts w:ascii="Times New Roman" w:eastAsia="DengXian" w:hAnsi="Times New Roman"/>
          <w:sz w:val="24"/>
          <w:szCs w:val="24"/>
        </w:rPr>
        <w:t xml:space="preserve">Hence, the </w:t>
      </w:r>
      <w:proofErr w:type="spellStart"/>
      <w:r w:rsidRPr="00014A40">
        <w:rPr>
          <w:rFonts w:ascii="Times New Roman" w:hAnsi="Times New Roman"/>
          <w:sz w:val="24"/>
          <w:szCs w:val="24"/>
        </w:rPr>
        <w:t>Pesaran</w:t>
      </w:r>
      <w:proofErr w:type="spellEnd"/>
      <w:r w:rsidRPr="00014A40">
        <w:rPr>
          <w:rFonts w:ascii="Times New Roman" w:hAnsi="Times New Roman"/>
          <w:sz w:val="24"/>
          <w:szCs w:val="24"/>
        </w:rPr>
        <w:t xml:space="preserve"> (2007) PUR test is suitable for identify</w:t>
      </w:r>
      <w:r w:rsidRPr="00014A40">
        <w:rPr>
          <w:rFonts w:ascii="Times New Roman" w:eastAsia="DengXian" w:hAnsi="Times New Roman"/>
          <w:sz w:val="24"/>
          <w:szCs w:val="24"/>
        </w:rPr>
        <w:t>ing the stationary properties of the data series in this study.</w:t>
      </w:r>
    </w:p>
    <w:p w:rsidR="00C51B58" w:rsidRPr="00014A40" w:rsidRDefault="00C51B58" w:rsidP="00C51B58">
      <w:pPr>
        <w:spacing w:line="360" w:lineRule="auto"/>
        <w:ind w:firstLine="720"/>
        <w:jc w:val="both"/>
        <w:rPr>
          <w:rFonts w:ascii="Times New Roman" w:eastAsia="DengXian" w:hAnsi="Times New Roman"/>
          <w:sz w:val="24"/>
          <w:szCs w:val="24"/>
        </w:rPr>
      </w:pPr>
      <w:r w:rsidRPr="00014A40">
        <w:rPr>
          <w:rFonts w:ascii="Times New Roman" w:eastAsia="DengXian" w:hAnsi="Times New Roman"/>
          <w:sz w:val="24"/>
          <w:szCs w:val="24"/>
        </w:rPr>
        <w:lastRenderedPageBreak/>
        <w:t xml:space="preserve">Next, the results of the slope homogeneity test of </w:t>
      </w:r>
      <w:proofErr w:type="spellStart"/>
      <w:r w:rsidRPr="00014A40">
        <w:rPr>
          <w:rFonts w:ascii="Times New Roman" w:hAnsi="Times New Roman"/>
          <w:sz w:val="24"/>
          <w:szCs w:val="24"/>
        </w:rPr>
        <w:t>Pesaran</w:t>
      </w:r>
      <w:proofErr w:type="spellEnd"/>
      <w:r w:rsidRPr="00014A40">
        <w:rPr>
          <w:rFonts w:ascii="Times New Roman" w:hAnsi="Times New Roman"/>
          <w:sz w:val="24"/>
          <w:szCs w:val="24"/>
        </w:rPr>
        <w:t xml:space="preserve">-Yamagata (2008) are presented in Table </w:t>
      </w:r>
      <w:r w:rsidR="00260973" w:rsidRPr="00014A40">
        <w:rPr>
          <w:rFonts w:ascii="Times New Roman" w:hAnsi="Times New Roman"/>
          <w:sz w:val="24"/>
          <w:szCs w:val="24"/>
        </w:rPr>
        <w:t>S8</w:t>
      </w:r>
      <w:r w:rsidRPr="00014A40">
        <w:rPr>
          <w:rFonts w:ascii="Times New Roman" w:hAnsi="Times New Roman"/>
          <w:sz w:val="24"/>
          <w:szCs w:val="24"/>
        </w:rPr>
        <w:t>. It shows that at the 1% level of statistical significance all delta tilde (</w:t>
      </w:r>
      <m:oMath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∆</m:t>
            </m:r>
          </m:e>
        </m:acc>
      </m:oMath>
      <w:r w:rsidRPr="00014A40">
        <w:rPr>
          <w:rFonts w:ascii="Times New Roman" w:hAnsi="Times New Roman"/>
          <w:sz w:val="24"/>
          <w:szCs w:val="24"/>
        </w:rPr>
        <w:t>) and adjusted delta tilde (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∆</m:t>
                </m:r>
              </m:e>
            </m:acc>
          </m:e>
          <m:sub>
            <m:r>
              <w:rPr>
                <w:rFonts w:ascii="Cambria Math" w:hAnsi="Cambria Math"/>
                <w:sz w:val="24"/>
                <w:szCs w:val="24"/>
              </w:rPr>
              <m:t>Adj</m:t>
            </m:r>
          </m:sub>
        </m:sSub>
      </m:oMath>
      <w:r w:rsidRPr="00014A40">
        <w:rPr>
          <w:rFonts w:ascii="Times New Roman" w:hAnsi="Times New Roman"/>
          <w:sz w:val="24"/>
          <w:szCs w:val="24"/>
        </w:rPr>
        <w:t>) values are significant</w:t>
      </w:r>
      <w:r w:rsidRPr="00014A40">
        <w:rPr>
          <w:rFonts w:ascii="Times New Roman" w:eastAsia="DengXian" w:hAnsi="Times New Roman"/>
          <w:sz w:val="24"/>
          <w:szCs w:val="24"/>
        </w:rPr>
        <w:t xml:space="preserve">. This result suggests that the null hypothesis, </w:t>
      </w:r>
      <w:r w:rsidRPr="00014A40">
        <w:rPr>
          <w:rFonts w:ascii="Times New Roman" w:eastAsia="DengXian" w:hAnsi="Times New Roman"/>
          <w:b/>
          <w:sz w:val="24"/>
          <w:szCs w:val="24"/>
        </w:rPr>
        <w:t>H</w:t>
      </w:r>
      <w:r w:rsidRPr="00014A40">
        <w:rPr>
          <w:rFonts w:ascii="Times New Roman" w:eastAsia="DengXian" w:hAnsi="Times New Roman"/>
          <w:b/>
          <w:sz w:val="24"/>
          <w:szCs w:val="24"/>
          <w:vertAlign w:val="subscript"/>
        </w:rPr>
        <w:t>0</w:t>
      </w:r>
      <w:r w:rsidRPr="00014A40">
        <w:rPr>
          <w:rFonts w:ascii="Times New Roman" w:eastAsia="DengXian" w:hAnsi="Times New Roman"/>
          <w:sz w:val="24"/>
          <w:szCs w:val="24"/>
        </w:rPr>
        <w:t xml:space="preserve">: homogeneous slope coefficients across cross-sectional units, is rejected at the 1% level. The alternative hypothesis, </w:t>
      </w:r>
      <w:r w:rsidRPr="00014A40">
        <w:rPr>
          <w:rFonts w:ascii="Times New Roman" w:eastAsia="DengXian" w:hAnsi="Times New Roman"/>
          <w:b/>
          <w:sz w:val="24"/>
          <w:szCs w:val="24"/>
        </w:rPr>
        <w:t>H</w:t>
      </w:r>
      <w:r w:rsidRPr="00014A40">
        <w:rPr>
          <w:rFonts w:ascii="Times New Roman" w:eastAsia="DengXian" w:hAnsi="Times New Roman"/>
          <w:b/>
          <w:sz w:val="24"/>
          <w:szCs w:val="24"/>
          <w:vertAlign w:val="subscript"/>
        </w:rPr>
        <w:t>a</w:t>
      </w:r>
      <w:r w:rsidRPr="00014A40">
        <w:rPr>
          <w:rFonts w:ascii="Times New Roman" w:eastAsia="DengXian" w:hAnsi="Times New Roman"/>
          <w:sz w:val="24"/>
          <w:szCs w:val="24"/>
        </w:rPr>
        <w:t xml:space="preserve">: heterogeneous slope coefficients across cross-sectional </w:t>
      </w:r>
      <w:proofErr w:type="gramStart"/>
      <w:r w:rsidRPr="00014A40">
        <w:rPr>
          <w:rFonts w:ascii="Times New Roman" w:eastAsia="DengXian" w:hAnsi="Times New Roman"/>
          <w:sz w:val="24"/>
          <w:szCs w:val="24"/>
        </w:rPr>
        <w:t>units,</w:t>
      </w:r>
      <w:proofErr w:type="gramEnd"/>
      <w:r w:rsidRPr="00014A40">
        <w:rPr>
          <w:rFonts w:ascii="Times New Roman" w:eastAsia="DengXian" w:hAnsi="Times New Roman"/>
          <w:sz w:val="24"/>
          <w:szCs w:val="24"/>
        </w:rPr>
        <w:t xml:space="preserve"> can be accepted. Based on the findings of the delta test of the </w:t>
      </w:r>
      <w:proofErr w:type="spellStart"/>
      <w:r w:rsidRPr="00014A40">
        <w:rPr>
          <w:rFonts w:ascii="Times New Roman" w:hAnsi="Times New Roman"/>
          <w:sz w:val="24"/>
          <w:szCs w:val="24"/>
        </w:rPr>
        <w:t>Pesaran</w:t>
      </w:r>
      <w:proofErr w:type="spellEnd"/>
      <w:r w:rsidRPr="00014A40">
        <w:rPr>
          <w:rFonts w:ascii="Times New Roman" w:hAnsi="Times New Roman"/>
          <w:sz w:val="24"/>
          <w:szCs w:val="24"/>
        </w:rPr>
        <w:t>-Yamagata (2008)</w:t>
      </w:r>
      <w:r w:rsidRPr="00014A40">
        <w:rPr>
          <w:rFonts w:ascii="Times New Roman" w:eastAsia="DengXian" w:hAnsi="Times New Roman"/>
          <w:sz w:val="24"/>
          <w:szCs w:val="24"/>
        </w:rPr>
        <w:t xml:space="preserve"> test, this study suggests employing advanced panel data econometrics models instead of using traditional panel data econometrics models (such as fixed effects, random effects, generalised mixed-effects models, and so on) provide effective results (Mensah et al., 2019).</w:t>
      </w:r>
    </w:p>
    <w:p w:rsidR="00343FD2" w:rsidRPr="00014A40" w:rsidRDefault="00343FD2" w:rsidP="00C51B58">
      <w:pPr>
        <w:spacing w:line="360" w:lineRule="auto"/>
        <w:ind w:firstLine="720"/>
        <w:jc w:val="both"/>
        <w:rPr>
          <w:rFonts w:ascii="Times New Roman" w:eastAsia="DengXian" w:hAnsi="Times New Roman"/>
          <w:sz w:val="24"/>
          <w:szCs w:val="24"/>
        </w:rPr>
      </w:pPr>
    </w:p>
    <w:p w:rsidR="00343FD2" w:rsidRPr="00014A40" w:rsidRDefault="00343FD2" w:rsidP="00343FD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14A40">
        <w:rPr>
          <w:rFonts w:ascii="Times New Roman" w:hAnsi="Times New Roman"/>
          <w:b/>
          <w:sz w:val="24"/>
          <w:szCs w:val="24"/>
        </w:rPr>
        <w:t>References</w:t>
      </w:r>
    </w:p>
    <w:p w:rsidR="00120794" w:rsidRPr="00014A40" w:rsidRDefault="00120794" w:rsidP="00120794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Abban</w:t>
      </w:r>
      <w:proofErr w:type="spellEnd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 xml:space="preserve"> OJ, Wu J, Mensah IA (2020) Analysis on the nexus amid CO2 emissions, energy intensity, economic growth, and foreign direct investment in Belt and Road economies: does the level of income matter? </w:t>
      </w:r>
      <w:r w:rsidRPr="00014A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Environmental Science and Pollution Research</w:t>
      </w:r>
      <w:r w:rsidRPr="00014A4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14A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27</w:t>
      </w:r>
      <w:r w:rsidRPr="00014A40">
        <w:rPr>
          <w:rFonts w:ascii="Times New Roman" w:hAnsi="Times New Roman"/>
          <w:sz w:val="24"/>
          <w:szCs w:val="24"/>
          <w:shd w:val="clear" w:color="auto" w:fill="FFFFFF"/>
        </w:rPr>
        <w:t>(10): 11387-11402.</w:t>
      </w:r>
    </w:p>
    <w:p w:rsidR="00635783" w:rsidRPr="00014A40" w:rsidRDefault="00120794" w:rsidP="00635783">
      <w:pPr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Akbostancı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E, </w:t>
      </w: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Tunç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Gİ, </w:t>
      </w: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Türüt-Aşık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S (2011)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CO2 emissions of Turkish manufacturing industry: a decomposition analysis. </w:t>
      </w:r>
      <w:proofErr w:type="gramStart"/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Applied Energy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88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(6):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2273-2278.</w:t>
      </w:r>
      <w:proofErr w:type="gramEnd"/>
    </w:p>
    <w:p w:rsidR="00635783" w:rsidRPr="00014A40" w:rsidRDefault="00120794" w:rsidP="00635783">
      <w:pPr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Akram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R, Chen F, Khalid F, Ye Z,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Majeed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MT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(2020a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Heterogeneous effects of energy efficiency and renewable energy on carbon emissions: Evidence from developing countries.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Journal of cleaner production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247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119122.</w:t>
      </w:r>
    </w:p>
    <w:p w:rsidR="00120794" w:rsidRPr="00014A40" w:rsidRDefault="00120794" w:rsidP="00120794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Akram</w:t>
      </w:r>
      <w:proofErr w:type="spellEnd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 xml:space="preserve"> R, </w:t>
      </w:r>
      <w:proofErr w:type="spellStart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Majeed</w:t>
      </w:r>
      <w:proofErr w:type="spellEnd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 xml:space="preserve"> MT, Fareed Z, </w:t>
      </w:r>
      <w:proofErr w:type="gramStart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Khalid</w:t>
      </w:r>
      <w:proofErr w:type="gramEnd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 xml:space="preserve"> F, Ye C (2020b) Asymmetric effects of energy efficiency and renewable energy on carbon emissions of BRICS economies: evidence from nonlinear panel autoregressive distributed lag model. </w:t>
      </w:r>
      <w:r w:rsidRPr="00014A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Environmental science and pollution research</w:t>
      </w:r>
      <w:r w:rsidRPr="00014A4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014A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27</w:t>
      </w:r>
      <w:r w:rsidRPr="00014A40">
        <w:rPr>
          <w:rFonts w:ascii="Times New Roman" w:hAnsi="Times New Roman"/>
          <w:sz w:val="24"/>
          <w:szCs w:val="24"/>
          <w:shd w:val="clear" w:color="auto" w:fill="FFFFFF"/>
        </w:rPr>
        <w:t>(15): 18254-18268.</w:t>
      </w:r>
    </w:p>
    <w:p w:rsidR="00120794" w:rsidRPr="00014A40" w:rsidRDefault="00120794" w:rsidP="00120794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Akram</w:t>
      </w:r>
      <w:proofErr w:type="spellEnd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 xml:space="preserve"> R, Umar M, </w:t>
      </w:r>
      <w:proofErr w:type="spellStart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Xiaoli</w:t>
      </w:r>
      <w:proofErr w:type="spellEnd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 xml:space="preserve"> G, Chen F (2022) Dynamic linkages between energy efficiency, renewable energy along with economic growth and carbon emission. A case of MINT countries an asymmetric analysis: </w:t>
      </w:r>
      <w:r w:rsidRPr="00014A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Energy Reports</w:t>
      </w:r>
      <w:r w:rsidRPr="00014A4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014A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8</w:t>
      </w:r>
      <w:r w:rsidRPr="00014A40">
        <w:rPr>
          <w:rFonts w:ascii="Times New Roman" w:hAnsi="Times New Roman"/>
          <w:sz w:val="24"/>
          <w:szCs w:val="24"/>
          <w:shd w:val="clear" w:color="auto" w:fill="FFFFFF"/>
        </w:rPr>
        <w:t>: 2119-2130.</w:t>
      </w:r>
    </w:p>
    <w:p w:rsidR="00635783" w:rsidRPr="00014A40" w:rsidRDefault="008E6FDB" w:rsidP="00635783">
      <w:pPr>
        <w:adjustRightInd w:val="0"/>
        <w:snapToGrid w:val="0"/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Begum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RA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 Pereira JJ (2010)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GHG emissions and energy efficiency potential in the building sector of Malaysia. </w:t>
      </w:r>
      <w:proofErr w:type="gramStart"/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Australian Journal of Basic and Applied Sciences</w:t>
      </w:r>
      <w:r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.</w:t>
      </w:r>
      <w:proofErr w:type="gramEnd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4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(10):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5012-5017.</w:t>
      </w:r>
    </w:p>
    <w:p w:rsidR="00635783" w:rsidRPr="00014A40" w:rsidRDefault="008E6FDB" w:rsidP="00635783">
      <w:pPr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 xml:space="preserve">Bhattacharya M, </w:t>
      </w: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Rafiq</w:t>
      </w:r>
      <w:proofErr w:type="spellEnd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Lean HH, Bhattacharya S (2017)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The</w:t>
      </w:r>
      <w:proofErr w:type="gramEnd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regulated coal sector and CO2 emissions in Indian growth process: Empirical evidence over half a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century and policy suggestions.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proofErr w:type="gramStart"/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Applied energy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204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667-678.</w:t>
      </w:r>
      <w:proofErr w:type="gramEnd"/>
    </w:p>
    <w:p w:rsidR="008E6FDB" w:rsidRPr="00014A40" w:rsidRDefault="008E6FDB" w:rsidP="008E6FDB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14A40">
        <w:rPr>
          <w:rFonts w:ascii="Times New Roman" w:hAnsi="Times New Roman"/>
          <w:sz w:val="24"/>
          <w:szCs w:val="24"/>
          <w:shd w:val="clear" w:color="auto" w:fill="FFFFFF"/>
        </w:rPr>
        <w:t>Das A, Paul SK (2014) CO2 emissions from household consumption in India between 1993–94 and 2006–07: a decomposition analysis. </w:t>
      </w:r>
      <w:proofErr w:type="gramStart"/>
      <w:r w:rsidRPr="00014A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Energy Economics.</w:t>
      </w:r>
      <w:proofErr w:type="gramEnd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014A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41</w:t>
      </w:r>
      <w:r w:rsidRPr="00014A40">
        <w:rPr>
          <w:rFonts w:ascii="Times New Roman" w:hAnsi="Times New Roman"/>
          <w:sz w:val="24"/>
          <w:szCs w:val="24"/>
          <w:shd w:val="clear" w:color="auto" w:fill="FFFFFF"/>
        </w:rPr>
        <w:t>: 90-105.</w:t>
      </w:r>
    </w:p>
    <w:p w:rsidR="008E6FDB" w:rsidRPr="00014A40" w:rsidRDefault="008E6FDB" w:rsidP="008E6FDB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14A40">
        <w:rPr>
          <w:rFonts w:ascii="Times New Roman" w:hAnsi="Times New Roman"/>
          <w:sz w:val="24"/>
          <w:szCs w:val="24"/>
          <w:shd w:val="clear" w:color="auto" w:fill="FFFFFF"/>
        </w:rPr>
        <w:t>Das N, Roy J (2020) India can increase its mitigation ambition: An analysis based on historical evidence of decoupling between emission and economic growth. </w:t>
      </w:r>
      <w:proofErr w:type="gramStart"/>
      <w:r w:rsidRPr="00014A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Energy for Sustainable Development.</w:t>
      </w:r>
      <w:proofErr w:type="gramEnd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014A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57</w:t>
      </w:r>
      <w:r w:rsidRPr="00014A40">
        <w:rPr>
          <w:rFonts w:ascii="Times New Roman" w:hAnsi="Times New Roman"/>
          <w:sz w:val="24"/>
          <w:szCs w:val="24"/>
          <w:shd w:val="clear" w:color="auto" w:fill="FFFFFF"/>
        </w:rPr>
        <w:t>: 189-199.</w:t>
      </w:r>
    </w:p>
    <w:p w:rsidR="008E6FDB" w:rsidRPr="00014A40" w:rsidRDefault="008E6FDB" w:rsidP="008E6FDB">
      <w:pPr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Gunatilake</w:t>
      </w:r>
      <w:proofErr w:type="spellEnd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 xml:space="preserve"> H, Roland-Holst D, </w:t>
      </w:r>
      <w:proofErr w:type="spellStart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Sugiyarto</w:t>
      </w:r>
      <w:proofErr w:type="spellEnd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 xml:space="preserve"> G (2014) Energy security for India: Biofuels, energy efficiency and food productivity. </w:t>
      </w:r>
      <w:proofErr w:type="gramStart"/>
      <w:r w:rsidRPr="00014A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Energy Policy.</w:t>
      </w:r>
      <w:proofErr w:type="gramEnd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014A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65</w:t>
      </w:r>
      <w:r w:rsidRPr="00014A40">
        <w:rPr>
          <w:rFonts w:ascii="Times New Roman" w:hAnsi="Times New Roman"/>
          <w:sz w:val="24"/>
          <w:szCs w:val="24"/>
          <w:shd w:val="clear" w:color="auto" w:fill="FFFFFF"/>
        </w:rPr>
        <w:t>: 761-767.</w:t>
      </w:r>
    </w:p>
    <w:p w:rsidR="008E6FDB" w:rsidRPr="00014A40" w:rsidRDefault="008E6FDB" w:rsidP="008E6FDB">
      <w:pPr>
        <w:spacing w:after="0" w:line="360" w:lineRule="auto"/>
        <w:ind w:left="567" w:hanging="567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 xml:space="preserve">Gupta D, </w:t>
      </w:r>
      <w:proofErr w:type="spellStart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Ghersi</w:t>
      </w:r>
      <w:proofErr w:type="spellEnd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 xml:space="preserve"> F, </w:t>
      </w:r>
      <w:proofErr w:type="spellStart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Vishwanathan</w:t>
      </w:r>
      <w:proofErr w:type="spellEnd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 xml:space="preserve"> SS, Garg A (2019) Achieving sustainable development in India along low carbon pathways: Macroeconomic assessment.</w:t>
      </w:r>
      <w:proofErr w:type="gramEnd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014A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World Development</w:t>
      </w:r>
      <w:r w:rsidRPr="00014A4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014A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123</w:t>
      </w:r>
      <w:r w:rsidRPr="00014A40">
        <w:rPr>
          <w:rFonts w:ascii="Times New Roman" w:hAnsi="Times New Roman"/>
          <w:sz w:val="24"/>
          <w:szCs w:val="24"/>
          <w:shd w:val="clear" w:color="auto" w:fill="FFFFFF"/>
        </w:rPr>
        <w:t>: 104623.</w:t>
      </w:r>
    </w:p>
    <w:p w:rsidR="00635783" w:rsidRPr="00014A40" w:rsidRDefault="008E6FDB" w:rsidP="00635783">
      <w:pPr>
        <w:spacing w:after="0" w:line="360" w:lineRule="auto"/>
        <w:ind w:left="567" w:hanging="567"/>
        <w:contextualSpacing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Hammond GP, Norman JB (2012)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Decomposition analysis of energy-related carbon 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emissions from UK manufacturing.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Energy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41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(1):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220-227.</w:t>
      </w:r>
    </w:p>
    <w:p w:rsidR="00635783" w:rsidRPr="00014A40" w:rsidRDefault="008E6FDB" w:rsidP="00635783">
      <w:pPr>
        <w:spacing w:after="0" w:line="360" w:lineRule="auto"/>
        <w:ind w:left="567" w:hanging="567"/>
        <w:contextualSpacing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Iftikhar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Y, He W, Wang Z (2016)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Energy and CO2 emissions efficiency of major economies: A non-parametric analysis. </w:t>
      </w:r>
      <w:proofErr w:type="gramStart"/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Journal of Cleaner Production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  <w:proofErr w:type="gramEnd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139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779-787.</w:t>
      </w:r>
    </w:p>
    <w:p w:rsidR="00635783" w:rsidRPr="00014A40" w:rsidRDefault="008E6FDB" w:rsidP="00635783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Javid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M, Khan M (2020)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Energy efficiency and underlying carbon emission trends. </w:t>
      </w:r>
      <w:proofErr w:type="gramStart"/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Environmental Science and Pollution Research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  <w:proofErr w:type="gramEnd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27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(3):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3224-3236.</w:t>
      </w:r>
    </w:p>
    <w:p w:rsidR="00635783" w:rsidRPr="00014A40" w:rsidRDefault="00635783" w:rsidP="00635783">
      <w:pPr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Kar</w:t>
      </w:r>
      <w:r w:rsidR="008E6FDB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ali</w:t>
      </w:r>
      <w:proofErr w:type="spellEnd"/>
      <w:r w:rsidR="008E6FDB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N, Xu T, </w:t>
      </w:r>
      <w:proofErr w:type="spellStart"/>
      <w:r w:rsidR="008E6FDB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Sathaye</w:t>
      </w:r>
      <w:proofErr w:type="spellEnd"/>
      <w:r w:rsidR="008E6FDB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J (2014)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Reducing energy consumption and CO2 emissions by energy efficiency measures and international trading: a bottom-up </w:t>
      </w: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modeling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for the US iron and steel sector. </w:t>
      </w:r>
      <w:proofErr w:type="gramStart"/>
      <w:r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Applied energy</w:t>
      </w:r>
      <w:r w:rsidR="008E6FDB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  <w:proofErr w:type="gram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120</w:t>
      </w:r>
      <w:r w:rsidR="008E6FDB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133-146.</w:t>
      </w:r>
    </w:p>
    <w:p w:rsidR="00635783" w:rsidRPr="00014A40" w:rsidRDefault="000147C2" w:rsidP="00635783">
      <w:pPr>
        <w:snapToGrid w:val="0"/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Le TH, Nguyen CP (2019)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Is</w:t>
      </w:r>
      <w:proofErr w:type="gramEnd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energy security a driver for economic growth? </w:t>
      </w:r>
      <w:proofErr w:type="gramStart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Evidence from a global sample.</w:t>
      </w:r>
      <w:proofErr w:type="gramEnd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proofErr w:type="gramStart"/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Energy policy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  <w:proofErr w:type="gramEnd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129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436-451.</w:t>
      </w:r>
    </w:p>
    <w:p w:rsidR="00635783" w:rsidRPr="00014A40" w:rsidRDefault="000147C2" w:rsidP="00635783">
      <w:pPr>
        <w:snapToGrid w:val="0"/>
        <w:spacing w:after="0" w:line="360" w:lineRule="auto"/>
        <w:ind w:left="567" w:hanging="567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gram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Li K, Lin B (2015)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Metafroniter</w:t>
      </w:r>
      <w:proofErr w:type="spellEnd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energy efficiency with CO2 emissions and its convergence analysis for China.</w:t>
      </w:r>
      <w:proofErr w:type="gramEnd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proofErr w:type="gramStart"/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Energy Economics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  <w:proofErr w:type="gramEnd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48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230-241.</w:t>
      </w:r>
    </w:p>
    <w:p w:rsidR="000147C2" w:rsidRPr="00014A40" w:rsidRDefault="000147C2" w:rsidP="000147C2">
      <w:pPr>
        <w:snapToGrid w:val="0"/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14A40">
        <w:rPr>
          <w:rFonts w:ascii="Times New Roman" w:hAnsi="Times New Roman"/>
          <w:sz w:val="24"/>
          <w:szCs w:val="24"/>
          <w:shd w:val="clear" w:color="auto" w:fill="FFFFFF"/>
        </w:rPr>
        <w:t xml:space="preserve">Lin B, Xu B (2020) Effective ways to reduce CO2 emissions from China’s heavy industry? </w:t>
      </w:r>
      <w:proofErr w:type="gramStart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Evidence from semiparametric regression models.</w:t>
      </w:r>
      <w:proofErr w:type="gramEnd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014A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Energy Economics</w:t>
      </w:r>
      <w:r w:rsidRPr="00014A4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014A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92</w:t>
      </w:r>
      <w:r w:rsidRPr="00014A40">
        <w:rPr>
          <w:rFonts w:ascii="Times New Roman" w:hAnsi="Times New Roman"/>
          <w:sz w:val="24"/>
          <w:szCs w:val="24"/>
          <w:shd w:val="clear" w:color="auto" w:fill="FFFFFF"/>
        </w:rPr>
        <w:t>: 104974.</w:t>
      </w:r>
    </w:p>
    <w:p w:rsidR="00635783" w:rsidRPr="00014A40" w:rsidRDefault="000147C2" w:rsidP="00635783">
      <w:pPr>
        <w:snapToGrid w:val="0"/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López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-Peña Á, Pérez-Arriaga I, Linares P (2012)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Renewables vs. energy efficiency: The cost of carbon emissions reduction in Spain.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Energy policy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50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659-668.</w:t>
      </w:r>
    </w:p>
    <w:p w:rsidR="00635783" w:rsidRPr="00014A40" w:rsidRDefault="000147C2" w:rsidP="00635783">
      <w:pPr>
        <w:snapToGrid w:val="0"/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Mohammadi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A, </w:t>
      </w: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Rafiee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S, </w:t>
      </w: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Jafari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A, </w:t>
      </w: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Keyhani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A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 Mousavi-</w:t>
      </w:r>
      <w:proofErr w:type="spellStart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Avv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al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SH</w:t>
      </w:r>
      <w:proofErr w:type="gram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 </w:t>
      </w: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Nonhebel</w:t>
      </w:r>
      <w:proofErr w:type="spellEnd"/>
      <w:proofErr w:type="gram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S (2014)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Energy use efficiency and greenhouse gas emissions of farming systems in north Iran.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Renewable and Sustainable Energy Reviews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30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724-733.</w:t>
      </w:r>
    </w:p>
    <w:p w:rsidR="00635783" w:rsidRPr="00014A40" w:rsidRDefault="000147C2" w:rsidP="00635783">
      <w:pPr>
        <w:snapToGrid w:val="0"/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>Mohan RR (2018)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Time series GHG emission estimates for residential, commercial, agriculture and fisheries sectors in India.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Atmospheric Environment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178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73-79.</w:t>
      </w:r>
    </w:p>
    <w:p w:rsidR="00635783" w:rsidRPr="00014A40" w:rsidRDefault="000147C2" w:rsidP="00635783">
      <w:pPr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Moya JA, Pardo N (2013)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The</w:t>
      </w:r>
      <w:proofErr w:type="gramEnd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potential for improvements in energy efficiency and CO2 emissions in the EU27 iron and steel industry under different payback periods.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Journal of Cleaner Production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52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: 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71-83.</w:t>
      </w:r>
    </w:p>
    <w:p w:rsidR="00635783" w:rsidRPr="00014A40" w:rsidRDefault="000147C2" w:rsidP="00635783">
      <w:pPr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Özbuğday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FC, </w:t>
      </w: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Erbas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BC (2015)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How</w:t>
      </w:r>
      <w:proofErr w:type="gramEnd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effective are energy efficiency and renewable energy in curbing CO2 emissions in the long run? </w:t>
      </w:r>
      <w:proofErr w:type="gramStart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 heterogeneous panel data analysis.</w:t>
      </w:r>
      <w:proofErr w:type="gramEnd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Energy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82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734-745.</w:t>
      </w:r>
    </w:p>
    <w:p w:rsidR="00635783" w:rsidRPr="00014A40" w:rsidRDefault="000147C2" w:rsidP="00635783">
      <w:pPr>
        <w:snapToGrid w:val="0"/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Shao C, Guan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Y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Wan Z, Chu C, </w:t>
      </w: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Ju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M (2014)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Performance analysis of CO2 emissions and energy efficiency of metal industries in China.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Journal of environmental management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134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30-38.</w:t>
      </w:r>
    </w:p>
    <w:p w:rsidR="00635783" w:rsidRPr="00014A40" w:rsidRDefault="000147C2" w:rsidP="00635783">
      <w:pPr>
        <w:snapToGrid w:val="0"/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Singh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U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 Rao AB (2016)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Techno-economic assessment of carbon mitigation options for existing coal-fired power plants in India.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Energy Procedia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90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326-335.</w:t>
      </w:r>
    </w:p>
    <w:p w:rsidR="00635783" w:rsidRPr="00014A40" w:rsidRDefault="000147C2" w:rsidP="00635783">
      <w:pPr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Singh U, Rao AB, </w:t>
      </w: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Chandel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MK (2017)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Economic implications of CO2 capture from the existing as well as proposed coal-fired power plants in </w:t>
      </w:r>
      <w:proofErr w:type="spellStart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india</w:t>
      </w:r>
      <w:proofErr w:type="spellEnd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under various policy scenarios.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Energy Procedia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114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7638-7650.</w:t>
      </w:r>
    </w:p>
    <w:p w:rsidR="008E6FDB" w:rsidRPr="00014A40" w:rsidRDefault="008E6FDB" w:rsidP="008E6FDB">
      <w:pPr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Ulucak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R, Khan SUD (2020) Relationship between energy intensity and CO2 emissions: does economic policy matter</w:t>
      </w:r>
      <w:proofErr w:type="gram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?.</w:t>
      </w:r>
      <w:proofErr w:type="gram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Sustainable Development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28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(5): 1457-1464.</w:t>
      </w:r>
    </w:p>
    <w:p w:rsidR="000147C2" w:rsidRPr="00014A40" w:rsidRDefault="000147C2" w:rsidP="000147C2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14A40">
        <w:rPr>
          <w:rFonts w:ascii="Times New Roman" w:hAnsi="Times New Roman"/>
          <w:sz w:val="24"/>
          <w:szCs w:val="24"/>
          <w:shd w:val="clear" w:color="auto" w:fill="FFFFFF"/>
        </w:rPr>
        <w:t xml:space="preserve">Wang Q, Wang S (2020) </w:t>
      </w:r>
      <w:proofErr w:type="gramStart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Why</w:t>
      </w:r>
      <w:proofErr w:type="gramEnd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 xml:space="preserve"> does China’s carbon intensity decline and India’s carbon intensity rise? </w:t>
      </w:r>
      <w:proofErr w:type="gramStart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A decomposition analysis on the sectors.</w:t>
      </w:r>
      <w:proofErr w:type="gramEnd"/>
      <w:r w:rsidRPr="00014A4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014A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Journal of Cleaner Production</w:t>
      </w:r>
      <w:r w:rsidRPr="00014A4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014A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265</w:t>
      </w:r>
      <w:r w:rsidRPr="00014A40">
        <w:rPr>
          <w:rFonts w:ascii="Times New Roman" w:hAnsi="Times New Roman"/>
          <w:sz w:val="24"/>
          <w:szCs w:val="24"/>
          <w:shd w:val="clear" w:color="auto" w:fill="FFFFFF"/>
        </w:rPr>
        <w:t>: 121569.</w:t>
      </w:r>
    </w:p>
    <w:p w:rsidR="00635783" w:rsidRPr="00014A40" w:rsidRDefault="000147C2" w:rsidP="00635783">
      <w:pPr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Wu F, Fan LW, Zhou P, Zhou DQ (2012)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Industrial energy efficiency with CO2 emissions in China: A nonparametric analysis.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Energy Policy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49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164-172.</w:t>
      </w:r>
    </w:p>
    <w:p w:rsidR="00635783" w:rsidRPr="00014A40" w:rsidRDefault="000147C2" w:rsidP="00635783">
      <w:pPr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gram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Yuan J, Kang J, Yu C, Hu Z (2011)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Energy conservation and emissions reduction in China—progress and prospective.</w:t>
      </w:r>
      <w:proofErr w:type="gramEnd"/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Renewable and Sustainable Energy Reviews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15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(9):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4334-4347. </w:t>
      </w:r>
    </w:p>
    <w:p w:rsidR="00635783" w:rsidRPr="00635783" w:rsidRDefault="000147C2" w:rsidP="00635783">
      <w:pPr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Zhou N, Khanna N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Feng W, </w:t>
      </w:r>
      <w:proofErr w:type="spellStart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Ke</w:t>
      </w:r>
      <w:proofErr w:type="spellEnd"/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J, Levine M (2018)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Scenarios of energy efficiency and CO2 emissions reduction potential in the buildings sector in China to year 2050.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Nature Energy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635783" w:rsidRPr="00014A40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3</w:t>
      </w:r>
      <w:r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(11):</w:t>
      </w:r>
      <w:r w:rsidR="00635783" w:rsidRPr="00014A4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978-984.</w:t>
      </w:r>
    </w:p>
    <w:p w:rsidR="00635783" w:rsidRPr="00635783" w:rsidRDefault="00635783" w:rsidP="00635783">
      <w:pPr>
        <w:spacing w:after="0" w:line="360" w:lineRule="auto"/>
        <w:ind w:left="567" w:hanging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:rsidR="00060CE2" w:rsidRPr="00343FD2" w:rsidRDefault="00060CE2" w:rsidP="004911F9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060CE2" w:rsidRPr="00343FD2" w:rsidSect="00C352B4">
      <w:type w:val="continuous"/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53C" w:rsidRDefault="00ED253C" w:rsidP="0009694D">
      <w:pPr>
        <w:spacing w:after="0" w:line="240" w:lineRule="auto"/>
      </w:pPr>
      <w:r>
        <w:separator/>
      </w:r>
    </w:p>
  </w:endnote>
  <w:endnote w:type="continuationSeparator" w:id="0">
    <w:p w:rsidR="00ED253C" w:rsidRDefault="00ED253C" w:rsidP="0009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OT863180f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00510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6FDB" w:rsidRDefault="008E6F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52B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E6FDB" w:rsidRDefault="008E6F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53C" w:rsidRDefault="00ED253C" w:rsidP="0009694D">
      <w:pPr>
        <w:spacing w:after="0" w:line="240" w:lineRule="auto"/>
      </w:pPr>
      <w:r>
        <w:separator/>
      </w:r>
    </w:p>
  </w:footnote>
  <w:footnote w:type="continuationSeparator" w:id="0">
    <w:p w:rsidR="00ED253C" w:rsidRDefault="00ED253C" w:rsidP="0009694D">
      <w:pPr>
        <w:spacing w:after="0" w:line="240" w:lineRule="auto"/>
      </w:pPr>
      <w:r>
        <w:continuationSeparator/>
      </w:r>
    </w:p>
  </w:footnote>
  <w:footnote w:id="1">
    <w:p w:rsidR="008E6FDB" w:rsidRPr="00D80C7B" w:rsidRDefault="008E6FDB" w:rsidP="00C51B58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80C7B">
        <w:rPr>
          <w:rStyle w:val="FootnoteReference"/>
          <w:rFonts w:ascii="Times New Roman" w:hAnsi="Times New Roman"/>
        </w:rPr>
        <w:footnoteRef/>
      </w:r>
      <w:r w:rsidRPr="00D80C7B">
        <w:rPr>
          <w:rFonts w:ascii="Times New Roman" w:hAnsi="Times New Roman"/>
          <w:noProof/>
          <w:sz w:val="20"/>
          <w:szCs w:val="20"/>
        </w:rPr>
        <w:t xml:space="preserve">Maddala and Wu (1999), Hadri (2000), Choi (2001), Levin et al. (2002), Im et al. (2003) </w:t>
      </w:r>
      <w:r>
        <w:rPr>
          <w:rFonts w:ascii="Times New Roman" w:hAnsi="Times New Roman"/>
          <w:noProof/>
          <w:sz w:val="20"/>
          <w:szCs w:val="20"/>
        </w:rPr>
        <w:t>PUR</w:t>
      </w:r>
      <w:r w:rsidRPr="00D80C7B">
        <w:rPr>
          <w:rFonts w:ascii="Times New Roman" w:hAnsi="Times New Roman"/>
          <w:noProof/>
          <w:sz w:val="20"/>
          <w:szCs w:val="20"/>
        </w:rPr>
        <w:t xml:space="preserve"> tests.</w:t>
      </w:r>
    </w:p>
    <w:p w:rsidR="008E6FDB" w:rsidRPr="009A7EBE" w:rsidRDefault="008E6FDB" w:rsidP="00C51B58">
      <w:pPr>
        <w:pStyle w:val="FootnoteText"/>
        <w:rPr>
          <w:rFonts w:ascii="Times New Roman" w:hAnsi="Times New Roman" w:cs="Times New Roman"/>
          <w:color w:val="FF000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6060"/>
    <w:multiLevelType w:val="hybridMultilevel"/>
    <w:tmpl w:val="0AD6F58A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E245B3"/>
    <w:multiLevelType w:val="hybridMultilevel"/>
    <w:tmpl w:val="30940B54"/>
    <w:lvl w:ilvl="0" w:tplc="70A25018">
      <w:start w:val="1"/>
      <w:numFmt w:val="decimal"/>
      <w:lvlText w:val="%1."/>
      <w:lvlJc w:val="left"/>
      <w:pPr>
        <w:ind w:left="720" w:hanging="360"/>
      </w:pPr>
    </w:lvl>
    <w:lvl w:ilvl="1" w:tplc="23FE12D8">
      <w:start w:val="1"/>
      <w:numFmt w:val="lowerLetter"/>
      <w:lvlText w:val="%2."/>
      <w:lvlJc w:val="left"/>
      <w:pPr>
        <w:ind w:left="1440" w:hanging="360"/>
      </w:pPr>
    </w:lvl>
    <w:lvl w:ilvl="2" w:tplc="482C4DAE">
      <w:start w:val="1"/>
      <w:numFmt w:val="lowerRoman"/>
      <w:lvlText w:val="%3."/>
      <w:lvlJc w:val="right"/>
      <w:pPr>
        <w:ind w:left="2160" w:hanging="180"/>
      </w:pPr>
    </w:lvl>
    <w:lvl w:ilvl="3" w:tplc="82EE44BC">
      <w:start w:val="1"/>
      <w:numFmt w:val="decimal"/>
      <w:lvlText w:val="%4."/>
      <w:lvlJc w:val="left"/>
      <w:pPr>
        <w:ind w:left="2880" w:hanging="360"/>
      </w:pPr>
    </w:lvl>
    <w:lvl w:ilvl="4" w:tplc="5636EBF6">
      <w:start w:val="1"/>
      <w:numFmt w:val="lowerLetter"/>
      <w:lvlText w:val="%5."/>
      <w:lvlJc w:val="left"/>
      <w:pPr>
        <w:ind w:left="3600" w:hanging="360"/>
      </w:pPr>
    </w:lvl>
    <w:lvl w:ilvl="5" w:tplc="CA28D824">
      <w:start w:val="1"/>
      <w:numFmt w:val="lowerRoman"/>
      <w:lvlText w:val="%6."/>
      <w:lvlJc w:val="right"/>
      <w:pPr>
        <w:ind w:left="4320" w:hanging="180"/>
      </w:pPr>
    </w:lvl>
    <w:lvl w:ilvl="6" w:tplc="5B80C17A">
      <w:start w:val="1"/>
      <w:numFmt w:val="decimal"/>
      <w:lvlText w:val="%7."/>
      <w:lvlJc w:val="left"/>
      <w:pPr>
        <w:ind w:left="5040" w:hanging="360"/>
      </w:pPr>
    </w:lvl>
    <w:lvl w:ilvl="7" w:tplc="0A746BA2">
      <w:start w:val="1"/>
      <w:numFmt w:val="lowerLetter"/>
      <w:lvlText w:val="%8."/>
      <w:lvlJc w:val="left"/>
      <w:pPr>
        <w:ind w:left="5760" w:hanging="360"/>
      </w:pPr>
    </w:lvl>
    <w:lvl w:ilvl="8" w:tplc="84B6B95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B7DB9"/>
    <w:multiLevelType w:val="hybridMultilevel"/>
    <w:tmpl w:val="2560476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011AA1"/>
    <w:multiLevelType w:val="hybridMultilevel"/>
    <w:tmpl w:val="A2760956"/>
    <w:lvl w:ilvl="0" w:tplc="9F5050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1D04E8"/>
    <w:multiLevelType w:val="hybridMultilevel"/>
    <w:tmpl w:val="D1BCB98A"/>
    <w:lvl w:ilvl="0" w:tplc="662C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AE8C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8CC1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B0D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8FE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94E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FEA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9643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EEF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71D50"/>
    <w:multiLevelType w:val="hybridMultilevel"/>
    <w:tmpl w:val="1EE2426A"/>
    <w:lvl w:ilvl="0" w:tplc="76F05C8A">
      <w:start w:val="1"/>
      <w:numFmt w:val="lowerRoman"/>
      <w:lvlText w:val="%1."/>
      <w:lvlJc w:val="right"/>
      <w:pPr>
        <w:ind w:left="780" w:hanging="360"/>
      </w:pPr>
    </w:lvl>
    <w:lvl w:ilvl="1" w:tplc="5B8A15F4">
      <w:start w:val="1"/>
      <w:numFmt w:val="lowerLetter"/>
      <w:lvlText w:val="%2."/>
      <w:lvlJc w:val="left"/>
      <w:pPr>
        <w:ind w:left="1500" w:hanging="360"/>
      </w:pPr>
    </w:lvl>
    <w:lvl w:ilvl="2" w:tplc="9A7608BC">
      <w:start w:val="1"/>
      <w:numFmt w:val="lowerRoman"/>
      <w:lvlText w:val="%3."/>
      <w:lvlJc w:val="right"/>
      <w:pPr>
        <w:ind w:left="2220" w:hanging="180"/>
      </w:pPr>
    </w:lvl>
    <w:lvl w:ilvl="3" w:tplc="6D70BCF2">
      <w:start w:val="1"/>
      <w:numFmt w:val="decimal"/>
      <w:lvlText w:val="%4."/>
      <w:lvlJc w:val="left"/>
      <w:pPr>
        <w:ind w:left="2940" w:hanging="360"/>
      </w:pPr>
    </w:lvl>
    <w:lvl w:ilvl="4" w:tplc="3DEAC31A">
      <w:start w:val="1"/>
      <w:numFmt w:val="lowerLetter"/>
      <w:lvlText w:val="%5."/>
      <w:lvlJc w:val="left"/>
      <w:pPr>
        <w:ind w:left="3660" w:hanging="360"/>
      </w:pPr>
    </w:lvl>
    <w:lvl w:ilvl="5" w:tplc="6736DE50">
      <w:start w:val="1"/>
      <w:numFmt w:val="lowerRoman"/>
      <w:lvlText w:val="%6."/>
      <w:lvlJc w:val="right"/>
      <w:pPr>
        <w:ind w:left="4380" w:hanging="180"/>
      </w:pPr>
    </w:lvl>
    <w:lvl w:ilvl="6" w:tplc="67660AAA">
      <w:start w:val="1"/>
      <w:numFmt w:val="decimal"/>
      <w:lvlText w:val="%7."/>
      <w:lvlJc w:val="left"/>
      <w:pPr>
        <w:ind w:left="5100" w:hanging="360"/>
      </w:pPr>
    </w:lvl>
    <w:lvl w:ilvl="7" w:tplc="7AF6B7AE">
      <w:start w:val="1"/>
      <w:numFmt w:val="lowerLetter"/>
      <w:lvlText w:val="%8."/>
      <w:lvlJc w:val="left"/>
      <w:pPr>
        <w:ind w:left="5820" w:hanging="360"/>
      </w:pPr>
    </w:lvl>
    <w:lvl w:ilvl="8" w:tplc="1E9CC454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76443CD"/>
    <w:multiLevelType w:val="hybridMultilevel"/>
    <w:tmpl w:val="AA2CFBE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F058F1"/>
    <w:multiLevelType w:val="hybridMultilevel"/>
    <w:tmpl w:val="A086A298"/>
    <w:lvl w:ilvl="0" w:tplc="4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A702ACE"/>
    <w:multiLevelType w:val="hybridMultilevel"/>
    <w:tmpl w:val="D54096F6"/>
    <w:lvl w:ilvl="0" w:tplc="294A4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1863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72BC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E07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284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32C3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D4AE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A013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0AA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77CDE"/>
    <w:multiLevelType w:val="hybridMultilevel"/>
    <w:tmpl w:val="18A00F3E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F15891"/>
    <w:multiLevelType w:val="hybridMultilevel"/>
    <w:tmpl w:val="15EE8DC6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2A5DCC"/>
    <w:multiLevelType w:val="hybridMultilevel"/>
    <w:tmpl w:val="4F246DC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3F00385"/>
    <w:multiLevelType w:val="hybridMultilevel"/>
    <w:tmpl w:val="7B387D4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4DB567E"/>
    <w:multiLevelType w:val="hybridMultilevel"/>
    <w:tmpl w:val="5602FCB8"/>
    <w:lvl w:ilvl="0" w:tplc="76F05C8A">
      <w:start w:val="1"/>
      <w:numFmt w:val="lowerRoman"/>
      <w:lvlText w:val="%1."/>
      <w:lvlJc w:val="right"/>
      <w:pPr>
        <w:ind w:left="720" w:hanging="360"/>
      </w:pPr>
    </w:lvl>
    <w:lvl w:ilvl="1" w:tplc="8D289ECE">
      <w:start w:val="1"/>
      <w:numFmt w:val="lowerLetter"/>
      <w:lvlText w:val="%2."/>
      <w:lvlJc w:val="left"/>
      <w:pPr>
        <w:ind w:left="1440" w:hanging="360"/>
      </w:pPr>
    </w:lvl>
    <w:lvl w:ilvl="2" w:tplc="F364C544">
      <w:start w:val="1"/>
      <w:numFmt w:val="lowerRoman"/>
      <w:lvlText w:val="%3."/>
      <w:lvlJc w:val="right"/>
      <w:pPr>
        <w:ind w:left="2160" w:hanging="180"/>
      </w:pPr>
    </w:lvl>
    <w:lvl w:ilvl="3" w:tplc="7550F1C6">
      <w:start w:val="1"/>
      <w:numFmt w:val="decimal"/>
      <w:lvlText w:val="%4."/>
      <w:lvlJc w:val="left"/>
      <w:pPr>
        <w:ind w:left="2880" w:hanging="360"/>
      </w:pPr>
    </w:lvl>
    <w:lvl w:ilvl="4" w:tplc="FDE02956">
      <w:start w:val="1"/>
      <w:numFmt w:val="lowerLetter"/>
      <w:lvlText w:val="%5."/>
      <w:lvlJc w:val="left"/>
      <w:pPr>
        <w:ind w:left="3600" w:hanging="360"/>
      </w:pPr>
    </w:lvl>
    <w:lvl w:ilvl="5" w:tplc="150CECB4">
      <w:start w:val="1"/>
      <w:numFmt w:val="lowerRoman"/>
      <w:lvlText w:val="%6."/>
      <w:lvlJc w:val="right"/>
      <w:pPr>
        <w:ind w:left="4320" w:hanging="180"/>
      </w:pPr>
    </w:lvl>
    <w:lvl w:ilvl="6" w:tplc="6FA8E0FC">
      <w:start w:val="1"/>
      <w:numFmt w:val="decimal"/>
      <w:lvlText w:val="%7."/>
      <w:lvlJc w:val="left"/>
      <w:pPr>
        <w:ind w:left="5040" w:hanging="360"/>
      </w:pPr>
    </w:lvl>
    <w:lvl w:ilvl="7" w:tplc="B87E47B6">
      <w:start w:val="1"/>
      <w:numFmt w:val="lowerLetter"/>
      <w:lvlText w:val="%8."/>
      <w:lvlJc w:val="left"/>
      <w:pPr>
        <w:ind w:left="5760" w:hanging="360"/>
      </w:pPr>
    </w:lvl>
    <w:lvl w:ilvl="8" w:tplc="681C7D92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597FF4"/>
    <w:multiLevelType w:val="hybridMultilevel"/>
    <w:tmpl w:val="02FE4B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F73E39"/>
    <w:multiLevelType w:val="hybridMultilevel"/>
    <w:tmpl w:val="8A38F9C6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7321ABA"/>
    <w:multiLevelType w:val="hybridMultilevel"/>
    <w:tmpl w:val="5CB62C22"/>
    <w:lvl w:ilvl="0" w:tplc="76F05C8A">
      <w:start w:val="1"/>
      <w:numFmt w:val="lowerRoman"/>
      <w:lvlText w:val="%1."/>
      <w:lvlJc w:val="right"/>
      <w:pPr>
        <w:ind w:left="787" w:hanging="360"/>
      </w:pPr>
    </w:lvl>
    <w:lvl w:ilvl="1" w:tplc="CE123F50">
      <w:start w:val="1"/>
      <w:numFmt w:val="lowerLetter"/>
      <w:lvlText w:val="%2."/>
      <w:lvlJc w:val="left"/>
      <w:pPr>
        <w:ind w:left="1507" w:hanging="360"/>
      </w:pPr>
    </w:lvl>
    <w:lvl w:ilvl="2" w:tplc="5AF24C72">
      <w:start w:val="1"/>
      <w:numFmt w:val="lowerRoman"/>
      <w:lvlText w:val="%3."/>
      <w:lvlJc w:val="right"/>
      <w:pPr>
        <w:ind w:left="2227" w:hanging="180"/>
      </w:pPr>
    </w:lvl>
    <w:lvl w:ilvl="3" w:tplc="020608EA">
      <w:start w:val="1"/>
      <w:numFmt w:val="decimal"/>
      <w:lvlText w:val="%4."/>
      <w:lvlJc w:val="left"/>
      <w:pPr>
        <w:ind w:left="2947" w:hanging="360"/>
      </w:pPr>
    </w:lvl>
    <w:lvl w:ilvl="4" w:tplc="32B2281E">
      <w:start w:val="1"/>
      <w:numFmt w:val="lowerLetter"/>
      <w:lvlText w:val="%5."/>
      <w:lvlJc w:val="left"/>
      <w:pPr>
        <w:ind w:left="3667" w:hanging="360"/>
      </w:pPr>
    </w:lvl>
    <w:lvl w:ilvl="5" w:tplc="5E6A9BBE">
      <w:start w:val="1"/>
      <w:numFmt w:val="lowerRoman"/>
      <w:lvlText w:val="%6."/>
      <w:lvlJc w:val="right"/>
      <w:pPr>
        <w:ind w:left="4387" w:hanging="180"/>
      </w:pPr>
    </w:lvl>
    <w:lvl w:ilvl="6" w:tplc="411E9186">
      <w:start w:val="1"/>
      <w:numFmt w:val="decimal"/>
      <w:lvlText w:val="%7."/>
      <w:lvlJc w:val="left"/>
      <w:pPr>
        <w:ind w:left="5107" w:hanging="360"/>
      </w:pPr>
    </w:lvl>
    <w:lvl w:ilvl="7" w:tplc="67E8B3D4">
      <w:start w:val="1"/>
      <w:numFmt w:val="lowerLetter"/>
      <w:lvlText w:val="%8."/>
      <w:lvlJc w:val="left"/>
      <w:pPr>
        <w:ind w:left="5827" w:hanging="360"/>
      </w:pPr>
    </w:lvl>
    <w:lvl w:ilvl="8" w:tplc="4DF06E44">
      <w:start w:val="1"/>
      <w:numFmt w:val="lowerRoman"/>
      <w:lvlText w:val="%9."/>
      <w:lvlJc w:val="right"/>
      <w:pPr>
        <w:ind w:left="6547" w:hanging="180"/>
      </w:pPr>
    </w:lvl>
  </w:abstractNum>
  <w:abstractNum w:abstractNumId="17">
    <w:nsid w:val="4E3C11E0"/>
    <w:multiLevelType w:val="hybridMultilevel"/>
    <w:tmpl w:val="D8DE66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0E4363"/>
    <w:multiLevelType w:val="hybridMultilevel"/>
    <w:tmpl w:val="FA3A1D6C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104AA5"/>
    <w:multiLevelType w:val="hybridMultilevel"/>
    <w:tmpl w:val="BD3C61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0D5F09"/>
    <w:multiLevelType w:val="hybridMultilevel"/>
    <w:tmpl w:val="8D0ED9EA"/>
    <w:lvl w:ilvl="0" w:tplc="48706E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623147"/>
    <w:multiLevelType w:val="hybridMultilevel"/>
    <w:tmpl w:val="6F628AEE"/>
    <w:lvl w:ilvl="0" w:tplc="4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4616F3B"/>
    <w:multiLevelType w:val="hybridMultilevel"/>
    <w:tmpl w:val="4AC6F66A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7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20"/>
  </w:num>
  <w:num w:numId="12">
    <w:abstractNumId w:val="3"/>
  </w:num>
  <w:num w:numId="13">
    <w:abstractNumId w:val="10"/>
  </w:num>
  <w:num w:numId="14">
    <w:abstractNumId w:val="7"/>
  </w:num>
  <w:num w:numId="15">
    <w:abstractNumId w:val="9"/>
  </w:num>
  <w:num w:numId="16">
    <w:abstractNumId w:val="15"/>
  </w:num>
  <w:num w:numId="17">
    <w:abstractNumId w:val="6"/>
  </w:num>
  <w:num w:numId="18">
    <w:abstractNumId w:val="5"/>
  </w:num>
  <w:num w:numId="19">
    <w:abstractNumId w:val="22"/>
  </w:num>
  <w:num w:numId="20">
    <w:abstractNumId w:val="12"/>
  </w:num>
  <w:num w:numId="21">
    <w:abstractNumId w:val="18"/>
  </w:num>
  <w:num w:numId="22">
    <w:abstractNumId w:val="0"/>
  </w:num>
  <w:num w:numId="23">
    <w:abstractNumId w:val="2"/>
  </w:num>
  <w:num w:numId="24">
    <w:abstractNumId w:val="1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G3NDMwtrQwMDUEspV0lIJTi4sz8/NACgxNagE3UqEnLQAAAA=="/>
  </w:docVars>
  <w:rsids>
    <w:rsidRoot w:val="00403BBD"/>
    <w:rsid w:val="000147C2"/>
    <w:rsid w:val="00014A40"/>
    <w:rsid w:val="00014F30"/>
    <w:rsid w:val="0003641D"/>
    <w:rsid w:val="000428BC"/>
    <w:rsid w:val="00060CE2"/>
    <w:rsid w:val="00066721"/>
    <w:rsid w:val="00075DDF"/>
    <w:rsid w:val="0009694D"/>
    <w:rsid w:val="000B73D7"/>
    <w:rsid w:val="000D624A"/>
    <w:rsid w:val="00120794"/>
    <w:rsid w:val="00194166"/>
    <w:rsid w:val="001D1FC5"/>
    <w:rsid w:val="002269C6"/>
    <w:rsid w:val="002601BF"/>
    <w:rsid w:val="00260973"/>
    <w:rsid w:val="002B0966"/>
    <w:rsid w:val="002D66C6"/>
    <w:rsid w:val="002F4D11"/>
    <w:rsid w:val="003015AE"/>
    <w:rsid w:val="00301CFF"/>
    <w:rsid w:val="003416EA"/>
    <w:rsid w:val="00343FD2"/>
    <w:rsid w:val="003612EF"/>
    <w:rsid w:val="003A2415"/>
    <w:rsid w:val="003E3320"/>
    <w:rsid w:val="00403BBD"/>
    <w:rsid w:val="0043707A"/>
    <w:rsid w:val="004911F9"/>
    <w:rsid w:val="004B4ED0"/>
    <w:rsid w:val="0052057E"/>
    <w:rsid w:val="00537E18"/>
    <w:rsid w:val="005C6EB1"/>
    <w:rsid w:val="005E35C7"/>
    <w:rsid w:val="005E37ED"/>
    <w:rsid w:val="005E7744"/>
    <w:rsid w:val="00602590"/>
    <w:rsid w:val="0060641D"/>
    <w:rsid w:val="00635783"/>
    <w:rsid w:val="006372DB"/>
    <w:rsid w:val="006417FE"/>
    <w:rsid w:val="00665DD2"/>
    <w:rsid w:val="006B64C6"/>
    <w:rsid w:val="006E4C03"/>
    <w:rsid w:val="00711ED2"/>
    <w:rsid w:val="0071394E"/>
    <w:rsid w:val="00762B22"/>
    <w:rsid w:val="007674EC"/>
    <w:rsid w:val="007A33A9"/>
    <w:rsid w:val="007C297C"/>
    <w:rsid w:val="007D4D31"/>
    <w:rsid w:val="0083785E"/>
    <w:rsid w:val="008422F4"/>
    <w:rsid w:val="0087387D"/>
    <w:rsid w:val="00886381"/>
    <w:rsid w:val="00896969"/>
    <w:rsid w:val="008A21E9"/>
    <w:rsid w:val="008E6FDB"/>
    <w:rsid w:val="00933501"/>
    <w:rsid w:val="00934B4C"/>
    <w:rsid w:val="009364DB"/>
    <w:rsid w:val="009651BA"/>
    <w:rsid w:val="009A39C4"/>
    <w:rsid w:val="009B5E5A"/>
    <w:rsid w:val="00A23AD2"/>
    <w:rsid w:val="00A738DC"/>
    <w:rsid w:val="00AA5980"/>
    <w:rsid w:val="00AA679B"/>
    <w:rsid w:val="00AD79E5"/>
    <w:rsid w:val="00AE205B"/>
    <w:rsid w:val="00B165AA"/>
    <w:rsid w:val="00B44E7F"/>
    <w:rsid w:val="00B95F23"/>
    <w:rsid w:val="00BD358E"/>
    <w:rsid w:val="00C0011A"/>
    <w:rsid w:val="00C352B4"/>
    <w:rsid w:val="00C51B58"/>
    <w:rsid w:val="00CB0835"/>
    <w:rsid w:val="00CE1D94"/>
    <w:rsid w:val="00D31863"/>
    <w:rsid w:val="00D53FE7"/>
    <w:rsid w:val="00D5793F"/>
    <w:rsid w:val="00D74051"/>
    <w:rsid w:val="00D75298"/>
    <w:rsid w:val="00D75431"/>
    <w:rsid w:val="00DF32F4"/>
    <w:rsid w:val="00E17BE0"/>
    <w:rsid w:val="00E20D3D"/>
    <w:rsid w:val="00E87C00"/>
    <w:rsid w:val="00EA2FA0"/>
    <w:rsid w:val="00EB5199"/>
    <w:rsid w:val="00ED23A8"/>
    <w:rsid w:val="00ED253C"/>
    <w:rsid w:val="00F11B16"/>
    <w:rsid w:val="00F23044"/>
    <w:rsid w:val="00F34F52"/>
    <w:rsid w:val="00F37898"/>
    <w:rsid w:val="00F8273D"/>
    <w:rsid w:val="00F938FD"/>
    <w:rsid w:val="00FB6831"/>
    <w:rsid w:val="00FB71D8"/>
    <w:rsid w:val="00FE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BD"/>
    <w:rPr>
      <w:rFonts w:ascii="Calibri" w:eastAsia="SimSun" w:hAnsi="Calibri" w:cs="Times New Roman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9B5E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BBD"/>
    <w:rPr>
      <w:rFonts w:ascii="Tahoma" w:eastAsia="SimSu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11F9"/>
    <w:rPr>
      <w:color w:val="0000FF"/>
      <w:u w:val="single"/>
    </w:rPr>
  </w:style>
  <w:style w:type="table" w:styleId="TableGrid">
    <w:name w:val="Table Grid"/>
    <w:basedOn w:val="TableNormal"/>
    <w:uiPriority w:val="39"/>
    <w:rsid w:val="000B7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74E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674EC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74E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74E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674E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674EC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74E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674EC"/>
    <w:rPr>
      <w:rFonts w:eastAsiaTheme="minorHAnsi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674EC"/>
    <w:rPr>
      <w:color w:val="800080"/>
      <w:u w:val="single"/>
    </w:rPr>
  </w:style>
  <w:style w:type="paragraph" w:customStyle="1" w:styleId="xl63">
    <w:name w:val="xl63"/>
    <w:basedOn w:val="Normal"/>
    <w:rsid w:val="007674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4">
    <w:name w:val="xl64"/>
    <w:basedOn w:val="Normal"/>
    <w:rsid w:val="007674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7674E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6">
    <w:name w:val="xl66"/>
    <w:basedOn w:val="Normal"/>
    <w:rsid w:val="007674E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7">
    <w:name w:val="xl67"/>
    <w:basedOn w:val="Normal"/>
    <w:rsid w:val="007674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rsid w:val="00A738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Normal"/>
    <w:rsid w:val="00A738D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0">
    <w:name w:val="xl70"/>
    <w:basedOn w:val="Normal"/>
    <w:rsid w:val="00A738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fontstyle01">
    <w:name w:val="fontstyle01"/>
    <w:basedOn w:val="DefaultParagraphFont"/>
    <w:rsid w:val="00762B22"/>
    <w:rPr>
      <w:rFonts w:ascii="AdvOT863180fb" w:hAnsi="AdvOT863180fb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E5A"/>
    <w:rPr>
      <w:rFonts w:ascii="Times New Roman" w:eastAsia="Times New Roman" w:hAnsi="Times New Roman" w:cs="Times New Roman"/>
      <w:b/>
      <w:bCs/>
      <w:sz w:val="36"/>
      <w:szCs w:val="36"/>
      <w:lang w:val="en-GB"/>
    </w:rPr>
  </w:style>
  <w:style w:type="paragraph" w:styleId="CommentText">
    <w:name w:val="annotation text"/>
    <w:basedOn w:val="Normal"/>
    <w:link w:val="CommentTextChar"/>
    <w:unhideWhenUsed/>
    <w:rsid w:val="009B5E5A"/>
    <w:pPr>
      <w:spacing w:after="160" w:line="256" w:lineRule="auto"/>
    </w:pPr>
    <w:rPr>
      <w:rFonts w:asciiTheme="minorHAnsi" w:eastAsiaTheme="minorEastAsia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9B5E5A"/>
    <w:rPr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B5E5A"/>
    <w:pPr>
      <w:spacing w:after="160" w:line="256" w:lineRule="auto"/>
    </w:pPr>
    <w:rPr>
      <w:rFonts w:asciiTheme="minorHAnsi" w:eastAsiaTheme="minorEastAsia" w:hAnsiTheme="minorHAnsi" w:cstheme="minorBidi"/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9B5E5A"/>
    <w:rPr>
      <w:lang w:val="en-GB"/>
    </w:rPr>
  </w:style>
  <w:style w:type="paragraph" w:customStyle="1" w:styleId="preflight-heading">
    <w:name w:val="preflight-heading"/>
    <w:rsid w:val="009B5E5A"/>
    <w:pPr>
      <w:spacing w:before="60" w:after="60" w:line="256" w:lineRule="auto"/>
    </w:pPr>
    <w:rPr>
      <w:b/>
      <w:color w:val="000000"/>
      <w:sz w:val="20"/>
    </w:rPr>
  </w:style>
  <w:style w:type="paragraph" w:customStyle="1" w:styleId="preflight-description">
    <w:name w:val="preflight-description"/>
    <w:rsid w:val="009B5E5A"/>
    <w:pPr>
      <w:spacing w:before="60" w:after="60" w:line="256" w:lineRule="auto"/>
    </w:pPr>
    <w:rPr>
      <w:color w:val="000000"/>
      <w:sz w:val="20"/>
    </w:rPr>
  </w:style>
  <w:style w:type="paragraph" w:customStyle="1" w:styleId="preflight-link">
    <w:name w:val="preflight-link"/>
    <w:rsid w:val="009B5E5A"/>
    <w:pPr>
      <w:spacing w:before="60" w:after="60" w:line="256" w:lineRule="auto"/>
    </w:pPr>
    <w:rPr>
      <w:color w:val="0000FF"/>
      <w:sz w:val="20"/>
      <w:u w:val="single"/>
    </w:rPr>
  </w:style>
  <w:style w:type="paragraph" w:customStyle="1" w:styleId="preflight-example">
    <w:name w:val="preflight-example"/>
    <w:rsid w:val="009B5E5A"/>
    <w:pPr>
      <w:spacing w:before="180" w:after="60" w:line="256" w:lineRule="auto"/>
    </w:pPr>
    <w:rPr>
      <w:i/>
      <w:color w:val="000000"/>
      <w:sz w:val="20"/>
    </w:rPr>
  </w:style>
  <w:style w:type="character" w:styleId="CommentReference">
    <w:name w:val="annotation reference"/>
    <w:basedOn w:val="DefaultParagraphFont"/>
    <w:semiHidden/>
    <w:unhideWhenUsed/>
    <w:rsid w:val="009B5E5A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B5E5A"/>
    <w:rPr>
      <w:color w:val="808080"/>
    </w:rPr>
  </w:style>
  <w:style w:type="paragraph" w:customStyle="1" w:styleId="font5">
    <w:name w:val="font5"/>
    <w:basedOn w:val="Normal"/>
    <w:rsid w:val="009B5E5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E5A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E5A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9B5E5A"/>
    <w:pPr>
      <w:spacing w:after="0" w:line="240" w:lineRule="auto"/>
    </w:pPr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C352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BD"/>
    <w:rPr>
      <w:rFonts w:ascii="Calibri" w:eastAsia="SimSun" w:hAnsi="Calibri" w:cs="Times New Roman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9B5E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BBD"/>
    <w:rPr>
      <w:rFonts w:ascii="Tahoma" w:eastAsia="SimSu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11F9"/>
    <w:rPr>
      <w:color w:val="0000FF"/>
      <w:u w:val="single"/>
    </w:rPr>
  </w:style>
  <w:style w:type="table" w:styleId="TableGrid">
    <w:name w:val="Table Grid"/>
    <w:basedOn w:val="TableNormal"/>
    <w:uiPriority w:val="39"/>
    <w:rsid w:val="000B7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74E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674EC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74E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74E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674E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674EC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74E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674EC"/>
    <w:rPr>
      <w:rFonts w:eastAsiaTheme="minorHAnsi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674EC"/>
    <w:rPr>
      <w:color w:val="800080"/>
      <w:u w:val="single"/>
    </w:rPr>
  </w:style>
  <w:style w:type="paragraph" w:customStyle="1" w:styleId="xl63">
    <w:name w:val="xl63"/>
    <w:basedOn w:val="Normal"/>
    <w:rsid w:val="007674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4">
    <w:name w:val="xl64"/>
    <w:basedOn w:val="Normal"/>
    <w:rsid w:val="007674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7674E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6">
    <w:name w:val="xl66"/>
    <w:basedOn w:val="Normal"/>
    <w:rsid w:val="007674E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7">
    <w:name w:val="xl67"/>
    <w:basedOn w:val="Normal"/>
    <w:rsid w:val="007674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rsid w:val="00A738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Normal"/>
    <w:rsid w:val="00A738D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0">
    <w:name w:val="xl70"/>
    <w:basedOn w:val="Normal"/>
    <w:rsid w:val="00A738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fontstyle01">
    <w:name w:val="fontstyle01"/>
    <w:basedOn w:val="DefaultParagraphFont"/>
    <w:rsid w:val="00762B22"/>
    <w:rPr>
      <w:rFonts w:ascii="AdvOT863180fb" w:hAnsi="AdvOT863180fb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E5A"/>
    <w:rPr>
      <w:rFonts w:ascii="Times New Roman" w:eastAsia="Times New Roman" w:hAnsi="Times New Roman" w:cs="Times New Roman"/>
      <w:b/>
      <w:bCs/>
      <w:sz w:val="36"/>
      <w:szCs w:val="36"/>
      <w:lang w:val="en-GB"/>
    </w:rPr>
  </w:style>
  <w:style w:type="paragraph" w:styleId="CommentText">
    <w:name w:val="annotation text"/>
    <w:basedOn w:val="Normal"/>
    <w:link w:val="CommentTextChar"/>
    <w:unhideWhenUsed/>
    <w:rsid w:val="009B5E5A"/>
    <w:pPr>
      <w:spacing w:after="160" w:line="256" w:lineRule="auto"/>
    </w:pPr>
    <w:rPr>
      <w:rFonts w:asciiTheme="minorHAnsi" w:eastAsiaTheme="minorEastAsia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9B5E5A"/>
    <w:rPr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B5E5A"/>
    <w:pPr>
      <w:spacing w:after="160" w:line="256" w:lineRule="auto"/>
    </w:pPr>
    <w:rPr>
      <w:rFonts w:asciiTheme="minorHAnsi" w:eastAsiaTheme="minorEastAsia" w:hAnsiTheme="minorHAnsi" w:cstheme="minorBidi"/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9B5E5A"/>
    <w:rPr>
      <w:lang w:val="en-GB"/>
    </w:rPr>
  </w:style>
  <w:style w:type="paragraph" w:customStyle="1" w:styleId="preflight-heading">
    <w:name w:val="preflight-heading"/>
    <w:rsid w:val="009B5E5A"/>
    <w:pPr>
      <w:spacing w:before="60" w:after="60" w:line="256" w:lineRule="auto"/>
    </w:pPr>
    <w:rPr>
      <w:b/>
      <w:color w:val="000000"/>
      <w:sz w:val="20"/>
    </w:rPr>
  </w:style>
  <w:style w:type="paragraph" w:customStyle="1" w:styleId="preflight-description">
    <w:name w:val="preflight-description"/>
    <w:rsid w:val="009B5E5A"/>
    <w:pPr>
      <w:spacing w:before="60" w:after="60" w:line="256" w:lineRule="auto"/>
    </w:pPr>
    <w:rPr>
      <w:color w:val="000000"/>
      <w:sz w:val="20"/>
    </w:rPr>
  </w:style>
  <w:style w:type="paragraph" w:customStyle="1" w:styleId="preflight-link">
    <w:name w:val="preflight-link"/>
    <w:rsid w:val="009B5E5A"/>
    <w:pPr>
      <w:spacing w:before="60" w:after="60" w:line="256" w:lineRule="auto"/>
    </w:pPr>
    <w:rPr>
      <w:color w:val="0000FF"/>
      <w:sz w:val="20"/>
      <w:u w:val="single"/>
    </w:rPr>
  </w:style>
  <w:style w:type="paragraph" w:customStyle="1" w:styleId="preflight-example">
    <w:name w:val="preflight-example"/>
    <w:rsid w:val="009B5E5A"/>
    <w:pPr>
      <w:spacing w:before="180" w:after="60" w:line="256" w:lineRule="auto"/>
    </w:pPr>
    <w:rPr>
      <w:i/>
      <w:color w:val="000000"/>
      <w:sz w:val="20"/>
    </w:rPr>
  </w:style>
  <w:style w:type="character" w:styleId="CommentReference">
    <w:name w:val="annotation reference"/>
    <w:basedOn w:val="DefaultParagraphFont"/>
    <w:semiHidden/>
    <w:unhideWhenUsed/>
    <w:rsid w:val="009B5E5A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B5E5A"/>
    <w:rPr>
      <w:color w:val="808080"/>
    </w:rPr>
  </w:style>
  <w:style w:type="paragraph" w:customStyle="1" w:styleId="font5">
    <w:name w:val="font5"/>
    <w:basedOn w:val="Normal"/>
    <w:rsid w:val="009B5E5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E5A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E5A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9B5E5A"/>
    <w:pPr>
      <w:spacing w:after="0" w:line="240" w:lineRule="auto"/>
    </w:pPr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C35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1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4260E-F5DA-43B1-BEF7-949828B7A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10</Pages>
  <Words>3214</Words>
  <Characters>18321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My pc</cp:lastModifiedBy>
  <cp:revision>82</cp:revision>
  <dcterms:created xsi:type="dcterms:W3CDTF">2021-07-25T15:13:00Z</dcterms:created>
  <dcterms:modified xsi:type="dcterms:W3CDTF">2022-10-05T16:07:00Z</dcterms:modified>
</cp:coreProperties>
</file>