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F3FF8" w14:textId="14E69EDA" w:rsidR="00DA31B0" w:rsidRPr="00CC5B30" w:rsidRDefault="00DA31B0" w:rsidP="00DA31B0">
      <w:pPr>
        <w:jc w:val="center"/>
        <w:rPr>
          <w:rFonts w:ascii="Arial" w:hAnsi="Arial" w:cs="Arial"/>
          <w:b/>
          <w:bCs/>
        </w:rPr>
      </w:pPr>
      <w:r w:rsidRPr="00CC5B30">
        <w:rPr>
          <w:rFonts w:ascii="Arial" w:hAnsi="Arial" w:cs="Arial"/>
          <w:b/>
          <w:bCs/>
        </w:rPr>
        <w:t>Supplementary Materials</w:t>
      </w:r>
      <w:r>
        <w:rPr>
          <w:rFonts w:ascii="Arial" w:hAnsi="Arial" w:cs="Arial"/>
          <w:b/>
          <w:bCs/>
        </w:rPr>
        <w:t xml:space="preserve"> part </w:t>
      </w:r>
      <w:r>
        <w:rPr>
          <w:rFonts w:ascii="Arial" w:hAnsi="Arial" w:cs="Arial"/>
          <w:b/>
          <w:bCs/>
        </w:rPr>
        <w:t>1</w:t>
      </w:r>
    </w:p>
    <w:p w14:paraId="3B2859C4" w14:textId="77777777" w:rsidR="00492DD0" w:rsidRPr="00CC5B30" w:rsidRDefault="00492DD0" w:rsidP="00492DD0">
      <w:pPr>
        <w:rPr>
          <w:rFonts w:ascii="Arial" w:hAnsi="Arial" w:cs="Arial"/>
          <w:b/>
          <w:bCs/>
        </w:rPr>
      </w:pPr>
    </w:p>
    <w:p w14:paraId="16089098" w14:textId="77777777" w:rsidR="00492DD0" w:rsidRPr="00CC5B30" w:rsidRDefault="00492DD0" w:rsidP="00492DD0">
      <w:pPr>
        <w:rPr>
          <w:rFonts w:ascii="Arial" w:hAnsi="Arial" w:cs="Arial"/>
          <w:b/>
          <w:bCs/>
        </w:rPr>
      </w:pPr>
    </w:p>
    <w:p w14:paraId="572D070A" w14:textId="21E804F1" w:rsidR="005279D6" w:rsidRDefault="005279D6"/>
    <w:p w14:paraId="2356138B" w14:textId="77777777" w:rsidR="005279D6" w:rsidRPr="00F15961" w:rsidRDefault="005279D6" w:rsidP="005279D6">
      <w:pPr>
        <w:spacing w:line="480" w:lineRule="auto"/>
        <w:jc w:val="center"/>
        <w:rPr>
          <w:rFonts w:eastAsia="SimSun"/>
        </w:rPr>
      </w:pPr>
      <w:r w:rsidRPr="00F15961">
        <w:rPr>
          <w:highlight w:val="white"/>
        </w:rPr>
        <w:t xml:space="preserve">Table </w:t>
      </w:r>
      <w:r>
        <w:rPr>
          <w:highlight w:val="white"/>
        </w:rPr>
        <w:t>S</w:t>
      </w:r>
      <w:r w:rsidRPr="00F15961">
        <w:rPr>
          <w:highlight w:val="white"/>
        </w:rPr>
        <w:t>1. Brain datasets used in the study</w:t>
      </w:r>
    </w:p>
    <w:p w14:paraId="05A93602" w14:textId="575D4397" w:rsidR="000714A5" w:rsidRDefault="003351CC" w:rsidP="005279D6">
      <w:pPr>
        <w:spacing w:line="480" w:lineRule="auto"/>
        <w:jc w:val="both"/>
        <w:rPr>
          <w:highlight w:val="white"/>
        </w:rPr>
      </w:pPr>
      <w:r>
        <w:rPr>
          <w:noProof/>
        </w:rPr>
        <w:drawing>
          <wp:inline distT="0" distB="0" distL="0" distR="0" wp14:anchorId="2FF6E793" wp14:editId="40E44030">
            <wp:extent cx="5943505" cy="3084615"/>
            <wp:effectExtent l="0" t="0" r="635" b="190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rotWithShape="1">
                    <a:blip r:embed="rId6" cstate="print">
                      <a:extLst>
                        <a:ext uri="{28A0092B-C50C-407E-A947-70E740481C1C}">
                          <a14:useLocalDpi xmlns:a14="http://schemas.microsoft.com/office/drawing/2010/main" val="0"/>
                        </a:ext>
                      </a:extLst>
                    </a:blip>
                    <a:srcRect t="13015" b="12685"/>
                    <a:stretch/>
                  </pic:blipFill>
                  <pic:spPr bwMode="auto">
                    <a:xfrm>
                      <a:off x="0" y="0"/>
                      <a:ext cx="5943600" cy="3084665"/>
                    </a:xfrm>
                    <a:prstGeom prst="rect">
                      <a:avLst/>
                    </a:prstGeom>
                    <a:ln>
                      <a:noFill/>
                    </a:ln>
                    <a:extLst>
                      <a:ext uri="{53640926-AAD7-44D8-BBD7-CCE9431645EC}">
                        <a14:shadowObscured xmlns:a14="http://schemas.microsoft.com/office/drawing/2010/main"/>
                      </a:ext>
                    </a:extLst>
                  </pic:spPr>
                </pic:pic>
              </a:graphicData>
            </a:graphic>
          </wp:inline>
        </w:drawing>
      </w:r>
    </w:p>
    <w:p w14:paraId="277911F3" w14:textId="77777777" w:rsidR="003351CC" w:rsidRDefault="003351CC" w:rsidP="00F66B71"/>
    <w:p w14:paraId="0A07F40F" w14:textId="482FA882" w:rsidR="00F66B71" w:rsidRDefault="00F66B71" w:rsidP="00F66B71">
      <w:pPr>
        <w:rPr>
          <w:rFonts w:eastAsia="SimSun"/>
        </w:rPr>
      </w:pPr>
      <w:r>
        <w:rPr>
          <w:rFonts w:eastAsia="SimSun"/>
        </w:rPr>
        <w:t>F</w:t>
      </w:r>
      <w:r w:rsidRPr="00E2181D">
        <w:rPr>
          <w:rFonts w:eastAsia="SimSun"/>
        </w:rPr>
        <w:t>or the ROSMAP study, we had individuals with</w:t>
      </w:r>
      <w:r>
        <w:rPr>
          <w:rFonts w:eastAsia="SimSun"/>
        </w:rPr>
        <w:t xml:space="preserve"> a f</w:t>
      </w:r>
      <w:r w:rsidRPr="005A331A">
        <w:rPr>
          <w:rFonts w:eastAsia="SimSun"/>
        </w:rPr>
        <w:t>inal consensus cognitive diagnosis</w:t>
      </w:r>
      <w:r>
        <w:rPr>
          <w:rFonts w:eastAsia="SimSun"/>
        </w:rPr>
        <w:fldChar w:fldCharType="begin"/>
      </w:r>
      <w:r>
        <w:rPr>
          <w:rFonts w:eastAsia="SimSun"/>
        </w:rPr>
        <w:instrText xml:space="preserve"> ADDIN EN.CITE &lt;EndNote&gt;&lt;Cite&gt;&lt;Author&gt;Schneider&lt;/Author&gt;&lt;Year&gt;2007&lt;/Year&gt;&lt;RecNum&gt;155&lt;/RecNum&gt;&lt;DisplayText&gt;(Schneider, Arvanitakis et al. 2007)&lt;/DisplayText&gt;&lt;record&gt;&lt;rec-number&gt;155&lt;/rec-number&gt;&lt;foreign-keys&gt;&lt;key app="EN" db-id="22dxxfvdf2aesceet5txfz2yfs9zfww5p9v5" timestamp="1613771578"&gt;155&lt;/key&gt;&lt;/foreign-keys&gt;&lt;ref-type name="Journal Article"&gt;17&lt;/ref-type&gt;&lt;contributors&gt;&lt;authors&gt;&lt;author&gt;Schneider, Julie A.&lt;/author&gt;&lt;author&gt;Arvanitakis, Zoe&lt;/author&gt;&lt;author&gt;Bang, Woojeong&lt;/author&gt;&lt;author&gt;Bennett, David A.&lt;/author&gt;&lt;/authors&gt;&lt;/contributors&gt;&lt;titles&gt;&lt;title&gt;Mixed brain pathologies account for most dementia cases in community-dwelling older persons&lt;/title&gt;&lt;secondary-title&gt;Neurology&lt;/secondary-title&gt;&lt;/titles&gt;&lt;periodical&gt;&lt;full-title&gt;Neurology&lt;/full-title&gt;&lt;/periodical&gt;&lt;pages&gt;2197-2204&lt;/pages&gt;&lt;volume&gt;69&lt;/volume&gt;&lt;number&gt;24&lt;/number&gt;&lt;dates&gt;&lt;year&gt;2007&lt;/year&gt;&lt;/dates&gt;&lt;urls&gt;&lt;related-urls&gt;&lt;url&gt;https://n.neurology.org/content/neurology/69/24/2197.full.pdf&lt;/url&gt;&lt;/related-urls&gt;&lt;/urls&gt;&lt;electronic-resource-num&gt;10.1212/01.wnl.0000271090.28148.24&lt;/electronic-resource-num&gt;&lt;/record&gt;&lt;/Cite&gt;&lt;/EndNote&gt;</w:instrText>
      </w:r>
      <w:r>
        <w:rPr>
          <w:rFonts w:eastAsia="SimSun"/>
        </w:rPr>
        <w:fldChar w:fldCharType="separate"/>
      </w:r>
      <w:r>
        <w:rPr>
          <w:rFonts w:eastAsia="SimSun"/>
          <w:noProof/>
        </w:rPr>
        <w:t>(Schneider, Arvanitakis et al. 2007)</w:t>
      </w:r>
      <w:r>
        <w:rPr>
          <w:rFonts w:eastAsia="SimSun"/>
        </w:rPr>
        <w:fldChar w:fldCharType="end"/>
      </w:r>
      <w:r>
        <w:rPr>
          <w:rFonts w:eastAsia="SimSun"/>
        </w:rPr>
        <w:t xml:space="preserve"> </w:t>
      </w:r>
      <w:r w:rsidRPr="00E2181D">
        <w:rPr>
          <w:rFonts w:eastAsia="SimSun"/>
        </w:rPr>
        <w:t xml:space="preserve">of ‘no cognitive impairment’ as </w:t>
      </w:r>
      <w:r>
        <w:rPr>
          <w:rFonts w:eastAsia="SimSun"/>
        </w:rPr>
        <w:t>cognitive normal groups, and individuals with a f</w:t>
      </w:r>
      <w:r w:rsidRPr="005A331A">
        <w:rPr>
          <w:rFonts w:eastAsia="SimSun"/>
        </w:rPr>
        <w:t>inal consensus cognitive diagnosis</w:t>
      </w:r>
      <w:r>
        <w:rPr>
          <w:rFonts w:eastAsia="SimSun"/>
        </w:rPr>
        <w:t xml:space="preserve"> </w:t>
      </w:r>
      <w:r w:rsidRPr="00E2181D">
        <w:rPr>
          <w:rFonts w:eastAsia="SimSun"/>
        </w:rPr>
        <w:t xml:space="preserve">of </w:t>
      </w:r>
      <w:r>
        <w:rPr>
          <w:rFonts w:eastAsia="SimSun"/>
        </w:rPr>
        <w:t>“AD: Alzheimer’s dementia and NO other cause of CI(NINCDS PROB AD)” or “AD: Alzheimer’s dementia and another cause of CI(NINCDS POSS AD)”</w:t>
      </w:r>
      <w:r w:rsidRPr="00E2181D">
        <w:rPr>
          <w:rFonts w:eastAsia="SimSun"/>
        </w:rPr>
        <w:t xml:space="preserve"> as </w:t>
      </w:r>
      <w:r>
        <w:rPr>
          <w:rFonts w:eastAsia="SimSun"/>
        </w:rPr>
        <w:t>AD groups</w:t>
      </w:r>
      <w:r w:rsidR="004D4BCC">
        <w:rPr>
          <w:rFonts w:eastAsia="SimSun"/>
        </w:rPr>
        <w:t xml:space="preserve">. </w:t>
      </w:r>
      <w:r w:rsidRPr="00E2181D">
        <w:rPr>
          <w:rFonts w:eastAsia="SimSun"/>
        </w:rPr>
        <w:t>For the Mayo study</w:t>
      </w:r>
      <w:r w:rsidR="004D4BCC">
        <w:fldChar w:fldCharType="begin">
          <w:fldData xml:space="preserve">PEVuZE5vdGU+PENpdGU+PEF1dGhvcj5BbGxlbjwvQXV0aG9yPjxZZWFyPjIwMTg8L1llYXI+PFJl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</w:fldData>
        </w:fldChar>
      </w:r>
      <w:r w:rsidR="004D4BCC">
        <w:instrText xml:space="preserve"> ADDIN EN.CITE </w:instrText>
      </w:r>
      <w:r w:rsidR="004D4BCC">
        <w:fldChar w:fldCharType="begin">
          <w:fldData xml:space="preserve">PEVuZE5vdGU+PENpdGU+PEF1dGhvcj5BbGxlbjwvQXV0aG9yPjxZZWFyPjIwMTg8L1llYXI+PFJl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</w:fldData>
        </w:fldChar>
      </w:r>
      <w:r w:rsidR="004D4BCC">
        <w:instrText xml:space="preserve"> ADDIN EN.CITE.DATA </w:instrText>
      </w:r>
      <w:r w:rsidR="004D4BCC">
        <w:fldChar w:fldCharType="end"/>
      </w:r>
      <w:r w:rsidR="004D4BCC">
        <w:fldChar w:fldCharType="separate"/>
      </w:r>
      <w:r w:rsidR="004D4BCC">
        <w:rPr>
          <w:noProof/>
        </w:rPr>
        <w:t>(Allen, Wang et al. 2018)</w:t>
      </w:r>
      <w:r w:rsidR="004D4BCC">
        <w:fldChar w:fldCharType="end"/>
      </w:r>
      <w:r w:rsidRPr="00E2181D">
        <w:rPr>
          <w:rFonts w:eastAsia="SimSun"/>
        </w:rPr>
        <w:t>,</w:t>
      </w:r>
      <w:r>
        <w:rPr>
          <w:rFonts w:eastAsia="SimSun"/>
        </w:rPr>
        <w:t xml:space="preserve"> subjects</w:t>
      </w:r>
      <w:r w:rsidRPr="00E2181D">
        <w:rPr>
          <w:rFonts w:eastAsia="SimSun"/>
        </w:rPr>
        <w:t xml:space="preserve"> </w:t>
      </w:r>
      <w:r w:rsidRPr="00BE01B6">
        <w:rPr>
          <w:rFonts w:eastAsia="SimSun"/>
        </w:rPr>
        <w:t>with definite diagnosis of AD according to the National Institute of Neurological and Communicative Disorders and Stroke and the Alzheimer’s Disease and Related Disorders Association (NINCDS-ADRDA) criteria</w:t>
      </w:r>
      <w:r>
        <w:rPr>
          <w:rFonts w:eastAsia="SimSun"/>
        </w:rPr>
        <w:fldChar w:fldCharType="begin"/>
      </w:r>
      <w:r>
        <w:rPr>
          <w:rFonts w:eastAsia="SimSun"/>
        </w:rPr>
        <w:instrText xml:space="preserve"> ADDIN EN.CITE &lt;EndNote&gt;&lt;Cite&gt;&lt;Author&gt;McKhann&lt;/Author&gt;&lt;Year&gt;1984&lt;/Year&gt;&lt;RecNum&gt;156&lt;/RecNum&gt;&lt;DisplayText&gt;(McKhann, Drachman et al. 1984)&lt;/DisplayText&gt;&lt;record&gt;&lt;rec-number&gt;156&lt;/rec-number&gt;&lt;foreign-keys&gt;&lt;key app="EN" db-id="22dxxfvdf2aesceet5txfz2yfs9zfww5p9v5" timestamp="1613773245"&gt;156&lt;/key&gt;&lt;/foreign-keys&gt;&lt;ref-type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939-44&lt;/pages&gt;&lt;volume&gt;34&lt;/volume&gt;&lt;number&gt;7&lt;/number&gt;&lt;edition&gt;1984/07/01&lt;/edition&gt;&lt;keywords&gt;&lt;keyword&gt;Alzheimer Disease/*diagnosis/diagnostic imaging/psychology&lt;/keyword&gt;&lt;keyword&gt;Humans&lt;/keyword&gt;&lt;keyword&gt;Psychological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Services&lt;/keyword&gt;&lt;/keywords&gt;&lt;dates&gt;&lt;year&gt;1984&lt;/year&gt;&lt;pub-dates&gt;&lt;date&gt;Jul&lt;/date&gt;&lt;/pub-dates&gt;&lt;/dates&gt;&lt;isbn&gt;0028-3878 (Print)&amp;#xD;0028-3878&lt;/isbn&gt;&lt;accession-num&gt;6610841&lt;/accession-num&gt;&lt;urls&gt;&lt;/urls&gt;&lt;electronic-resource-num&gt;10.1212/wnl.34.7.939&lt;/electronic-resource-num&gt;&lt;remote-database-provider&gt;NLM&lt;/remote-database-provider&gt;&lt;language&gt;eng&lt;/language&gt;&lt;/record&gt;&lt;/Cite&gt;&lt;/EndNote&gt;</w:instrText>
      </w:r>
      <w:r>
        <w:rPr>
          <w:rFonts w:eastAsia="SimSun"/>
        </w:rPr>
        <w:fldChar w:fldCharType="separate"/>
      </w:r>
      <w:r>
        <w:rPr>
          <w:rFonts w:eastAsia="SimSun"/>
          <w:noProof/>
        </w:rPr>
        <w:t>(McKhann, Drachman et al. 1984)</w:t>
      </w:r>
      <w:r>
        <w:rPr>
          <w:rFonts w:eastAsia="SimSun"/>
        </w:rPr>
        <w:fldChar w:fldCharType="end"/>
      </w:r>
      <w:r>
        <w:rPr>
          <w:rFonts w:eastAsia="SimSun"/>
        </w:rPr>
        <w:t xml:space="preserve"> </w:t>
      </w:r>
      <w:r w:rsidRPr="00BE01B6">
        <w:rPr>
          <w:rFonts w:eastAsia="SimSun"/>
        </w:rPr>
        <w:t xml:space="preserve">and had </w:t>
      </w:r>
      <w:proofErr w:type="spellStart"/>
      <w:r w:rsidRPr="00BE01B6">
        <w:rPr>
          <w:rFonts w:eastAsia="SimSun"/>
        </w:rPr>
        <w:t>Braak</w:t>
      </w:r>
      <w:proofErr w:type="spellEnd"/>
      <w:r w:rsidRPr="00BE01B6">
        <w:rPr>
          <w:rFonts w:eastAsia="SimSun"/>
        </w:rPr>
        <w:t xml:space="preserve"> neurofibrillary tangle (NFT) stage of ≥4.0. </w:t>
      </w:r>
      <w:r>
        <w:rPr>
          <w:rFonts w:eastAsia="SimSun"/>
        </w:rPr>
        <w:t xml:space="preserve">Subjects without any </w:t>
      </w:r>
      <w:r>
        <w:t>brain pathology aging phenotypes were classified in the “Normal” groups.</w:t>
      </w:r>
      <w:r>
        <w:rPr>
          <w:rFonts w:eastAsia="SimSun"/>
        </w:rPr>
        <w:t xml:space="preserve"> </w:t>
      </w:r>
      <w:r w:rsidRPr="00E2181D">
        <w:rPr>
          <w:rFonts w:eastAsia="SimSun"/>
        </w:rPr>
        <w:t xml:space="preserve">For MSBB, </w:t>
      </w:r>
      <w:r>
        <w:rPr>
          <w:rFonts w:eastAsia="SimSun"/>
        </w:rPr>
        <w:t xml:space="preserve">subjects were classified by the </w:t>
      </w:r>
      <w:r w:rsidRPr="003C5A1B">
        <w:rPr>
          <w:rFonts w:eastAsia="SimSun"/>
        </w:rPr>
        <w:t>Neuropathology Category as measured by CERAD</w:t>
      </w:r>
      <w:r>
        <w:rPr>
          <w:rFonts w:eastAsia="SimSun"/>
        </w:rPr>
        <w:t xml:space="preserve"> values </w:t>
      </w:r>
      <w:r w:rsidRPr="003C5A1B">
        <w:rPr>
          <w:rFonts w:eastAsia="SimSun"/>
        </w:rPr>
        <w:t>(</w:t>
      </w:r>
      <w:proofErr w:type="gramStart"/>
      <w:r w:rsidRPr="003C5A1B">
        <w:rPr>
          <w:rFonts w:eastAsia="SimSun"/>
        </w:rPr>
        <w:t>1</w:t>
      </w:r>
      <w:r>
        <w:rPr>
          <w:rFonts w:eastAsia="SimSun"/>
        </w:rPr>
        <w:t>:“</w:t>
      </w:r>
      <w:proofErr w:type="gramEnd"/>
      <w:r w:rsidRPr="003C5A1B">
        <w:rPr>
          <w:rFonts w:eastAsia="SimSun"/>
        </w:rPr>
        <w:t>Normal</w:t>
      </w:r>
      <w:r>
        <w:rPr>
          <w:rFonts w:eastAsia="SimSun"/>
        </w:rPr>
        <w:t>”;</w:t>
      </w:r>
      <w:r w:rsidRPr="003C5A1B">
        <w:rPr>
          <w:rFonts w:eastAsia="SimSun"/>
        </w:rPr>
        <w:t xml:space="preserve"> 2</w:t>
      </w:r>
      <w:r>
        <w:rPr>
          <w:rFonts w:eastAsia="SimSun"/>
        </w:rPr>
        <w:t>:</w:t>
      </w:r>
      <w:r w:rsidRPr="003C5A1B">
        <w:rPr>
          <w:rFonts w:eastAsia="SimSun"/>
        </w:rPr>
        <w:t xml:space="preserve"> </w:t>
      </w:r>
      <w:r>
        <w:rPr>
          <w:rFonts w:eastAsia="SimSun"/>
        </w:rPr>
        <w:t>“</w:t>
      </w:r>
      <w:r w:rsidRPr="003C5A1B">
        <w:rPr>
          <w:rFonts w:eastAsia="SimSun"/>
        </w:rPr>
        <w:t>AD</w:t>
      </w:r>
      <w:r>
        <w:rPr>
          <w:rFonts w:eastAsia="SimSun"/>
        </w:rPr>
        <w:t>”</w:t>
      </w:r>
      <w:r w:rsidRPr="003C5A1B">
        <w:rPr>
          <w:rFonts w:eastAsia="SimSun"/>
        </w:rPr>
        <w:t>)</w:t>
      </w:r>
      <w:r>
        <w:rPr>
          <w:rFonts w:eastAsia="SimSun"/>
        </w:rPr>
        <w:t>.</w:t>
      </w:r>
    </w:p>
    <w:p w14:paraId="676062C2" w14:textId="03244ADA" w:rsidR="003351CC" w:rsidRDefault="003351CC" w:rsidP="00F66B71">
      <w:pPr>
        <w:rPr>
          <w:rFonts w:eastAsia="SimSun"/>
        </w:rPr>
      </w:pPr>
      <w:r>
        <w:rPr>
          <w:rFonts w:eastAsia="SimSun"/>
        </w:rPr>
        <w:t>Note:</w:t>
      </w:r>
    </w:p>
    <w:p w14:paraId="22583C54" w14:textId="129116F2" w:rsidR="003351CC" w:rsidRDefault="003351CC" w:rsidP="003351CC">
      <w:pPr>
        <w:pStyle w:val="ListParagraph"/>
        <w:numPr>
          <w:ilvl w:val="0"/>
          <w:numId w:val="1"/>
        </w:numPr>
        <w:rPr>
          <w:rFonts w:eastAsia="SimSun"/>
        </w:rPr>
      </w:pPr>
      <w:r>
        <w:rPr>
          <w:rFonts w:eastAsia="SimSun"/>
        </w:rPr>
        <w:t>For MSBB cohort, 36% of samples do not have APOE information. Thus, APOE is not included in the analysis.</w:t>
      </w:r>
    </w:p>
    <w:p w14:paraId="6329F264" w14:textId="499B9ABB" w:rsidR="003351CC" w:rsidRPr="003351CC" w:rsidRDefault="003351CC" w:rsidP="003351CC">
      <w:pPr>
        <w:pStyle w:val="ListParagraph"/>
        <w:numPr>
          <w:ilvl w:val="0"/>
          <w:numId w:val="1"/>
        </w:numPr>
        <w:rPr>
          <w:rFonts w:eastAsia="SimSun"/>
        </w:rPr>
      </w:pPr>
      <w:proofErr w:type="gramStart"/>
      <w:r>
        <w:rPr>
          <w:rFonts w:eastAsia="SimSun"/>
        </w:rPr>
        <w:t>AOD(</w:t>
      </w:r>
      <w:proofErr w:type="spellStart"/>
      <w:proofErr w:type="gramEnd"/>
      <w:r>
        <w:rPr>
          <w:rFonts w:eastAsia="SimSun"/>
        </w:rPr>
        <w:t>yrs</w:t>
      </w:r>
      <w:proofErr w:type="spellEnd"/>
      <w:r>
        <w:rPr>
          <w:rFonts w:eastAsia="SimSun"/>
        </w:rPr>
        <w:t>) information for individuals over 90 are labeled with ‘90+’</w:t>
      </w:r>
    </w:p>
    <w:p w14:paraId="352EBFAA" w14:textId="77777777" w:rsidR="003E07AC" w:rsidRDefault="003E07AC"/>
    <w:p w14:paraId="6CABCDAD" w14:textId="1DB9F45C" w:rsidR="003E07AC" w:rsidRDefault="003E07AC"/>
    <w:p w14:paraId="01E01CC8" w14:textId="52ECE259" w:rsidR="003E07AC" w:rsidRDefault="003E07AC"/>
    <w:p w14:paraId="64B442C0" w14:textId="4CAF06D4" w:rsidR="00077F31" w:rsidRDefault="00077F31">
      <w:r>
        <w:lastRenderedPageBreak/>
        <w:br/>
      </w:r>
    </w:p>
    <w:p w14:paraId="67C94FD0" w14:textId="77777777" w:rsidR="0077076F" w:rsidRDefault="00077F31" w:rsidP="0077076F">
      <w:pPr>
        <w:jc w:val="center"/>
        <w:rPr>
          <w:highlight w:val="white"/>
        </w:rPr>
      </w:pPr>
      <w:r>
        <w:br w:type="page"/>
      </w:r>
      <w:r w:rsidRPr="00F15961">
        <w:rPr>
          <w:highlight w:val="white"/>
        </w:rPr>
        <w:lastRenderedPageBreak/>
        <w:t xml:space="preserve">Table </w:t>
      </w:r>
      <w:r>
        <w:rPr>
          <w:highlight w:val="white"/>
        </w:rPr>
        <w:t>S2</w:t>
      </w:r>
      <w:r w:rsidRPr="00F15961">
        <w:rPr>
          <w:highlight w:val="white"/>
        </w:rPr>
        <w:t xml:space="preserve">. </w:t>
      </w:r>
      <w:r w:rsidR="0077076F" w:rsidRPr="0077076F">
        <w:rPr>
          <w:highlight w:val="white"/>
        </w:rPr>
        <w:t>Coefficients of determination(R</w:t>
      </w:r>
      <w:r w:rsidR="0077076F" w:rsidRPr="0077076F">
        <w:rPr>
          <w:highlight w:val="white"/>
          <w:vertAlign w:val="superscript"/>
        </w:rPr>
        <w:t>2</w:t>
      </w:r>
      <w:r w:rsidR="0077076F" w:rsidRPr="0077076F">
        <w:rPr>
          <w:highlight w:val="white"/>
        </w:rPr>
        <w:t xml:space="preserve">) </w:t>
      </w:r>
    </w:p>
    <w:p w14:paraId="283F1E6D" w14:textId="3107DFE4" w:rsidR="0077076F" w:rsidRPr="0077076F" w:rsidRDefault="0077076F" w:rsidP="0077076F">
      <w:pPr>
        <w:jc w:val="center"/>
        <w:rPr>
          <w:highlight w:val="white"/>
        </w:rPr>
      </w:pPr>
      <w:r w:rsidRPr="0077076F">
        <w:rPr>
          <w:highlight w:val="white"/>
        </w:rPr>
        <w:t xml:space="preserve">between MT-ND1 and other </w:t>
      </w:r>
      <w:proofErr w:type="spellStart"/>
      <w:r w:rsidRPr="0077076F">
        <w:rPr>
          <w:highlight w:val="white"/>
        </w:rPr>
        <w:t>mtDNA</w:t>
      </w:r>
      <w:proofErr w:type="spellEnd"/>
      <w:r w:rsidRPr="0077076F">
        <w:rPr>
          <w:highlight w:val="white"/>
        </w:rPr>
        <w:t xml:space="preserve">-encoded genes </w:t>
      </w:r>
    </w:p>
    <w:p w14:paraId="390B87E5" w14:textId="732331EC" w:rsidR="00077F31" w:rsidRPr="00F15961" w:rsidRDefault="00077F31" w:rsidP="00077F31">
      <w:pPr>
        <w:spacing w:line="480" w:lineRule="auto"/>
        <w:jc w:val="center"/>
        <w:rPr>
          <w:rFonts w:eastAsia="SimSun"/>
        </w:rPr>
      </w:pPr>
    </w:p>
    <w:p w14:paraId="71A5E3C8" w14:textId="0FFE42D8" w:rsidR="00077F31" w:rsidRDefault="00077F31">
      <w:r>
        <w:br/>
      </w:r>
      <w:r w:rsidRPr="00077F31">
        <w:rPr>
          <w:noProof/>
        </w:rPr>
        <w:drawing>
          <wp:inline distT="0" distB="0" distL="0" distR="0" wp14:anchorId="2857104B" wp14:editId="2F18CD16">
            <wp:extent cx="5249266" cy="3456926"/>
            <wp:effectExtent l="0" t="0" r="0" b="0"/>
            <wp:docPr id="9" name="Picture 8">
              <a:extLst xmlns:a="http://schemas.openxmlformats.org/drawingml/2006/main">
                <a:ext uri="{FF2B5EF4-FFF2-40B4-BE49-F238E27FC236}">
                  <a16:creationId xmlns:a16="http://schemas.microsoft.com/office/drawing/2014/main" id="{0AB7A1E7-998F-4242-ABE0-EA2DC941B9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AB7A1E7-998F-4242-ABE0-EA2DC941B9A5}"/>
                        </a:ext>
                      </a:extLst>
                    </pic:cNvPr>
                    <pic:cNvPicPr>
                      <a:picLocks noChangeAspect="1"/>
                    </pic:cNvPicPr>
                  </pic:nvPicPr>
                  <pic:blipFill>
                    <a:blip r:embed="rId7"/>
                    <a:stretch>
                      <a:fillRect/>
                    </a:stretch>
                  </pic:blipFill>
                  <pic:spPr>
                    <a:xfrm>
                      <a:off x="0" y="0"/>
                      <a:ext cx="5249266" cy="3456926"/>
                    </a:xfrm>
                    <a:prstGeom prst="rect">
                      <a:avLst/>
                    </a:prstGeom>
                  </pic:spPr>
                </pic:pic>
              </a:graphicData>
            </a:graphic>
          </wp:inline>
        </w:drawing>
      </w:r>
    </w:p>
    <w:p w14:paraId="13660A8A" w14:textId="29C18271" w:rsidR="00077F31" w:rsidRDefault="00077F31"/>
    <w:p w14:paraId="7FB5F194" w14:textId="779C34E8" w:rsidR="00077F31" w:rsidRDefault="00077F31">
      <w:r w:rsidRPr="00077F31">
        <w:t>The R</w:t>
      </w:r>
      <w:r w:rsidRPr="00077F31">
        <w:rPr>
          <w:vertAlign w:val="superscript"/>
        </w:rPr>
        <w:t>2</w:t>
      </w:r>
      <w:r w:rsidRPr="00077F31">
        <w:t xml:space="preserve"> below 0.5 are colored in red, and R</w:t>
      </w:r>
      <w:r w:rsidRPr="00077F31">
        <w:rPr>
          <w:vertAlign w:val="superscript"/>
        </w:rPr>
        <w:t>2</w:t>
      </w:r>
      <w:r w:rsidRPr="00077F31">
        <w:t xml:space="preserve"> between 0.5 and 0.7 are colored in brown.</w:t>
      </w:r>
    </w:p>
    <w:p w14:paraId="3EA6AFFA" w14:textId="1BB9E1DD" w:rsidR="00077F31" w:rsidRDefault="00077F31">
      <w:r>
        <w:br w:type="page"/>
      </w:r>
    </w:p>
    <w:p w14:paraId="451A9F2C" w14:textId="4EEB7CBF" w:rsidR="00077F31" w:rsidRDefault="00077F31" w:rsidP="00077F31">
      <w:pPr>
        <w:jc w:val="center"/>
        <w:rPr>
          <w:sz w:val="36"/>
        </w:rPr>
      </w:pPr>
      <w:r w:rsidRPr="00077F31">
        <w:rPr>
          <w:sz w:val="36"/>
        </w:rPr>
        <w:lastRenderedPageBreak/>
        <w:t>Figure S1</w:t>
      </w:r>
    </w:p>
    <w:p w14:paraId="3B1D8E38" w14:textId="68CAF659" w:rsidR="00077F31" w:rsidRDefault="00077F31" w:rsidP="00077F31">
      <w:pPr>
        <w:jc w:val="center"/>
        <w:rPr>
          <w:sz w:val="36"/>
        </w:rPr>
      </w:pPr>
    </w:p>
    <w:p w14:paraId="4D59B3DC" w14:textId="55BECCF9" w:rsidR="008A14DE" w:rsidRDefault="008A14DE" w:rsidP="00077F31">
      <w:pPr>
        <w:jc w:val="center"/>
        <w:rPr>
          <w:sz w:val="36"/>
        </w:rPr>
      </w:pPr>
      <w:r>
        <w:rPr>
          <w:noProof/>
          <w:sz w:val="36"/>
        </w:rPr>
        <w:drawing>
          <wp:inline distT="0" distB="0" distL="0" distR="0" wp14:anchorId="4C8259AE" wp14:editId="1C8FDA84">
            <wp:extent cx="4471340" cy="6463146"/>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1_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4799" cy="6468146"/>
                    </a:xfrm>
                    <a:prstGeom prst="rect">
                      <a:avLst/>
                    </a:prstGeom>
                  </pic:spPr>
                </pic:pic>
              </a:graphicData>
            </a:graphic>
          </wp:inline>
        </w:drawing>
      </w:r>
    </w:p>
    <w:p w14:paraId="13CA5031" w14:textId="008E741E" w:rsidR="004F6249" w:rsidRPr="004F6249" w:rsidRDefault="004F6249" w:rsidP="004F6249">
      <w:pPr>
        <w:rPr>
          <w:rFonts w:ascii="Arial" w:hAnsi="Arial" w:cs="Arial"/>
          <w:b/>
          <w:bCs/>
        </w:rPr>
      </w:pPr>
      <w:r w:rsidRPr="00CC5B30">
        <w:rPr>
          <w:rFonts w:ascii="Arial" w:hAnsi="Arial" w:cs="Arial"/>
          <w:b/>
          <w:bCs/>
        </w:rPr>
        <w:t xml:space="preserve">Figure S1. </w:t>
      </w:r>
      <w:r w:rsidRPr="002C0BA2">
        <w:rPr>
          <w:rFonts w:ascii="Arial" w:hAnsi="Arial" w:cs="Arial"/>
          <w:b/>
          <w:bCs/>
        </w:rPr>
        <w:t xml:space="preserve">Heatmap of </w:t>
      </w:r>
      <w:r>
        <w:rPr>
          <w:rFonts w:ascii="Arial" w:hAnsi="Arial" w:cs="Arial"/>
          <w:b/>
          <w:bCs/>
        </w:rPr>
        <w:t>the scaled</w:t>
      </w:r>
      <w:r w:rsidRPr="002C0BA2">
        <w:rPr>
          <w:rFonts w:ascii="Arial" w:hAnsi="Arial" w:cs="Arial"/>
          <w:b/>
          <w:bCs/>
        </w:rPr>
        <w:t xml:space="preserve"> expression</w:t>
      </w:r>
      <w:r>
        <w:rPr>
          <w:rFonts w:ascii="Arial" w:hAnsi="Arial" w:cs="Arial"/>
          <w:b/>
          <w:bCs/>
        </w:rPr>
        <w:t xml:space="preserve">s </w:t>
      </w:r>
      <w:r w:rsidRPr="002C0BA2">
        <w:rPr>
          <w:rFonts w:ascii="Arial" w:hAnsi="Arial" w:cs="Arial"/>
          <w:b/>
          <w:bCs/>
        </w:rPr>
        <w:t xml:space="preserve">of </w:t>
      </w:r>
      <w:proofErr w:type="spellStart"/>
      <w:r>
        <w:rPr>
          <w:rFonts w:ascii="Arial" w:hAnsi="Arial" w:cs="Arial"/>
          <w:b/>
          <w:bCs/>
        </w:rPr>
        <w:t>mtDNA</w:t>
      </w:r>
      <w:proofErr w:type="spellEnd"/>
      <w:r>
        <w:rPr>
          <w:rFonts w:ascii="Arial" w:hAnsi="Arial" w:cs="Arial"/>
          <w:b/>
          <w:bCs/>
        </w:rPr>
        <w:t xml:space="preserve">-encoded </w:t>
      </w:r>
      <w:r w:rsidRPr="002C0BA2">
        <w:rPr>
          <w:rFonts w:ascii="Arial" w:hAnsi="Arial" w:cs="Arial"/>
          <w:b/>
          <w:bCs/>
        </w:rPr>
        <w:t xml:space="preserve">genes </w:t>
      </w:r>
      <w:r>
        <w:rPr>
          <w:rFonts w:ascii="Arial" w:hAnsi="Arial" w:cs="Arial"/>
          <w:b/>
          <w:bCs/>
        </w:rPr>
        <w:t>from</w:t>
      </w:r>
      <w:r w:rsidRPr="002C0BA2">
        <w:rPr>
          <w:rFonts w:ascii="Arial" w:hAnsi="Arial" w:cs="Arial"/>
          <w:b/>
          <w:bCs/>
        </w:rPr>
        <w:t xml:space="preserve"> ROSMAP, Mayo and MSBB datasets.</w:t>
      </w:r>
      <w:r>
        <w:rPr>
          <w:rFonts w:ascii="Arial" w:hAnsi="Arial" w:cs="Arial"/>
          <w:b/>
          <w:bCs/>
        </w:rPr>
        <w:t xml:space="preserve"> For each dataset, the disease diagnosis and base mean expression of each gene are annotated on the top and right-side of the heatmap, respectively.</w:t>
      </w:r>
    </w:p>
    <w:p w14:paraId="20F23FC0" w14:textId="2FDA8911" w:rsidR="00077F31" w:rsidRDefault="00077F31">
      <w:pPr>
        <w:rPr>
          <w:sz w:val="36"/>
        </w:rPr>
      </w:pPr>
      <w:r>
        <w:rPr>
          <w:sz w:val="36"/>
        </w:rPr>
        <w:br w:type="page"/>
      </w:r>
    </w:p>
    <w:p w14:paraId="463A451F" w14:textId="387B7129" w:rsidR="00077F31" w:rsidRDefault="00077F31" w:rsidP="00077F31">
      <w:pPr>
        <w:jc w:val="center"/>
        <w:rPr>
          <w:sz w:val="36"/>
        </w:rPr>
      </w:pPr>
      <w:r w:rsidRPr="00077F31">
        <w:rPr>
          <w:sz w:val="36"/>
        </w:rPr>
        <w:lastRenderedPageBreak/>
        <w:t>Figure S</w:t>
      </w:r>
      <w:r>
        <w:rPr>
          <w:sz w:val="36"/>
        </w:rPr>
        <w:t>2</w:t>
      </w:r>
    </w:p>
    <w:p w14:paraId="35364BF9" w14:textId="77777777" w:rsidR="0090428C" w:rsidRDefault="0090428C">
      <w:pPr>
        <w:rPr>
          <w:sz w:val="36"/>
        </w:rPr>
      </w:pPr>
    </w:p>
    <w:p w14:paraId="72B0FBFF" w14:textId="2A31A3BF" w:rsidR="00077F31" w:rsidRDefault="00AA47F5">
      <w:pPr>
        <w:rPr>
          <w:sz w:val="36"/>
        </w:rPr>
      </w:pPr>
      <w:r>
        <w:rPr>
          <w:noProof/>
          <w:sz w:val="36"/>
        </w:rPr>
        <w:drawing>
          <wp:inline distT="0" distB="0" distL="0" distR="0" wp14:anchorId="4D63A656" wp14:editId="7F41A1F7">
            <wp:extent cx="5943600" cy="43745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2_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374515"/>
                    </a:xfrm>
                    <a:prstGeom prst="rect">
                      <a:avLst/>
                    </a:prstGeom>
                  </pic:spPr>
                </pic:pic>
              </a:graphicData>
            </a:graphic>
          </wp:inline>
        </w:drawing>
      </w:r>
    </w:p>
    <w:p w14:paraId="1A91E782" w14:textId="77777777" w:rsidR="00F03F17" w:rsidRPr="00CC5B30" w:rsidRDefault="00F03F17" w:rsidP="00F03F17">
      <w:pPr>
        <w:rPr>
          <w:rFonts w:ascii="Arial" w:hAnsi="Arial" w:cs="Arial"/>
          <w:b/>
          <w:bCs/>
        </w:rPr>
      </w:pPr>
      <w:r w:rsidRPr="00CC5B30">
        <w:rPr>
          <w:rFonts w:ascii="Arial" w:hAnsi="Arial" w:cs="Arial"/>
          <w:b/>
          <w:bCs/>
        </w:rPr>
        <w:t xml:space="preserve">Figure S2. </w:t>
      </w:r>
      <w:r w:rsidRPr="00F00BB3">
        <w:rPr>
          <w:rFonts w:ascii="Arial" w:hAnsi="Arial" w:cs="Arial"/>
          <w:b/>
          <w:bCs/>
        </w:rPr>
        <w:t xml:space="preserve">Heatmap of </w:t>
      </w:r>
      <w:r>
        <w:rPr>
          <w:rFonts w:ascii="Arial" w:hAnsi="Arial" w:cs="Arial"/>
          <w:b/>
          <w:bCs/>
        </w:rPr>
        <w:t>the scaled</w:t>
      </w:r>
      <w:r w:rsidRPr="002C0BA2">
        <w:rPr>
          <w:rFonts w:ascii="Arial" w:hAnsi="Arial" w:cs="Arial"/>
          <w:b/>
          <w:bCs/>
        </w:rPr>
        <w:t xml:space="preserve"> expression</w:t>
      </w:r>
      <w:r>
        <w:rPr>
          <w:rFonts w:ascii="Arial" w:hAnsi="Arial" w:cs="Arial"/>
          <w:b/>
          <w:bCs/>
        </w:rPr>
        <w:t xml:space="preserve">s </w:t>
      </w:r>
      <w:r w:rsidRPr="00F00BB3">
        <w:rPr>
          <w:rFonts w:ascii="Arial" w:hAnsi="Arial" w:cs="Arial"/>
          <w:b/>
          <w:bCs/>
        </w:rPr>
        <w:t xml:space="preserve">of </w:t>
      </w:r>
      <w:proofErr w:type="spellStart"/>
      <w:r>
        <w:rPr>
          <w:rFonts w:ascii="Arial" w:hAnsi="Arial" w:cs="Arial"/>
          <w:b/>
          <w:bCs/>
        </w:rPr>
        <w:t>mtDNA</w:t>
      </w:r>
      <w:proofErr w:type="spellEnd"/>
      <w:r>
        <w:rPr>
          <w:rFonts w:ascii="Arial" w:hAnsi="Arial" w:cs="Arial"/>
          <w:b/>
          <w:bCs/>
        </w:rPr>
        <w:t xml:space="preserve">-encoded </w:t>
      </w:r>
      <w:r w:rsidRPr="002C0BA2">
        <w:rPr>
          <w:rFonts w:ascii="Arial" w:hAnsi="Arial" w:cs="Arial"/>
          <w:b/>
          <w:bCs/>
        </w:rPr>
        <w:t>genes</w:t>
      </w:r>
      <w:r w:rsidRPr="00F00BB3">
        <w:rPr>
          <w:rFonts w:ascii="Arial" w:hAnsi="Arial" w:cs="Arial"/>
          <w:b/>
          <w:bCs/>
        </w:rPr>
        <w:t xml:space="preserve"> </w:t>
      </w:r>
      <w:r>
        <w:rPr>
          <w:rFonts w:ascii="Arial" w:hAnsi="Arial" w:cs="Arial"/>
          <w:b/>
          <w:bCs/>
        </w:rPr>
        <w:t>from</w:t>
      </w:r>
      <w:r w:rsidRPr="00F00BB3">
        <w:rPr>
          <w:rFonts w:ascii="Arial" w:hAnsi="Arial" w:cs="Arial"/>
          <w:b/>
          <w:bCs/>
        </w:rPr>
        <w:t xml:space="preserve"> </w:t>
      </w:r>
      <w:proofErr w:type="spellStart"/>
      <w:r w:rsidRPr="00F00BB3">
        <w:rPr>
          <w:rFonts w:ascii="Arial" w:hAnsi="Arial" w:cs="Arial"/>
          <w:b/>
          <w:bCs/>
        </w:rPr>
        <w:t>GTEx</w:t>
      </w:r>
      <w:proofErr w:type="spellEnd"/>
      <w:r w:rsidRPr="00F00BB3">
        <w:rPr>
          <w:rFonts w:ascii="Arial" w:hAnsi="Arial" w:cs="Arial"/>
          <w:b/>
          <w:bCs/>
        </w:rPr>
        <w:t xml:space="preserve"> datasets.</w:t>
      </w:r>
      <w:r w:rsidRPr="00CC5B30">
        <w:rPr>
          <w:rFonts w:ascii="Arial" w:hAnsi="Arial" w:cs="Arial"/>
          <w:b/>
          <w:bCs/>
        </w:rPr>
        <w:t xml:space="preserve"> </w:t>
      </w:r>
    </w:p>
    <w:p w14:paraId="1403E7E3" w14:textId="77777777" w:rsidR="00AA47F5" w:rsidRDefault="00AA47F5">
      <w:pPr>
        <w:rPr>
          <w:sz w:val="36"/>
        </w:rPr>
      </w:pPr>
    </w:p>
    <w:p w14:paraId="3CB92662" w14:textId="260248E8" w:rsidR="0090428C" w:rsidRDefault="0090428C">
      <w:pPr>
        <w:rPr>
          <w:sz w:val="36"/>
        </w:rPr>
      </w:pPr>
      <w:r>
        <w:rPr>
          <w:sz w:val="36"/>
        </w:rPr>
        <w:br w:type="page"/>
      </w:r>
    </w:p>
    <w:p w14:paraId="40B3B4D0" w14:textId="77777777" w:rsidR="0090428C" w:rsidRDefault="0090428C">
      <w:pPr>
        <w:rPr>
          <w:sz w:val="36"/>
        </w:rPr>
      </w:pPr>
    </w:p>
    <w:p w14:paraId="1001B272" w14:textId="4D71441D" w:rsidR="00077F31" w:rsidRDefault="00077F31" w:rsidP="00077F31">
      <w:pPr>
        <w:jc w:val="center"/>
        <w:rPr>
          <w:sz w:val="36"/>
        </w:rPr>
      </w:pPr>
      <w:r w:rsidRPr="00077F31">
        <w:rPr>
          <w:sz w:val="36"/>
        </w:rPr>
        <w:t>Figure S</w:t>
      </w:r>
      <w:r>
        <w:rPr>
          <w:sz w:val="36"/>
        </w:rPr>
        <w:t>3</w:t>
      </w:r>
    </w:p>
    <w:p w14:paraId="0D4EF3A4" w14:textId="28E58BA8" w:rsidR="00077F31" w:rsidRDefault="00077F31" w:rsidP="00077F31">
      <w:pPr>
        <w:jc w:val="center"/>
        <w:rPr>
          <w:sz w:val="36"/>
        </w:rPr>
      </w:pPr>
    </w:p>
    <w:p w14:paraId="092B84E6" w14:textId="7A212E5E" w:rsidR="00077F31" w:rsidRDefault="00816D7F">
      <w:pPr>
        <w:rPr>
          <w:sz w:val="36"/>
        </w:rPr>
      </w:pPr>
      <w:r>
        <w:rPr>
          <w:noProof/>
          <w:sz w:val="36"/>
        </w:rPr>
        <w:drawing>
          <wp:inline distT="0" distB="0" distL="0" distR="0" wp14:anchorId="65FCB845" wp14:editId="7453FCE8">
            <wp:extent cx="5943600" cy="34175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3_A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417570"/>
                    </a:xfrm>
                    <a:prstGeom prst="rect">
                      <a:avLst/>
                    </a:prstGeom>
                  </pic:spPr>
                </pic:pic>
              </a:graphicData>
            </a:graphic>
          </wp:inline>
        </w:drawing>
      </w:r>
    </w:p>
    <w:p w14:paraId="333F32B6" w14:textId="05027709" w:rsidR="00F03F17" w:rsidRPr="00CC5B30" w:rsidRDefault="00F03F17" w:rsidP="00F03F17">
      <w:pPr>
        <w:rPr>
          <w:rFonts w:ascii="Arial" w:hAnsi="Arial" w:cs="Arial"/>
          <w:b/>
          <w:bCs/>
        </w:rPr>
      </w:pPr>
      <w:r w:rsidRPr="00CC5B30">
        <w:rPr>
          <w:rFonts w:ascii="Arial" w:hAnsi="Arial" w:cs="Arial"/>
          <w:b/>
          <w:bCs/>
        </w:rPr>
        <w:t xml:space="preserve">Figure S3. </w:t>
      </w:r>
      <w:r w:rsidRPr="00F00BB3">
        <w:rPr>
          <w:rFonts w:ascii="Arial" w:hAnsi="Arial" w:cs="Arial"/>
          <w:b/>
          <w:bCs/>
        </w:rPr>
        <w:t xml:space="preserve">Distributions of the Pearson correlation coefficients between </w:t>
      </w:r>
      <w:proofErr w:type="spellStart"/>
      <w:r w:rsidRPr="00F00BB3">
        <w:rPr>
          <w:rFonts w:ascii="Arial" w:hAnsi="Arial" w:cs="Arial"/>
          <w:b/>
          <w:bCs/>
        </w:rPr>
        <w:t>mtDNA</w:t>
      </w:r>
      <w:proofErr w:type="spellEnd"/>
      <w:r w:rsidRPr="00F00BB3">
        <w:rPr>
          <w:rFonts w:ascii="Arial" w:hAnsi="Arial" w:cs="Arial"/>
          <w:b/>
          <w:bCs/>
        </w:rPr>
        <w:t xml:space="preserve">-encoded genes </w:t>
      </w:r>
      <w:r>
        <w:rPr>
          <w:rFonts w:ascii="Arial" w:hAnsi="Arial" w:cs="Arial"/>
          <w:b/>
          <w:bCs/>
        </w:rPr>
        <w:t>in cognitively normal and AD brains from</w:t>
      </w:r>
      <w:r w:rsidRPr="00F00BB3">
        <w:rPr>
          <w:rFonts w:ascii="Arial" w:hAnsi="Arial" w:cs="Arial"/>
          <w:b/>
          <w:bCs/>
        </w:rPr>
        <w:t xml:space="preserve"> ROSMAP, TCX, CBE, BM22, BM44, BM10 and BM36 datasets</w:t>
      </w:r>
      <w:r w:rsidRPr="00CC5B30">
        <w:rPr>
          <w:rFonts w:ascii="Arial" w:hAnsi="Arial" w:cs="Arial"/>
          <w:b/>
          <w:bCs/>
        </w:rPr>
        <w:t xml:space="preserve">. </w:t>
      </w:r>
    </w:p>
    <w:p w14:paraId="0541E095" w14:textId="1A892D30" w:rsidR="0090428C" w:rsidRDefault="0090428C">
      <w:pPr>
        <w:rPr>
          <w:sz w:val="36"/>
        </w:rPr>
      </w:pPr>
    </w:p>
    <w:p w14:paraId="0FA532C0" w14:textId="77777777" w:rsidR="00F03F17" w:rsidRDefault="00F03F17">
      <w:pPr>
        <w:rPr>
          <w:sz w:val="36"/>
        </w:rPr>
      </w:pPr>
      <w:r>
        <w:rPr>
          <w:sz w:val="36"/>
        </w:rPr>
        <w:br w:type="page"/>
      </w:r>
    </w:p>
    <w:p w14:paraId="4DA3EB62" w14:textId="4A9D4D24" w:rsidR="00077F31" w:rsidRDefault="00077F31" w:rsidP="0090428C">
      <w:pPr>
        <w:jc w:val="center"/>
        <w:rPr>
          <w:sz w:val="36"/>
        </w:rPr>
      </w:pPr>
      <w:r w:rsidRPr="00077F31">
        <w:rPr>
          <w:sz w:val="36"/>
        </w:rPr>
        <w:lastRenderedPageBreak/>
        <w:t>Figure S</w:t>
      </w:r>
      <w:r>
        <w:rPr>
          <w:sz w:val="36"/>
        </w:rPr>
        <w:t>4</w:t>
      </w:r>
    </w:p>
    <w:p w14:paraId="2E50641E" w14:textId="5D1D9DFA" w:rsidR="0090428C" w:rsidRDefault="0090428C" w:rsidP="0090428C">
      <w:pPr>
        <w:jc w:val="center"/>
        <w:rPr>
          <w:sz w:val="36"/>
        </w:rPr>
      </w:pPr>
    </w:p>
    <w:p w14:paraId="544259CF" w14:textId="58FB368C" w:rsidR="0090428C" w:rsidRDefault="00816D7F" w:rsidP="0090428C">
      <w:pPr>
        <w:jc w:val="center"/>
        <w:rPr>
          <w:sz w:val="36"/>
        </w:rPr>
      </w:pPr>
      <w:r>
        <w:rPr>
          <w:noProof/>
          <w:sz w:val="36"/>
        </w:rPr>
        <w:drawing>
          <wp:inline distT="0" distB="0" distL="0" distR="0" wp14:anchorId="38686F8D" wp14:editId="153CA257">
            <wp:extent cx="5943600" cy="33140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4_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14065"/>
                    </a:xfrm>
                    <a:prstGeom prst="rect">
                      <a:avLst/>
                    </a:prstGeom>
                  </pic:spPr>
                </pic:pic>
              </a:graphicData>
            </a:graphic>
          </wp:inline>
        </w:drawing>
      </w:r>
    </w:p>
    <w:p w14:paraId="08C28B5A" w14:textId="77777777" w:rsidR="0090428C" w:rsidRDefault="0090428C" w:rsidP="0090428C">
      <w:pPr>
        <w:jc w:val="center"/>
        <w:rPr>
          <w:sz w:val="36"/>
        </w:rPr>
      </w:pPr>
    </w:p>
    <w:p w14:paraId="0762E794" w14:textId="77777777" w:rsidR="008A14E9" w:rsidRPr="00CC5B30" w:rsidRDefault="008A14E9" w:rsidP="008A14E9">
      <w:pPr>
        <w:rPr>
          <w:rFonts w:ascii="Arial" w:hAnsi="Arial" w:cs="Arial"/>
          <w:b/>
          <w:bCs/>
        </w:rPr>
      </w:pPr>
      <w:r w:rsidRPr="00CC5B30">
        <w:rPr>
          <w:rFonts w:ascii="Arial" w:hAnsi="Arial" w:cs="Arial"/>
          <w:b/>
          <w:bCs/>
        </w:rPr>
        <w:t xml:space="preserve">Figure S4. </w:t>
      </w:r>
      <w:r w:rsidRPr="00BB4D66">
        <w:rPr>
          <w:rFonts w:ascii="Arial" w:hAnsi="Arial" w:cs="Arial"/>
          <w:b/>
          <w:bCs/>
        </w:rPr>
        <w:t xml:space="preserve">Heatmap of </w:t>
      </w:r>
      <w:r>
        <w:rPr>
          <w:rFonts w:ascii="Arial" w:hAnsi="Arial" w:cs="Arial"/>
          <w:b/>
          <w:bCs/>
        </w:rPr>
        <w:t xml:space="preserve">the </w:t>
      </w:r>
      <w:r w:rsidRPr="00F00BB3">
        <w:rPr>
          <w:rFonts w:ascii="Arial" w:hAnsi="Arial" w:cs="Arial"/>
          <w:b/>
          <w:bCs/>
        </w:rPr>
        <w:t xml:space="preserve">Pearson correlation coefficients </w:t>
      </w:r>
      <w:r>
        <w:rPr>
          <w:rFonts w:ascii="Arial" w:hAnsi="Arial" w:cs="Arial"/>
          <w:b/>
          <w:bCs/>
        </w:rPr>
        <w:t xml:space="preserve">between </w:t>
      </w:r>
      <w:r w:rsidRPr="00BB4D66">
        <w:rPr>
          <w:rFonts w:ascii="Arial" w:hAnsi="Arial" w:cs="Arial"/>
          <w:b/>
          <w:bCs/>
        </w:rPr>
        <w:t>OXPHOS genes in Alzheimer’s</w:t>
      </w:r>
      <w:r>
        <w:rPr>
          <w:rFonts w:ascii="Arial" w:hAnsi="Arial" w:cs="Arial"/>
          <w:b/>
          <w:bCs/>
        </w:rPr>
        <w:t xml:space="preserve"> in ROSMAP transcriptome dataset</w:t>
      </w:r>
      <w:r w:rsidRPr="00CC5B30">
        <w:rPr>
          <w:rFonts w:ascii="Arial" w:hAnsi="Arial" w:cs="Arial"/>
          <w:b/>
          <w:bCs/>
        </w:rPr>
        <w:t xml:space="preserve">. </w:t>
      </w:r>
    </w:p>
    <w:p w14:paraId="7C899840" w14:textId="45A2C51D" w:rsidR="00077F31" w:rsidRDefault="00077F31" w:rsidP="00077F31">
      <w:pPr>
        <w:jc w:val="center"/>
        <w:rPr>
          <w:sz w:val="36"/>
        </w:rPr>
      </w:pPr>
    </w:p>
    <w:p w14:paraId="1070B8BD" w14:textId="4F6BDDE9" w:rsidR="00077F31" w:rsidRDefault="00077F31">
      <w:pPr>
        <w:rPr>
          <w:sz w:val="36"/>
        </w:rPr>
      </w:pPr>
      <w:r>
        <w:rPr>
          <w:sz w:val="36"/>
        </w:rPr>
        <w:br w:type="page"/>
      </w:r>
    </w:p>
    <w:p w14:paraId="782D16C6" w14:textId="3CED296F" w:rsidR="00077F31" w:rsidRDefault="00077F31" w:rsidP="00077F31">
      <w:pPr>
        <w:jc w:val="center"/>
        <w:rPr>
          <w:sz w:val="36"/>
        </w:rPr>
      </w:pPr>
      <w:r w:rsidRPr="00077F31">
        <w:rPr>
          <w:sz w:val="36"/>
        </w:rPr>
        <w:lastRenderedPageBreak/>
        <w:t>Figure S</w:t>
      </w:r>
      <w:r>
        <w:rPr>
          <w:sz w:val="36"/>
        </w:rPr>
        <w:t>5</w:t>
      </w:r>
    </w:p>
    <w:p w14:paraId="715B4969" w14:textId="561C22ED" w:rsidR="0090428C" w:rsidRDefault="0090428C" w:rsidP="00077F31">
      <w:pPr>
        <w:jc w:val="center"/>
        <w:rPr>
          <w:sz w:val="36"/>
        </w:rPr>
      </w:pPr>
    </w:p>
    <w:p w14:paraId="1074B997" w14:textId="37B36942" w:rsidR="0090428C" w:rsidRDefault="008439A3" w:rsidP="00077F31">
      <w:pPr>
        <w:jc w:val="center"/>
        <w:rPr>
          <w:sz w:val="36"/>
        </w:rPr>
      </w:pPr>
      <w:r>
        <w:rPr>
          <w:noProof/>
          <w:sz w:val="36"/>
        </w:rPr>
        <w:drawing>
          <wp:inline distT="0" distB="0" distL="0" distR="0" wp14:anchorId="78D9DF71" wp14:editId="460510E9">
            <wp:extent cx="5943600" cy="4860925"/>
            <wp:effectExtent l="0" t="0" r="0" b="3175"/>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860925"/>
                    </a:xfrm>
                    <a:prstGeom prst="rect">
                      <a:avLst/>
                    </a:prstGeom>
                  </pic:spPr>
                </pic:pic>
              </a:graphicData>
            </a:graphic>
          </wp:inline>
        </w:drawing>
      </w:r>
    </w:p>
    <w:p w14:paraId="29D38C19" w14:textId="33B25B73" w:rsidR="00077F31" w:rsidRDefault="00077F31" w:rsidP="00077F31">
      <w:pPr>
        <w:jc w:val="center"/>
        <w:rPr>
          <w:sz w:val="36"/>
        </w:rPr>
      </w:pPr>
    </w:p>
    <w:p w14:paraId="7490F0F3" w14:textId="0CF31FEF" w:rsidR="005666E0" w:rsidRDefault="005666E0" w:rsidP="005666E0">
      <w:pPr>
        <w:rPr>
          <w:rFonts w:ascii="Arial" w:hAnsi="Arial" w:cs="Arial"/>
          <w:b/>
          <w:bCs/>
        </w:rPr>
      </w:pPr>
      <w:r w:rsidRPr="00CC5B30">
        <w:rPr>
          <w:rFonts w:ascii="Arial" w:hAnsi="Arial" w:cs="Arial"/>
          <w:b/>
          <w:bCs/>
        </w:rPr>
        <w:t xml:space="preserve">Figure S5. </w:t>
      </w:r>
      <w:r w:rsidRPr="00BB4D66">
        <w:rPr>
          <w:rFonts w:ascii="Arial" w:hAnsi="Arial" w:cs="Arial"/>
          <w:b/>
          <w:bCs/>
        </w:rPr>
        <w:t xml:space="preserve">Co-regulation of </w:t>
      </w:r>
      <w:r>
        <w:rPr>
          <w:rFonts w:ascii="Arial" w:hAnsi="Arial" w:cs="Arial"/>
          <w:b/>
          <w:bCs/>
        </w:rPr>
        <w:t>GO:MF with MT-ND1</w:t>
      </w:r>
      <w:r w:rsidRPr="00BB4D66">
        <w:rPr>
          <w:rFonts w:ascii="Arial" w:hAnsi="Arial" w:cs="Arial"/>
          <w:b/>
          <w:bCs/>
        </w:rPr>
        <w:t xml:space="preserve"> in </w:t>
      </w:r>
      <w:r>
        <w:rPr>
          <w:rFonts w:ascii="Arial" w:hAnsi="Arial" w:cs="Arial"/>
          <w:b/>
          <w:bCs/>
        </w:rPr>
        <w:t xml:space="preserve">cognitively normal and AD brains summarized from </w:t>
      </w:r>
      <w:r w:rsidRPr="00713B75">
        <w:rPr>
          <w:rFonts w:ascii="Arial" w:hAnsi="Arial" w:cs="Arial"/>
          <w:b/>
          <w:bCs/>
        </w:rPr>
        <w:t xml:space="preserve">ROSMAP, Mayo (TCX, CBE), and MSBB </w:t>
      </w:r>
      <w:proofErr w:type="gramStart"/>
      <w:r w:rsidRPr="00713B75">
        <w:rPr>
          <w:rFonts w:ascii="Arial" w:hAnsi="Arial" w:cs="Arial"/>
          <w:b/>
          <w:bCs/>
        </w:rPr>
        <w:t>( BM</w:t>
      </w:r>
      <w:proofErr w:type="gramEnd"/>
      <w:r w:rsidRPr="00713B75">
        <w:rPr>
          <w:rFonts w:ascii="Arial" w:hAnsi="Arial" w:cs="Arial"/>
          <w:b/>
          <w:bCs/>
        </w:rPr>
        <w:t>22, BM44) data sets</w:t>
      </w:r>
      <w:r w:rsidRPr="00CC5B30">
        <w:rPr>
          <w:rFonts w:ascii="Arial" w:hAnsi="Arial" w:cs="Arial"/>
          <w:b/>
          <w:bCs/>
        </w:rPr>
        <w:t>.</w:t>
      </w:r>
    </w:p>
    <w:p w14:paraId="5C6B1661" w14:textId="77788007" w:rsidR="00077F31" w:rsidRDefault="00077F31">
      <w:pPr>
        <w:rPr>
          <w:sz w:val="36"/>
        </w:rPr>
      </w:pPr>
    </w:p>
    <w:p w14:paraId="7A419931" w14:textId="77777777" w:rsidR="005666E0" w:rsidRDefault="005666E0">
      <w:pPr>
        <w:rPr>
          <w:sz w:val="36"/>
        </w:rPr>
      </w:pPr>
      <w:r>
        <w:rPr>
          <w:sz w:val="36"/>
        </w:rPr>
        <w:br w:type="page"/>
      </w:r>
    </w:p>
    <w:p w14:paraId="0F9C5BB5" w14:textId="661CCF17" w:rsidR="00077F31" w:rsidRDefault="00077F31" w:rsidP="00077F31">
      <w:pPr>
        <w:jc w:val="center"/>
        <w:rPr>
          <w:sz w:val="36"/>
        </w:rPr>
      </w:pPr>
      <w:r w:rsidRPr="00077F31">
        <w:rPr>
          <w:sz w:val="36"/>
        </w:rPr>
        <w:lastRenderedPageBreak/>
        <w:t>Figure S</w:t>
      </w:r>
      <w:r>
        <w:rPr>
          <w:sz w:val="36"/>
        </w:rPr>
        <w:t>6</w:t>
      </w:r>
    </w:p>
    <w:p w14:paraId="10426B12" w14:textId="1D02BDB6" w:rsidR="00077F31" w:rsidRDefault="00077F31" w:rsidP="00077F31">
      <w:pPr>
        <w:jc w:val="center"/>
        <w:rPr>
          <w:sz w:val="36"/>
        </w:rPr>
      </w:pPr>
    </w:p>
    <w:p w14:paraId="0D34A1FF" w14:textId="17604B5F" w:rsidR="0038134C" w:rsidRDefault="008439A3" w:rsidP="00077F31">
      <w:pPr>
        <w:jc w:val="center"/>
        <w:rPr>
          <w:sz w:val="36"/>
        </w:rPr>
      </w:pPr>
      <w:r>
        <w:rPr>
          <w:noProof/>
          <w:sz w:val="36"/>
        </w:rPr>
        <w:drawing>
          <wp:inline distT="0" distB="0" distL="0" distR="0" wp14:anchorId="64382E89" wp14:editId="6271AFC9">
            <wp:extent cx="5943600" cy="4832350"/>
            <wp:effectExtent l="0" t="0" r="0" b="635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832350"/>
                    </a:xfrm>
                    <a:prstGeom prst="rect">
                      <a:avLst/>
                    </a:prstGeom>
                  </pic:spPr>
                </pic:pic>
              </a:graphicData>
            </a:graphic>
          </wp:inline>
        </w:drawing>
      </w:r>
    </w:p>
    <w:p w14:paraId="5BF30EBD" w14:textId="3EBEAB81" w:rsidR="004B1C4C" w:rsidRDefault="004B1C4C" w:rsidP="004B1C4C">
      <w:pPr>
        <w:rPr>
          <w:rFonts w:ascii="Arial" w:hAnsi="Arial" w:cs="Arial"/>
          <w:b/>
          <w:bCs/>
        </w:rPr>
      </w:pPr>
      <w:r w:rsidRPr="00422AA2">
        <w:rPr>
          <w:rFonts w:ascii="Arial" w:hAnsi="Arial" w:cs="Arial"/>
          <w:b/>
          <w:bCs/>
        </w:rPr>
        <w:t xml:space="preserve">Figure S6. Co-regulation of </w:t>
      </w:r>
      <w:proofErr w:type="gramStart"/>
      <w:r>
        <w:rPr>
          <w:rFonts w:ascii="Arial" w:hAnsi="Arial" w:cs="Arial"/>
          <w:b/>
          <w:bCs/>
        </w:rPr>
        <w:t>GO:BP</w:t>
      </w:r>
      <w:proofErr w:type="gramEnd"/>
      <w:r w:rsidRPr="00422AA2">
        <w:rPr>
          <w:rFonts w:ascii="Arial" w:hAnsi="Arial" w:cs="Arial"/>
          <w:b/>
          <w:bCs/>
        </w:rPr>
        <w:t xml:space="preserve"> with</w:t>
      </w:r>
      <w:r>
        <w:rPr>
          <w:rFonts w:ascii="Arial" w:hAnsi="Arial" w:cs="Arial"/>
          <w:b/>
          <w:bCs/>
        </w:rPr>
        <w:t xml:space="preserve"> MT-ND1</w:t>
      </w:r>
      <w:r w:rsidRPr="00BB4D66">
        <w:rPr>
          <w:rFonts w:ascii="Arial" w:hAnsi="Arial" w:cs="Arial"/>
          <w:b/>
          <w:bCs/>
        </w:rPr>
        <w:t xml:space="preserve"> in </w:t>
      </w:r>
      <w:r>
        <w:rPr>
          <w:rFonts w:ascii="Arial" w:hAnsi="Arial" w:cs="Arial"/>
          <w:b/>
          <w:bCs/>
        </w:rPr>
        <w:t>cognitively normal and AD brains</w:t>
      </w:r>
      <w:r w:rsidRPr="009F3BC3">
        <w:rPr>
          <w:rFonts w:ascii="Arial" w:hAnsi="Arial" w:cs="Arial"/>
          <w:b/>
          <w:bCs/>
        </w:rPr>
        <w:t xml:space="preserve"> </w:t>
      </w:r>
      <w:r>
        <w:rPr>
          <w:rFonts w:ascii="Arial" w:hAnsi="Arial" w:cs="Arial"/>
          <w:b/>
          <w:bCs/>
        </w:rPr>
        <w:t xml:space="preserve">summarized from </w:t>
      </w:r>
      <w:r w:rsidRPr="00713B75">
        <w:rPr>
          <w:rFonts w:ascii="Arial" w:hAnsi="Arial" w:cs="Arial"/>
          <w:b/>
          <w:bCs/>
        </w:rPr>
        <w:t>ROSMAP, Mayo (TCX, CBE), and MSBB ( BM22, BM44) data sets</w:t>
      </w:r>
      <w:r w:rsidRPr="00CC5B30">
        <w:rPr>
          <w:rFonts w:ascii="Arial" w:hAnsi="Arial" w:cs="Arial"/>
          <w:b/>
          <w:bCs/>
        </w:rPr>
        <w:t>.</w:t>
      </w:r>
    </w:p>
    <w:p w14:paraId="5D4A20F7" w14:textId="16895FE0" w:rsidR="00077F31" w:rsidRDefault="00077F31">
      <w:pPr>
        <w:rPr>
          <w:sz w:val="36"/>
        </w:rPr>
      </w:pPr>
    </w:p>
    <w:p w14:paraId="594987F1" w14:textId="77777777" w:rsidR="004B1C4C" w:rsidRDefault="004B1C4C">
      <w:pPr>
        <w:rPr>
          <w:sz w:val="36"/>
        </w:rPr>
      </w:pPr>
      <w:r>
        <w:rPr>
          <w:sz w:val="36"/>
        </w:rPr>
        <w:br w:type="page"/>
      </w:r>
    </w:p>
    <w:p w14:paraId="3E597F42" w14:textId="33C64B75" w:rsidR="00077F31" w:rsidRDefault="00077F31" w:rsidP="00077F31">
      <w:pPr>
        <w:jc w:val="center"/>
        <w:rPr>
          <w:sz w:val="36"/>
        </w:rPr>
      </w:pPr>
      <w:r w:rsidRPr="00077F31">
        <w:rPr>
          <w:sz w:val="36"/>
        </w:rPr>
        <w:lastRenderedPageBreak/>
        <w:t>Figure S</w:t>
      </w:r>
      <w:r>
        <w:rPr>
          <w:sz w:val="36"/>
        </w:rPr>
        <w:t>7</w:t>
      </w:r>
    </w:p>
    <w:p w14:paraId="274CE914" w14:textId="192705AD" w:rsidR="00077F31" w:rsidRDefault="00077F31" w:rsidP="00077F31">
      <w:pPr>
        <w:jc w:val="center"/>
        <w:rPr>
          <w:sz w:val="36"/>
        </w:rPr>
      </w:pPr>
    </w:p>
    <w:p w14:paraId="09116A35" w14:textId="43CD66C0" w:rsidR="00634862" w:rsidRDefault="008439A3" w:rsidP="00077F31">
      <w:pPr>
        <w:jc w:val="center"/>
        <w:rPr>
          <w:sz w:val="36"/>
        </w:rPr>
      </w:pPr>
      <w:r>
        <w:rPr>
          <w:noProof/>
          <w:sz w:val="36"/>
        </w:rPr>
        <w:drawing>
          <wp:inline distT="0" distB="0" distL="0" distR="0" wp14:anchorId="39EBB35C" wp14:editId="2BA45F5D">
            <wp:extent cx="4875399" cy="6712528"/>
            <wp:effectExtent l="0" t="0" r="1905" b="0"/>
            <wp:docPr id="6" name="Picture 6"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7407" cy="6715293"/>
                    </a:xfrm>
                    <a:prstGeom prst="rect">
                      <a:avLst/>
                    </a:prstGeom>
                  </pic:spPr>
                </pic:pic>
              </a:graphicData>
            </a:graphic>
          </wp:inline>
        </w:drawing>
      </w:r>
    </w:p>
    <w:p w14:paraId="31221F02" w14:textId="3030625A" w:rsidR="00F433F1" w:rsidRPr="00422AA2" w:rsidRDefault="00F433F1" w:rsidP="00F433F1">
      <w:pPr>
        <w:rPr>
          <w:rFonts w:ascii="Arial" w:hAnsi="Arial" w:cs="Arial"/>
          <w:b/>
          <w:bCs/>
        </w:rPr>
      </w:pPr>
      <w:r w:rsidRPr="00422AA2">
        <w:rPr>
          <w:rFonts w:ascii="Arial" w:hAnsi="Arial" w:cs="Arial"/>
          <w:b/>
          <w:bCs/>
        </w:rPr>
        <w:t>Figure S</w:t>
      </w:r>
      <w:r>
        <w:rPr>
          <w:rFonts w:ascii="Arial" w:hAnsi="Arial" w:cs="Arial"/>
          <w:b/>
          <w:bCs/>
        </w:rPr>
        <w:t>7</w:t>
      </w:r>
      <w:r w:rsidRPr="00422AA2">
        <w:rPr>
          <w:rFonts w:ascii="Arial" w:hAnsi="Arial" w:cs="Arial"/>
          <w:b/>
          <w:bCs/>
        </w:rPr>
        <w:t xml:space="preserve">. Co-regulation of </w:t>
      </w:r>
      <w:r>
        <w:rPr>
          <w:rFonts w:ascii="Arial" w:hAnsi="Arial" w:cs="Arial"/>
          <w:b/>
          <w:bCs/>
        </w:rPr>
        <w:t>KEGG pathways</w:t>
      </w:r>
      <w:r w:rsidRPr="00422AA2">
        <w:rPr>
          <w:rFonts w:ascii="Arial" w:hAnsi="Arial" w:cs="Arial"/>
          <w:b/>
          <w:bCs/>
        </w:rPr>
        <w:t xml:space="preserve"> with</w:t>
      </w:r>
      <w:r>
        <w:rPr>
          <w:rFonts w:ascii="Arial" w:hAnsi="Arial" w:cs="Arial"/>
          <w:b/>
          <w:bCs/>
        </w:rPr>
        <w:t xml:space="preserve"> MT-ND1</w:t>
      </w:r>
      <w:r w:rsidRPr="00BB4D66">
        <w:rPr>
          <w:rFonts w:ascii="Arial" w:hAnsi="Arial" w:cs="Arial"/>
          <w:b/>
          <w:bCs/>
        </w:rPr>
        <w:t xml:space="preserve"> in </w:t>
      </w:r>
      <w:r>
        <w:rPr>
          <w:rFonts w:ascii="Arial" w:hAnsi="Arial" w:cs="Arial"/>
          <w:b/>
          <w:bCs/>
        </w:rPr>
        <w:t xml:space="preserve">cognitively normal and AD brains summarized from </w:t>
      </w:r>
      <w:r w:rsidRPr="00713B75">
        <w:rPr>
          <w:rFonts w:ascii="Arial" w:hAnsi="Arial" w:cs="Arial"/>
          <w:b/>
          <w:bCs/>
        </w:rPr>
        <w:t xml:space="preserve">ROSMAP, Mayo (TCX, CBE), and MSBB </w:t>
      </w:r>
      <w:proofErr w:type="gramStart"/>
      <w:r w:rsidRPr="00713B75">
        <w:rPr>
          <w:rFonts w:ascii="Arial" w:hAnsi="Arial" w:cs="Arial"/>
          <w:b/>
          <w:bCs/>
        </w:rPr>
        <w:t>( BM</w:t>
      </w:r>
      <w:proofErr w:type="gramEnd"/>
      <w:r w:rsidRPr="00713B75">
        <w:rPr>
          <w:rFonts w:ascii="Arial" w:hAnsi="Arial" w:cs="Arial"/>
          <w:b/>
          <w:bCs/>
        </w:rPr>
        <w:t>22, BM44) data sets</w:t>
      </w:r>
      <w:r w:rsidRPr="00CC5B30">
        <w:rPr>
          <w:rFonts w:ascii="Arial" w:hAnsi="Arial" w:cs="Arial"/>
          <w:b/>
          <w:bCs/>
        </w:rPr>
        <w:t>.</w:t>
      </w:r>
    </w:p>
    <w:p w14:paraId="4109AAAB" w14:textId="4B39D51C" w:rsidR="00F433F1" w:rsidRDefault="00F433F1">
      <w:pPr>
        <w:rPr>
          <w:sz w:val="36"/>
        </w:rPr>
      </w:pPr>
      <w:r>
        <w:rPr>
          <w:sz w:val="36"/>
        </w:rPr>
        <w:br w:type="page"/>
      </w:r>
    </w:p>
    <w:p w14:paraId="3490DCB1" w14:textId="7FBBEBCE" w:rsidR="00077F31" w:rsidRDefault="00077F31" w:rsidP="006C4C01">
      <w:pPr>
        <w:jc w:val="center"/>
        <w:rPr>
          <w:sz w:val="36"/>
        </w:rPr>
      </w:pPr>
      <w:r w:rsidRPr="00077F31">
        <w:rPr>
          <w:sz w:val="36"/>
        </w:rPr>
        <w:lastRenderedPageBreak/>
        <w:t>Figure S</w:t>
      </w:r>
      <w:r>
        <w:rPr>
          <w:sz w:val="36"/>
        </w:rPr>
        <w:t>8</w:t>
      </w:r>
    </w:p>
    <w:p w14:paraId="67524C0C" w14:textId="658AE05B" w:rsidR="00077F31" w:rsidRDefault="00077F31" w:rsidP="00077F31">
      <w:pPr>
        <w:jc w:val="center"/>
        <w:rPr>
          <w:sz w:val="36"/>
        </w:rPr>
      </w:pPr>
    </w:p>
    <w:p w14:paraId="1BCDE6B7" w14:textId="6F1B690F" w:rsidR="00D81391" w:rsidRDefault="008439A3" w:rsidP="00077F31">
      <w:pPr>
        <w:jc w:val="center"/>
        <w:rPr>
          <w:sz w:val="36"/>
        </w:rPr>
      </w:pPr>
      <w:r>
        <w:rPr>
          <w:noProof/>
          <w:sz w:val="36"/>
        </w:rPr>
        <w:drawing>
          <wp:inline distT="0" distB="0" distL="0" distR="0" wp14:anchorId="099A555F" wp14:editId="4A931A47">
            <wp:extent cx="5943600" cy="5762625"/>
            <wp:effectExtent l="0" t="0" r="0" b="317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762625"/>
                    </a:xfrm>
                    <a:prstGeom prst="rect">
                      <a:avLst/>
                    </a:prstGeom>
                  </pic:spPr>
                </pic:pic>
              </a:graphicData>
            </a:graphic>
          </wp:inline>
        </w:drawing>
      </w:r>
    </w:p>
    <w:p w14:paraId="4F7F1969" w14:textId="7BEC8118" w:rsidR="00D012E9" w:rsidRDefault="00D012E9" w:rsidP="00D012E9">
      <w:pPr>
        <w:rPr>
          <w:rFonts w:ascii="Arial" w:hAnsi="Arial" w:cs="Arial"/>
          <w:b/>
          <w:bCs/>
        </w:rPr>
      </w:pPr>
      <w:r w:rsidRPr="000C0F22">
        <w:rPr>
          <w:rFonts w:ascii="Arial" w:hAnsi="Arial" w:cs="Arial"/>
          <w:b/>
          <w:bCs/>
        </w:rPr>
        <w:t>Figure S</w:t>
      </w:r>
      <w:r>
        <w:rPr>
          <w:rFonts w:ascii="Arial" w:hAnsi="Arial" w:cs="Arial"/>
          <w:b/>
          <w:bCs/>
        </w:rPr>
        <w:t>8</w:t>
      </w:r>
      <w:r w:rsidRPr="000C0F22">
        <w:rPr>
          <w:rFonts w:ascii="Arial" w:hAnsi="Arial" w:cs="Arial"/>
          <w:b/>
          <w:bCs/>
        </w:rPr>
        <w:t>.</w:t>
      </w:r>
      <w:r w:rsidRPr="00EF6B73">
        <w:rPr>
          <w:rFonts w:ascii="Arial" w:hAnsi="Arial" w:cs="Arial"/>
          <w:b/>
          <w:bCs/>
        </w:rPr>
        <w:t xml:space="preserve"> </w:t>
      </w:r>
      <w:r>
        <w:rPr>
          <w:rFonts w:ascii="Arial" w:hAnsi="Arial" w:cs="Arial"/>
          <w:b/>
          <w:bCs/>
        </w:rPr>
        <w:t xml:space="preserve">Transcriptome level pathway associations with </w:t>
      </w:r>
      <w:r w:rsidRPr="00E3670A">
        <w:rPr>
          <w:rFonts w:ascii="Symbol" w:hAnsi="Symbol" w:cs="Arial"/>
          <w:b/>
          <w:bCs/>
        </w:rPr>
        <w:t></w:t>
      </w:r>
      <w:r>
        <w:rPr>
          <w:rFonts w:ascii="Arial" w:hAnsi="Arial" w:cs="Arial"/>
          <w:b/>
          <w:bCs/>
        </w:rPr>
        <w:t>-Amyloid in cognitively normal and AD brains in ROSMAP cohort using GSEA analysis</w:t>
      </w:r>
      <w:r w:rsidRPr="000C0F22">
        <w:rPr>
          <w:rFonts w:ascii="Arial" w:hAnsi="Arial" w:cs="Arial"/>
          <w:b/>
          <w:bCs/>
        </w:rPr>
        <w:t>.</w:t>
      </w:r>
    </w:p>
    <w:p w14:paraId="361FBE06" w14:textId="59FEA48A" w:rsidR="00077F31" w:rsidRDefault="00077F31">
      <w:pPr>
        <w:rPr>
          <w:sz w:val="36"/>
        </w:rPr>
      </w:pPr>
    </w:p>
    <w:p w14:paraId="0BC746BB" w14:textId="77777777" w:rsidR="00D012E9" w:rsidRDefault="00D012E9">
      <w:pPr>
        <w:rPr>
          <w:sz w:val="36"/>
        </w:rPr>
      </w:pPr>
      <w:r>
        <w:rPr>
          <w:sz w:val="36"/>
        </w:rPr>
        <w:br w:type="page"/>
      </w:r>
    </w:p>
    <w:p w14:paraId="416A19EB" w14:textId="3B216909" w:rsidR="00077F31" w:rsidRDefault="00077F31" w:rsidP="00077F31">
      <w:pPr>
        <w:jc w:val="center"/>
        <w:rPr>
          <w:sz w:val="36"/>
        </w:rPr>
      </w:pPr>
      <w:r w:rsidRPr="00077F31">
        <w:rPr>
          <w:sz w:val="36"/>
        </w:rPr>
        <w:lastRenderedPageBreak/>
        <w:t>Figure S</w:t>
      </w:r>
      <w:r>
        <w:rPr>
          <w:sz w:val="36"/>
        </w:rPr>
        <w:t>9</w:t>
      </w:r>
    </w:p>
    <w:p w14:paraId="349F7DEB" w14:textId="725AFF4E" w:rsidR="00077F31" w:rsidRDefault="00077F31" w:rsidP="00077F31">
      <w:pPr>
        <w:jc w:val="center"/>
        <w:rPr>
          <w:sz w:val="36"/>
        </w:rPr>
      </w:pPr>
    </w:p>
    <w:p w14:paraId="28014202" w14:textId="2AB9B288" w:rsidR="00545FD1" w:rsidRDefault="008439A3" w:rsidP="00077F31">
      <w:pPr>
        <w:jc w:val="center"/>
        <w:rPr>
          <w:sz w:val="36"/>
        </w:rPr>
      </w:pPr>
      <w:r>
        <w:rPr>
          <w:noProof/>
          <w:sz w:val="36"/>
        </w:rPr>
        <w:drawing>
          <wp:inline distT="0" distB="0" distL="0" distR="0" wp14:anchorId="3102D55D" wp14:editId="38870C2A">
            <wp:extent cx="5943600" cy="5649595"/>
            <wp:effectExtent l="0" t="0" r="0" b="1905"/>
            <wp:docPr id="10" name="Picture 1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waterfall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649595"/>
                    </a:xfrm>
                    <a:prstGeom prst="rect">
                      <a:avLst/>
                    </a:prstGeom>
                  </pic:spPr>
                </pic:pic>
              </a:graphicData>
            </a:graphic>
          </wp:inline>
        </w:drawing>
      </w:r>
    </w:p>
    <w:p w14:paraId="42B88F96" w14:textId="72AEB051" w:rsidR="00EA5FE6" w:rsidRDefault="00EA5FE6" w:rsidP="00EA5FE6">
      <w:pPr>
        <w:rPr>
          <w:rFonts w:ascii="Arial" w:hAnsi="Arial" w:cs="Arial"/>
          <w:b/>
          <w:bCs/>
        </w:rPr>
      </w:pPr>
      <w:r w:rsidRPr="000C0F22">
        <w:rPr>
          <w:rFonts w:ascii="Arial" w:hAnsi="Arial" w:cs="Arial"/>
          <w:b/>
          <w:bCs/>
        </w:rPr>
        <w:t>Figure S</w:t>
      </w:r>
      <w:r>
        <w:rPr>
          <w:rFonts w:ascii="Arial" w:hAnsi="Arial" w:cs="Arial"/>
          <w:b/>
          <w:bCs/>
        </w:rPr>
        <w:t>9</w:t>
      </w:r>
      <w:r w:rsidRPr="000C0F22">
        <w:rPr>
          <w:rFonts w:ascii="Arial" w:hAnsi="Arial" w:cs="Arial"/>
          <w:b/>
          <w:bCs/>
        </w:rPr>
        <w:t xml:space="preserve">. </w:t>
      </w:r>
      <w:r>
        <w:rPr>
          <w:rFonts w:ascii="Arial" w:hAnsi="Arial" w:cs="Arial"/>
          <w:b/>
          <w:bCs/>
        </w:rPr>
        <w:t>Transcriptome level pathway associations with NFT in cognitively normal and AD brains in ROSMAP cohort using GSEA analysis.</w:t>
      </w:r>
    </w:p>
    <w:p w14:paraId="6E90DDF2" w14:textId="3D693FFD" w:rsidR="00077F31" w:rsidRDefault="00077F31">
      <w:pPr>
        <w:rPr>
          <w:sz w:val="36"/>
        </w:rPr>
      </w:pPr>
    </w:p>
    <w:p w14:paraId="00EFE07B" w14:textId="77777777" w:rsidR="00EA5FE6" w:rsidRDefault="00EA5FE6">
      <w:pPr>
        <w:rPr>
          <w:sz w:val="36"/>
        </w:rPr>
      </w:pPr>
      <w:r>
        <w:rPr>
          <w:sz w:val="36"/>
        </w:rPr>
        <w:br w:type="page"/>
      </w:r>
    </w:p>
    <w:p w14:paraId="70ADD863" w14:textId="32AF0F6F" w:rsidR="00077F31" w:rsidRDefault="00077F31" w:rsidP="00077F31">
      <w:pPr>
        <w:jc w:val="center"/>
        <w:rPr>
          <w:sz w:val="36"/>
        </w:rPr>
      </w:pPr>
      <w:r w:rsidRPr="00077F31">
        <w:rPr>
          <w:sz w:val="36"/>
        </w:rPr>
        <w:lastRenderedPageBreak/>
        <w:t>Figure S</w:t>
      </w:r>
      <w:r>
        <w:rPr>
          <w:sz w:val="36"/>
        </w:rPr>
        <w:t>10</w:t>
      </w:r>
    </w:p>
    <w:p w14:paraId="6DC927A4" w14:textId="7E233BCB" w:rsidR="00077F31" w:rsidRDefault="00077F31" w:rsidP="00077F31">
      <w:pPr>
        <w:jc w:val="center"/>
        <w:rPr>
          <w:sz w:val="36"/>
        </w:rPr>
      </w:pPr>
    </w:p>
    <w:p w14:paraId="28B9DF4C" w14:textId="5B6AB313" w:rsidR="008C0AE6" w:rsidRDefault="008439A3" w:rsidP="00077F31">
      <w:pPr>
        <w:jc w:val="center"/>
        <w:rPr>
          <w:sz w:val="36"/>
        </w:rPr>
      </w:pPr>
      <w:r>
        <w:rPr>
          <w:noProof/>
          <w:sz w:val="36"/>
        </w:rPr>
        <w:drawing>
          <wp:inline distT="0" distB="0" distL="0" distR="0" wp14:anchorId="2764C2A9" wp14:editId="72B08BC4">
            <wp:extent cx="5943600" cy="5088255"/>
            <wp:effectExtent l="0" t="0" r="0" b="4445"/>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088255"/>
                    </a:xfrm>
                    <a:prstGeom prst="rect">
                      <a:avLst/>
                    </a:prstGeom>
                  </pic:spPr>
                </pic:pic>
              </a:graphicData>
            </a:graphic>
          </wp:inline>
        </w:drawing>
      </w:r>
    </w:p>
    <w:p w14:paraId="5724AA02" w14:textId="7593E223" w:rsidR="00077F31" w:rsidRPr="00077F31" w:rsidRDefault="00976CC5" w:rsidP="00077F31">
      <w:pPr>
        <w:jc w:val="center"/>
        <w:rPr>
          <w:sz w:val="36"/>
        </w:rPr>
      </w:pPr>
      <w:r w:rsidRPr="000C0F22">
        <w:rPr>
          <w:rFonts w:ascii="Arial" w:hAnsi="Arial" w:cs="Arial"/>
          <w:b/>
          <w:bCs/>
        </w:rPr>
        <w:t>Figure S1</w:t>
      </w:r>
      <w:r>
        <w:rPr>
          <w:rFonts w:ascii="Arial" w:hAnsi="Arial" w:cs="Arial"/>
          <w:b/>
          <w:bCs/>
        </w:rPr>
        <w:t>0</w:t>
      </w:r>
      <w:r w:rsidRPr="000C0F22">
        <w:rPr>
          <w:rFonts w:ascii="Arial" w:hAnsi="Arial" w:cs="Arial"/>
          <w:b/>
          <w:bCs/>
        </w:rPr>
        <w:t xml:space="preserve">. </w:t>
      </w:r>
      <w:r>
        <w:rPr>
          <w:rFonts w:ascii="Arial" w:hAnsi="Arial" w:cs="Arial"/>
          <w:b/>
          <w:bCs/>
        </w:rPr>
        <w:t>Proteome level pathway associations between total tau and in cognitively normal and AD brains in ROSMAP cohort using GSEA analysis.</w:t>
      </w:r>
    </w:p>
    <w:p w14:paraId="5BCE6DD7" w14:textId="58853A5F" w:rsidR="00077F31" w:rsidRPr="008439A3" w:rsidRDefault="00077F31" w:rsidP="008439A3">
      <w:pPr>
        <w:jc w:val="center"/>
        <w:rPr>
          <w:sz w:val="36"/>
        </w:rPr>
      </w:pPr>
      <w:r>
        <w:br w:type="page"/>
      </w:r>
      <w:r w:rsidR="008439A3" w:rsidRPr="008439A3">
        <w:rPr>
          <w:sz w:val="36"/>
        </w:rPr>
        <w:lastRenderedPageBreak/>
        <w:t>Figure S11</w:t>
      </w:r>
    </w:p>
    <w:p w14:paraId="47A9AE4C" w14:textId="68A10953" w:rsidR="008439A3" w:rsidRDefault="008439A3">
      <w:r>
        <w:rPr>
          <w:noProof/>
        </w:rPr>
        <w:drawing>
          <wp:inline distT="0" distB="0" distL="0" distR="0" wp14:anchorId="04EFABC5" wp14:editId="2A762BA2">
            <wp:extent cx="5943600" cy="6146165"/>
            <wp:effectExtent l="0" t="0" r="0" b="635"/>
            <wp:docPr id="16" name="Picture 16"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treemap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146165"/>
                    </a:xfrm>
                    <a:prstGeom prst="rect">
                      <a:avLst/>
                    </a:prstGeom>
                  </pic:spPr>
                </pic:pic>
              </a:graphicData>
            </a:graphic>
          </wp:inline>
        </w:drawing>
      </w:r>
    </w:p>
    <w:p w14:paraId="32F52EEF" w14:textId="77777777" w:rsidR="00976CC5" w:rsidRPr="00422AA2" w:rsidRDefault="00976CC5" w:rsidP="00976CC5">
      <w:pPr>
        <w:rPr>
          <w:rFonts w:ascii="Arial" w:hAnsi="Arial" w:cs="Arial"/>
          <w:b/>
          <w:bCs/>
        </w:rPr>
      </w:pPr>
      <w:r w:rsidRPr="00422AA2">
        <w:rPr>
          <w:rFonts w:ascii="Arial" w:hAnsi="Arial" w:cs="Arial"/>
          <w:b/>
          <w:bCs/>
        </w:rPr>
        <w:t>Figure S</w:t>
      </w:r>
      <w:r>
        <w:rPr>
          <w:rFonts w:ascii="Arial" w:hAnsi="Arial" w:cs="Arial"/>
          <w:b/>
          <w:bCs/>
        </w:rPr>
        <w:t>11</w:t>
      </w:r>
      <w:r w:rsidRPr="00422AA2">
        <w:rPr>
          <w:rFonts w:ascii="Arial" w:hAnsi="Arial" w:cs="Arial"/>
          <w:b/>
          <w:bCs/>
        </w:rPr>
        <w:t xml:space="preserve">. </w:t>
      </w:r>
      <w:r w:rsidRPr="00521E03">
        <w:rPr>
          <w:rFonts w:ascii="Arial" w:hAnsi="Arial" w:cs="Arial"/>
          <w:b/>
          <w:bCs/>
        </w:rPr>
        <w:t xml:space="preserve">Co-expression of </w:t>
      </w:r>
      <w:r>
        <w:rPr>
          <w:rFonts w:ascii="Arial" w:hAnsi="Arial" w:cs="Arial"/>
          <w:b/>
          <w:bCs/>
        </w:rPr>
        <w:t>brain cell</w:t>
      </w:r>
      <w:r w:rsidRPr="00521E03">
        <w:rPr>
          <w:rFonts w:ascii="Arial" w:hAnsi="Arial" w:cs="Arial"/>
          <w:b/>
          <w:bCs/>
        </w:rPr>
        <w:t xml:space="preserve"> marker</w:t>
      </w:r>
      <w:r>
        <w:rPr>
          <w:rFonts w:ascii="Arial" w:hAnsi="Arial" w:cs="Arial"/>
          <w:b/>
          <w:bCs/>
        </w:rPr>
        <w:t>s</w:t>
      </w:r>
      <w:r w:rsidRPr="00521E03">
        <w:rPr>
          <w:rFonts w:ascii="Arial" w:hAnsi="Arial" w:cs="Arial"/>
          <w:b/>
          <w:bCs/>
        </w:rPr>
        <w:t xml:space="preserve"> with </w:t>
      </w:r>
      <w:r>
        <w:rPr>
          <w:rFonts w:ascii="Arial" w:hAnsi="Arial" w:cs="Arial"/>
          <w:b/>
          <w:bCs/>
        </w:rPr>
        <w:t>MT-ND1</w:t>
      </w:r>
      <w:r w:rsidRPr="00BB4D66">
        <w:rPr>
          <w:rFonts w:ascii="Arial" w:hAnsi="Arial" w:cs="Arial"/>
          <w:b/>
          <w:bCs/>
        </w:rPr>
        <w:t xml:space="preserve"> </w:t>
      </w:r>
      <w:r w:rsidRPr="00521E03">
        <w:rPr>
          <w:rFonts w:ascii="Arial" w:hAnsi="Arial" w:cs="Arial"/>
          <w:b/>
          <w:bCs/>
        </w:rPr>
        <w:t xml:space="preserve">in </w:t>
      </w:r>
      <w:r>
        <w:rPr>
          <w:rFonts w:ascii="Arial" w:hAnsi="Arial" w:cs="Arial"/>
          <w:b/>
          <w:bCs/>
        </w:rPr>
        <w:t xml:space="preserve">cognitively </w:t>
      </w:r>
      <w:r w:rsidRPr="00521E03">
        <w:rPr>
          <w:rFonts w:ascii="Arial" w:hAnsi="Arial" w:cs="Arial"/>
          <w:b/>
          <w:bCs/>
        </w:rPr>
        <w:t>normal brain</w:t>
      </w:r>
      <w:r>
        <w:rPr>
          <w:rFonts w:ascii="Arial" w:hAnsi="Arial" w:cs="Arial"/>
          <w:b/>
          <w:bCs/>
        </w:rPr>
        <w:t>s.</w:t>
      </w:r>
    </w:p>
    <w:p w14:paraId="3120B5CE" w14:textId="77777777" w:rsidR="00077F31" w:rsidRDefault="00077F31"/>
    <w:p w14:paraId="1C7FA558" w14:textId="77777777" w:rsidR="008439A3" w:rsidRDefault="008439A3">
      <w:pPr>
        <w:rPr>
          <w:sz w:val="36"/>
        </w:rPr>
      </w:pPr>
    </w:p>
    <w:p w14:paraId="07293E16" w14:textId="543F7655" w:rsidR="008439A3" w:rsidRDefault="008439A3">
      <w:pPr>
        <w:rPr>
          <w:sz w:val="36"/>
        </w:rPr>
      </w:pPr>
      <w:r>
        <w:rPr>
          <w:sz w:val="36"/>
        </w:rPr>
        <w:br w:type="page"/>
      </w:r>
    </w:p>
    <w:p w14:paraId="4A36622E" w14:textId="49FBDEBC" w:rsidR="008439A3" w:rsidRPr="008439A3" w:rsidRDefault="008439A3" w:rsidP="00FF7DE0">
      <w:pPr>
        <w:jc w:val="center"/>
        <w:rPr>
          <w:sz w:val="36"/>
        </w:rPr>
      </w:pPr>
      <w:r w:rsidRPr="008439A3">
        <w:rPr>
          <w:sz w:val="36"/>
        </w:rPr>
        <w:lastRenderedPageBreak/>
        <w:t>Figure S1</w:t>
      </w:r>
      <w:r>
        <w:rPr>
          <w:sz w:val="36"/>
        </w:rPr>
        <w:t>2</w:t>
      </w:r>
    </w:p>
    <w:p w14:paraId="21AB7864" w14:textId="5B70F1C3" w:rsidR="008439A3" w:rsidRDefault="008439A3">
      <w:pPr>
        <w:rPr>
          <w:sz w:val="36"/>
        </w:rPr>
      </w:pPr>
      <w:r>
        <w:rPr>
          <w:noProof/>
          <w:sz w:val="36"/>
        </w:rPr>
        <w:drawing>
          <wp:inline distT="0" distB="0" distL="0" distR="0" wp14:anchorId="16F7B5C9" wp14:editId="4F1DB5D0">
            <wp:extent cx="5943600" cy="6075045"/>
            <wp:effectExtent l="0" t="0" r="0" b="0"/>
            <wp:docPr id="17" name="Picture 17" descr="A picture containing text, chec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heck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6075045"/>
                    </a:xfrm>
                    <a:prstGeom prst="rect">
                      <a:avLst/>
                    </a:prstGeom>
                  </pic:spPr>
                </pic:pic>
              </a:graphicData>
            </a:graphic>
          </wp:inline>
        </w:drawing>
      </w:r>
    </w:p>
    <w:p w14:paraId="4FD90F3D" w14:textId="77777777" w:rsidR="00976CC5" w:rsidRDefault="00976CC5" w:rsidP="00976CC5">
      <w:pPr>
        <w:rPr>
          <w:rFonts w:ascii="Arial" w:hAnsi="Arial" w:cs="Arial"/>
          <w:b/>
          <w:bCs/>
        </w:rPr>
      </w:pPr>
      <w:r w:rsidRPr="00422AA2">
        <w:rPr>
          <w:rFonts w:ascii="Arial" w:hAnsi="Arial" w:cs="Arial"/>
          <w:b/>
          <w:bCs/>
        </w:rPr>
        <w:t>Figure S</w:t>
      </w:r>
      <w:r>
        <w:rPr>
          <w:rFonts w:ascii="Arial" w:hAnsi="Arial" w:cs="Arial"/>
          <w:b/>
          <w:bCs/>
        </w:rPr>
        <w:t>12</w:t>
      </w:r>
      <w:r w:rsidRPr="00422AA2">
        <w:rPr>
          <w:rFonts w:ascii="Arial" w:hAnsi="Arial" w:cs="Arial"/>
          <w:b/>
          <w:bCs/>
        </w:rPr>
        <w:t xml:space="preserve">. </w:t>
      </w:r>
      <w:r w:rsidRPr="00521E03">
        <w:rPr>
          <w:rFonts w:ascii="Arial" w:hAnsi="Arial" w:cs="Arial"/>
          <w:b/>
          <w:bCs/>
        </w:rPr>
        <w:t xml:space="preserve">Co-expression of </w:t>
      </w:r>
      <w:r>
        <w:rPr>
          <w:rFonts w:ascii="Arial" w:hAnsi="Arial" w:cs="Arial"/>
          <w:b/>
          <w:bCs/>
        </w:rPr>
        <w:t>brain cell</w:t>
      </w:r>
      <w:r w:rsidRPr="00521E03">
        <w:rPr>
          <w:rFonts w:ascii="Arial" w:hAnsi="Arial" w:cs="Arial"/>
          <w:b/>
          <w:bCs/>
        </w:rPr>
        <w:t xml:space="preserve"> marker</w:t>
      </w:r>
      <w:r>
        <w:rPr>
          <w:rFonts w:ascii="Arial" w:hAnsi="Arial" w:cs="Arial"/>
          <w:b/>
          <w:bCs/>
        </w:rPr>
        <w:t>s</w:t>
      </w:r>
      <w:r w:rsidRPr="00521E03">
        <w:rPr>
          <w:rFonts w:ascii="Arial" w:hAnsi="Arial" w:cs="Arial"/>
          <w:b/>
          <w:bCs/>
        </w:rPr>
        <w:t xml:space="preserve"> with </w:t>
      </w:r>
      <w:r>
        <w:rPr>
          <w:rFonts w:ascii="Arial" w:hAnsi="Arial" w:cs="Arial"/>
          <w:b/>
          <w:bCs/>
        </w:rPr>
        <w:t>MT-ND1</w:t>
      </w:r>
      <w:r w:rsidRPr="00BB4D66">
        <w:rPr>
          <w:rFonts w:ascii="Arial" w:hAnsi="Arial" w:cs="Arial"/>
          <w:b/>
          <w:bCs/>
        </w:rPr>
        <w:t xml:space="preserve"> </w:t>
      </w:r>
      <w:r w:rsidRPr="00521E03">
        <w:rPr>
          <w:rFonts w:ascii="Arial" w:hAnsi="Arial" w:cs="Arial"/>
          <w:b/>
          <w:bCs/>
        </w:rPr>
        <w:t xml:space="preserve">in </w:t>
      </w:r>
      <w:r>
        <w:rPr>
          <w:rFonts w:ascii="Arial" w:hAnsi="Arial" w:cs="Arial"/>
          <w:b/>
          <w:bCs/>
        </w:rPr>
        <w:t>AD</w:t>
      </w:r>
      <w:r w:rsidRPr="00521E03">
        <w:rPr>
          <w:rFonts w:ascii="Arial" w:hAnsi="Arial" w:cs="Arial"/>
          <w:b/>
          <w:bCs/>
        </w:rPr>
        <w:t xml:space="preserve"> brain</w:t>
      </w:r>
      <w:r>
        <w:rPr>
          <w:rFonts w:ascii="Arial" w:hAnsi="Arial" w:cs="Arial"/>
          <w:b/>
          <w:bCs/>
        </w:rPr>
        <w:t>s.</w:t>
      </w:r>
    </w:p>
    <w:p w14:paraId="32418417" w14:textId="77777777" w:rsidR="008439A3" w:rsidRDefault="008439A3">
      <w:pPr>
        <w:rPr>
          <w:sz w:val="36"/>
        </w:rPr>
      </w:pPr>
    </w:p>
    <w:p w14:paraId="2C09E5E1" w14:textId="77777777" w:rsidR="008439A3" w:rsidRDefault="008439A3">
      <w:pPr>
        <w:rPr>
          <w:sz w:val="36"/>
        </w:rPr>
      </w:pPr>
    </w:p>
    <w:p w14:paraId="1FC8AC31" w14:textId="77777777" w:rsidR="008439A3" w:rsidRDefault="008439A3">
      <w:pPr>
        <w:rPr>
          <w:sz w:val="36"/>
        </w:rPr>
      </w:pPr>
      <w:r>
        <w:rPr>
          <w:sz w:val="36"/>
        </w:rPr>
        <w:br w:type="page"/>
      </w:r>
    </w:p>
    <w:p w14:paraId="63FCA8E9" w14:textId="7A5C68CD" w:rsidR="008439A3" w:rsidRDefault="008439A3" w:rsidP="008439A3">
      <w:pPr>
        <w:jc w:val="center"/>
        <w:rPr>
          <w:sz w:val="36"/>
        </w:rPr>
      </w:pPr>
      <w:r w:rsidRPr="008439A3">
        <w:rPr>
          <w:sz w:val="36"/>
        </w:rPr>
        <w:lastRenderedPageBreak/>
        <w:t>Figure S1</w:t>
      </w:r>
      <w:r>
        <w:rPr>
          <w:sz w:val="36"/>
        </w:rPr>
        <w:t>3</w:t>
      </w:r>
    </w:p>
    <w:p w14:paraId="78AB0CA8" w14:textId="77777777" w:rsidR="008439A3" w:rsidRDefault="008439A3">
      <w:pPr>
        <w:rPr>
          <w:sz w:val="36"/>
        </w:rPr>
      </w:pPr>
      <w:r>
        <w:rPr>
          <w:noProof/>
          <w:sz w:val="36"/>
        </w:rPr>
        <w:drawing>
          <wp:inline distT="0" distB="0" distL="0" distR="0" wp14:anchorId="58A6B918" wp14:editId="198B2DE7">
            <wp:extent cx="5943600" cy="5085715"/>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085715"/>
                    </a:xfrm>
                    <a:prstGeom prst="rect">
                      <a:avLst/>
                    </a:prstGeom>
                  </pic:spPr>
                </pic:pic>
              </a:graphicData>
            </a:graphic>
          </wp:inline>
        </w:drawing>
      </w:r>
    </w:p>
    <w:p w14:paraId="109562D3" w14:textId="006FDEF2" w:rsidR="00976CC5" w:rsidRDefault="00976CC5" w:rsidP="00976CC5">
      <w:pPr>
        <w:rPr>
          <w:rFonts w:ascii="Arial" w:hAnsi="Arial" w:cs="Arial"/>
          <w:b/>
          <w:bCs/>
        </w:rPr>
      </w:pPr>
      <w:r w:rsidRPr="000C0F22">
        <w:rPr>
          <w:rFonts w:ascii="Arial" w:hAnsi="Arial" w:cs="Arial"/>
          <w:b/>
          <w:bCs/>
        </w:rPr>
        <w:t>Figure S1</w:t>
      </w:r>
      <w:r>
        <w:rPr>
          <w:rFonts w:ascii="Arial" w:hAnsi="Arial" w:cs="Arial"/>
          <w:b/>
          <w:bCs/>
        </w:rPr>
        <w:t>3</w:t>
      </w:r>
      <w:r w:rsidRPr="000C0F22">
        <w:rPr>
          <w:rFonts w:ascii="Arial" w:hAnsi="Arial" w:cs="Arial"/>
          <w:b/>
          <w:bCs/>
        </w:rPr>
        <w:t xml:space="preserve">. Heatmap of the correlation coefficients between MT-ND1 </w:t>
      </w:r>
      <w:r>
        <w:rPr>
          <w:rFonts w:ascii="Arial" w:hAnsi="Arial" w:cs="Arial"/>
          <w:b/>
          <w:bCs/>
        </w:rPr>
        <w:t xml:space="preserve">and genes in </w:t>
      </w:r>
      <w:r w:rsidRPr="000C0F22">
        <w:rPr>
          <w:rFonts w:ascii="Arial" w:hAnsi="Arial" w:cs="Arial"/>
          <w:b/>
          <w:bCs/>
        </w:rPr>
        <w:t xml:space="preserve">Notch </w:t>
      </w:r>
      <w:r>
        <w:rPr>
          <w:rFonts w:ascii="Arial" w:hAnsi="Arial" w:cs="Arial"/>
          <w:b/>
          <w:bCs/>
        </w:rPr>
        <w:t>s</w:t>
      </w:r>
      <w:r w:rsidRPr="000C0F22">
        <w:rPr>
          <w:rFonts w:ascii="Arial" w:hAnsi="Arial" w:cs="Arial"/>
          <w:b/>
          <w:bCs/>
        </w:rPr>
        <w:t xml:space="preserve">ignaling </w:t>
      </w:r>
      <w:r>
        <w:rPr>
          <w:rFonts w:ascii="Arial" w:hAnsi="Arial" w:cs="Arial"/>
          <w:b/>
          <w:bCs/>
        </w:rPr>
        <w:t>p</w:t>
      </w:r>
      <w:r w:rsidRPr="000C0F22">
        <w:rPr>
          <w:rFonts w:ascii="Arial" w:hAnsi="Arial" w:cs="Arial"/>
          <w:b/>
          <w:bCs/>
        </w:rPr>
        <w:t xml:space="preserve">athway in </w:t>
      </w:r>
      <w:r>
        <w:rPr>
          <w:rFonts w:ascii="Arial" w:hAnsi="Arial" w:cs="Arial"/>
          <w:b/>
          <w:bCs/>
        </w:rPr>
        <w:t xml:space="preserve">cognitively normal and </w:t>
      </w:r>
      <w:r w:rsidRPr="000C0F22">
        <w:rPr>
          <w:rFonts w:ascii="Arial" w:hAnsi="Arial" w:cs="Arial"/>
          <w:b/>
          <w:bCs/>
        </w:rPr>
        <w:t>AD brain</w:t>
      </w:r>
      <w:r>
        <w:rPr>
          <w:rFonts w:ascii="Arial" w:hAnsi="Arial" w:cs="Arial"/>
          <w:b/>
          <w:bCs/>
        </w:rPr>
        <w:t>s</w:t>
      </w:r>
      <w:r w:rsidRPr="000C0F22">
        <w:rPr>
          <w:rFonts w:ascii="Arial" w:hAnsi="Arial" w:cs="Arial"/>
          <w:b/>
          <w:bCs/>
        </w:rPr>
        <w:t>.</w:t>
      </w:r>
    </w:p>
    <w:p w14:paraId="1D490EDB" w14:textId="4DFCEBD4" w:rsidR="008439A3" w:rsidRDefault="008439A3">
      <w:pPr>
        <w:rPr>
          <w:sz w:val="36"/>
        </w:rPr>
      </w:pPr>
    </w:p>
    <w:p w14:paraId="4E2E9AD3" w14:textId="77777777" w:rsidR="00976CC5" w:rsidRDefault="00976CC5">
      <w:pPr>
        <w:rPr>
          <w:sz w:val="36"/>
        </w:rPr>
      </w:pPr>
      <w:r>
        <w:rPr>
          <w:sz w:val="36"/>
        </w:rPr>
        <w:br w:type="page"/>
      </w:r>
    </w:p>
    <w:p w14:paraId="1F916F7A" w14:textId="5EC888A2" w:rsidR="003E07AC" w:rsidRPr="004108F8" w:rsidRDefault="003E07AC">
      <w:pPr>
        <w:rPr>
          <w:sz w:val="36"/>
        </w:rPr>
      </w:pPr>
      <w:r w:rsidRPr="004108F8">
        <w:rPr>
          <w:sz w:val="36"/>
        </w:rPr>
        <w:lastRenderedPageBreak/>
        <w:t>References:</w:t>
      </w:r>
    </w:p>
    <w:p w14:paraId="4BC35371" w14:textId="77777777" w:rsidR="004108F8" w:rsidRDefault="004108F8"/>
    <w:p w14:paraId="72AC4800" w14:textId="77777777" w:rsidR="003E07AC" w:rsidRPr="003E07AC" w:rsidRDefault="003E07AC" w:rsidP="003E07AC">
      <w:pPr>
        <w:pStyle w:val="EndNoteBibliography"/>
        <w:rPr>
          <w:noProof/>
        </w:rPr>
      </w:pPr>
      <w:r>
        <w:fldChar w:fldCharType="begin"/>
      </w:r>
      <w:r>
        <w:instrText xml:space="preserve"> ADDIN EN.REFLIST </w:instrText>
      </w:r>
      <w:r>
        <w:fldChar w:fldCharType="separate"/>
      </w:r>
      <w:r w:rsidRPr="003E07AC">
        <w:rPr>
          <w:noProof/>
        </w:rPr>
        <w:t xml:space="preserve">Allen, M., et al. (2018). "Conserved brain myelination networks are altered in Alzheimer's and other neurodegenerative diseases." </w:t>
      </w:r>
      <w:r w:rsidRPr="003E07AC">
        <w:rPr>
          <w:noProof/>
          <w:u w:val="single"/>
        </w:rPr>
        <w:t>Alzheimer's &amp; Dementia</w:t>
      </w:r>
      <w:r w:rsidRPr="003E07AC">
        <w:rPr>
          <w:noProof/>
        </w:rPr>
        <w:t xml:space="preserve"> </w:t>
      </w:r>
      <w:r w:rsidRPr="003E07AC">
        <w:rPr>
          <w:b/>
          <w:noProof/>
        </w:rPr>
        <w:t>14</w:t>
      </w:r>
      <w:r w:rsidRPr="003E07AC">
        <w:rPr>
          <w:noProof/>
        </w:rPr>
        <w:t>(3): 352-366.</w:t>
      </w:r>
    </w:p>
    <w:p w14:paraId="2141BD6C" w14:textId="77777777" w:rsidR="003E07AC" w:rsidRPr="003E07AC" w:rsidRDefault="003E07AC" w:rsidP="003E07AC">
      <w:pPr>
        <w:pStyle w:val="EndNoteBibliography"/>
        <w:ind w:left="720" w:hanging="720"/>
        <w:rPr>
          <w:noProof/>
        </w:rPr>
      </w:pPr>
      <w:r w:rsidRPr="003E07AC">
        <w:rPr>
          <w:noProof/>
        </w:rPr>
        <w:tab/>
        <w:t>Abstract Introduction Comparative transcriptome analyses in Alzheimer's disease (AD) and other neurodegenerative proteinopathies can uncover both shared and distinct disease pathways. Methods We analyzed 940 brain transcriptomes including patients with AD, progressive supranuclear palsy (PSP; a primary tauopathy), and control subjects. Results We identified transcriptional coexpression networks implicated in myelination, which were lower in PSP temporal cortex (TCX) compared with AD. Some of these associations were retained even after adjustments for brain cell population changes. These TCX myelination network structures were preserved in cerebellum but they were not differentially expressed in cerebellum between AD and PSP. Myelination networks were downregulated in both AD and PSP, when compared with control TCX samples. Discussion Downregulation of myelination networks may underlie both PSP and AD pathophysiology, but may be more pronounced in PSP. These data also highlight conservation of transcriptional networks across brain regions and the influence of cell type changes on these networks.</w:t>
      </w:r>
    </w:p>
    <w:p w14:paraId="668C5476" w14:textId="77777777" w:rsidR="003E07AC" w:rsidRPr="003E07AC" w:rsidRDefault="003E07AC" w:rsidP="003E07AC">
      <w:pPr>
        <w:pStyle w:val="EndNoteBibliography"/>
        <w:rPr>
          <w:noProof/>
        </w:rPr>
      </w:pPr>
    </w:p>
    <w:p w14:paraId="47F1C9CE" w14:textId="77777777" w:rsidR="003E07AC" w:rsidRPr="003E07AC" w:rsidRDefault="003E07AC" w:rsidP="003E07AC">
      <w:pPr>
        <w:pStyle w:val="EndNoteBibliography"/>
        <w:rPr>
          <w:noProof/>
        </w:rPr>
      </w:pPr>
      <w:r w:rsidRPr="003E07AC">
        <w:rPr>
          <w:noProof/>
        </w:rPr>
        <w:t xml:space="preserve">McKhann, G., et al. (1984). "Clinical diagnosis of Alzheimer's disease: report of the NINCDS-ADRDA Work Group under the auspices of Department of Health and Human Services Task Force on Alzheimer's Disease." </w:t>
      </w:r>
      <w:r w:rsidRPr="003E07AC">
        <w:rPr>
          <w:noProof/>
          <w:u w:val="single"/>
        </w:rPr>
        <w:t>Neurology</w:t>
      </w:r>
      <w:r w:rsidRPr="003E07AC">
        <w:rPr>
          <w:noProof/>
        </w:rPr>
        <w:t xml:space="preserve"> </w:t>
      </w:r>
      <w:r w:rsidRPr="003E07AC">
        <w:rPr>
          <w:b/>
          <w:noProof/>
        </w:rPr>
        <w:t>34</w:t>
      </w:r>
      <w:r w:rsidRPr="003E07AC">
        <w:rPr>
          <w:noProof/>
        </w:rPr>
        <w:t>(7): 939-944.</w:t>
      </w:r>
    </w:p>
    <w:p w14:paraId="143F66FE" w14:textId="77777777" w:rsidR="003E07AC" w:rsidRPr="003E07AC" w:rsidRDefault="003E07AC" w:rsidP="003E07AC">
      <w:pPr>
        <w:pStyle w:val="EndNoteBibliography"/>
        <w:ind w:left="720" w:hanging="720"/>
        <w:rPr>
          <w:noProof/>
        </w:rPr>
      </w:pPr>
      <w:r w:rsidRPr="003E07AC">
        <w:rPr>
          <w:noProof/>
        </w:rPr>
        <w:tab/>
        <w:t>Clinical criteria for the diagnosis of Alzheimer's disease include insidious onset and progressive impairment of memory and other cognitive functions. There are no motor, sensory, or coordination deficits early in the disease. The diagnosis cannot be determined by laboratory tests. These tests are important primarily in identifying other possible causes of dementia that must be excluded before the diagnosis of Alzheimer's disease may be made with confidence. Neuropsychological tests provide confirmatory evidence of the diagnosis of dementia and help to assess the course and response to therapy. The criteria proposed are intended to serve as a guide for the diagnosis of probable, possible, and definite Alzheimer's disease; these criteria will be revised as more definitive information become available.</w:t>
      </w:r>
    </w:p>
    <w:p w14:paraId="57AF35BC" w14:textId="77777777" w:rsidR="003E07AC" w:rsidRPr="003E07AC" w:rsidRDefault="003E07AC" w:rsidP="003E07AC">
      <w:pPr>
        <w:pStyle w:val="EndNoteBibliography"/>
        <w:rPr>
          <w:noProof/>
        </w:rPr>
      </w:pPr>
    </w:p>
    <w:p w14:paraId="4EC26D8C" w14:textId="77777777" w:rsidR="003E07AC" w:rsidRPr="003E07AC" w:rsidRDefault="003E07AC" w:rsidP="003E07AC">
      <w:pPr>
        <w:pStyle w:val="EndNoteBibliography"/>
        <w:rPr>
          <w:noProof/>
        </w:rPr>
      </w:pPr>
      <w:r w:rsidRPr="003E07AC">
        <w:rPr>
          <w:noProof/>
        </w:rPr>
        <w:t xml:space="preserve">Schneider, J. A., et al. (2007). "Mixed brain pathologies account for most dementia cases in community-dwelling older persons." </w:t>
      </w:r>
      <w:r w:rsidRPr="003E07AC">
        <w:rPr>
          <w:noProof/>
          <w:u w:val="single"/>
        </w:rPr>
        <w:t>Neurology</w:t>
      </w:r>
      <w:r w:rsidRPr="003E07AC">
        <w:rPr>
          <w:noProof/>
        </w:rPr>
        <w:t xml:space="preserve"> </w:t>
      </w:r>
      <w:r w:rsidRPr="003E07AC">
        <w:rPr>
          <w:b/>
          <w:noProof/>
        </w:rPr>
        <w:t>69</w:t>
      </w:r>
      <w:r w:rsidRPr="003E07AC">
        <w:rPr>
          <w:noProof/>
        </w:rPr>
        <w:t>(24): 2197-2204.</w:t>
      </w:r>
    </w:p>
    <w:p w14:paraId="28AE135A" w14:textId="77777777" w:rsidR="003E07AC" w:rsidRPr="003E07AC" w:rsidRDefault="003E07AC" w:rsidP="003E07AC">
      <w:pPr>
        <w:pStyle w:val="EndNoteBibliography"/>
        <w:ind w:left="720" w:hanging="720"/>
        <w:rPr>
          <w:noProof/>
        </w:rPr>
      </w:pPr>
      <w:r w:rsidRPr="003E07AC">
        <w:rPr>
          <w:noProof/>
        </w:rPr>
        <w:tab/>
        <w:t xml:space="preserve">Objective: To examine the spectrum of neuropathology in persons from the Rush Memory and Aging Project, a longitudinal community-based clinical-pathologic cohort study. Methods: The study includes older persons who agreed to annual clinical evaluation and brain donation. We examined the neuropathologic diagnoses, including Alzheimer disease (AD) (NIA-Reagan Criteria), cerebral infarctions, and Parkinson disease/Lewy body disease (PD/LBD), in the first 141 autopsies. We calculated the frequency of each diagnosis alone and mixed diagnoses. We used logistic regression to compare one to multiple diagnoses on the odds of dementia. Results: Twenty persons </w:t>
      </w:r>
      <w:r w:rsidRPr="003E07AC">
        <w:rPr>
          <w:noProof/>
        </w:rPr>
        <w:lastRenderedPageBreak/>
        <w:t>(14.2%) had no acute or chronic brain abnormalities. The most common chronic neuropathologic diagnoses were AD (n = 80), cerebral infarctions (n = 52), and PD/LBD (n = 24). In persons with dementia (n = 50), 38.0% (n = 19) had AD and infarcts, 30.0% (n = 15) had pure AD, and 12% each had vascular dementia (n = 6) and AD with PD/LBD (n = 6). In those without dementia (n = 91), 28.6% (n = 26) had no chronic diagnostic abnormalities, 24.2% (n = 22) had pure AD, and 17.6% (n = 16) had infarctions. In persons with dementia, over 50% had multiple diagnoses (AD, PD/LBD, or infarcts), whereas, in persons without dementia, over 80% had one or no diagnosis. After accounting for age, persons with multiple diagnoses were almost three times (OR = 2.8; 95% CI = 1.2, 6.7) more likely to exhibit dementia compared to those with one pathologic diagnosis. Conclusion: The majority of community-dwelling older persons have brain pathology. Those with dementia most often have multiple brain pathologies, which greatly increases the odds of dementia.</w:t>
      </w:r>
    </w:p>
    <w:p w14:paraId="7A872C57" w14:textId="77777777" w:rsidR="003E07AC" w:rsidRPr="003E07AC" w:rsidRDefault="003E07AC" w:rsidP="003E07AC">
      <w:pPr>
        <w:pStyle w:val="EndNoteBibliography"/>
        <w:rPr>
          <w:noProof/>
        </w:rPr>
      </w:pPr>
    </w:p>
    <w:p w14:paraId="5D12550F" w14:textId="39292542" w:rsidR="005279D6" w:rsidRDefault="003E07AC">
      <w:r>
        <w:fldChar w:fldCharType="end"/>
      </w:r>
    </w:p>
    <w:sectPr w:rsidR="005279D6" w:rsidSect="00045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E7486"/>
    <w:multiLevelType w:val="hybridMultilevel"/>
    <w:tmpl w:val="BBCE5CB8"/>
    <w:lvl w:ilvl="0" w:tplc="87EE5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9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nnotat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dxxfvdf2aesceet5txfz2yfs9zfww5p9v5&quot;&gt;My EndNote 2021&lt;record-ids&gt;&lt;item&gt;155&lt;/item&gt;&lt;item&gt;156&lt;/item&gt;&lt;item&gt;157&lt;/item&gt;&lt;/record-ids&gt;&lt;/item&gt;&lt;/Libraries&gt;"/>
  </w:docVars>
  <w:rsids>
    <w:rsidRoot w:val="00C31EFF"/>
    <w:rsid w:val="00000FB7"/>
    <w:rsid w:val="00020AB5"/>
    <w:rsid w:val="00032EE5"/>
    <w:rsid w:val="00045267"/>
    <w:rsid w:val="00053ADE"/>
    <w:rsid w:val="0006139B"/>
    <w:rsid w:val="000714A5"/>
    <w:rsid w:val="00077F31"/>
    <w:rsid w:val="000871E5"/>
    <w:rsid w:val="000A1562"/>
    <w:rsid w:val="000C0F22"/>
    <w:rsid w:val="000D2F91"/>
    <w:rsid w:val="000D6D41"/>
    <w:rsid w:val="000E52D7"/>
    <w:rsid w:val="000F1D95"/>
    <w:rsid w:val="0010126E"/>
    <w:rsid w:val="00103256"/>
    <w:rsid w:val="0010644C"/>
    <w:rsid w:val="00116F75"/>
    <w:rsid w:val="001429F4"/>
    <w:rsid w:val="00143753"/>
    <w:rsid w:val="00150134"/>
    <w:rsid w:val="00151A9D"/>
    <w:rsid w:val="0015722B"/>
    <w:rsid w:val="001578A1"/>
    <w:rsid w:val="00157D40"/>
    <w:rsid w:val="001601E5"/>
    <w:rsid w:val="001824EB"/>
    <w:rsid w:val="0018710A"/>
    <w:rsid w:val="001A4F7E"/>
    <w:rsid w:val="001D2B8E"/>
    <w:rsid w:val="001D4F77"/>
    <w:rsid w:val="001D5B9D"/>
    <w:rsid w:val="001E0E6A"/>
    <w:rsid w:val="001E1D14"/>
    <w:rsid w:val="001E3774"/>
    <w:rsid w:val="001F6B40"/>
    <w:rsid w:val="00215192"/>
    <w:rsid w:val="00240AE9"/>
    <w:rsid w:val="002414F8"/>
    <w:rsid w:val="0024173A"/>
    <w:rsid w:val="002541C6"/>
    <w:rsid w:val="0026471E"/>
    <w:rsid w:val="00282459"/>
    <w:rsid w:val="00283037"/>
    <w:rsid w:val="00297C6D"/>
    <w:rsid w:val="002A00B5"/>
    <w:rsid w:val="002A228A"/>
    <w:rsid w:val="002A5BEE"/>
    <w:rsid w:val="002C0050"/>
    <w:rsid w:val="002C0BA2"/>
    <w:rsid w:val="002C6EC0"/>
    <w:rsid w:val="002E28B1"/>
    <w:rsid w:val="002F25B9"/>
    <w:rsid w:val="00302F09"/>
    <w:rsid w:val="0030348B"/>
    <w:rsid w:val="003351CC"/>
    <w:rsid w:val="0033774E"/>
    <w:rsid w:val="00342690"/>
    <w:rsid w:val="0035169D"/>
    <w:rsid w:val="00353B56"/>
    <w:rsid w:val="00363B4E"/>
    <w:rsid w:val="003647BB"/>
    <w:rsid w:val="00366421"/>
    <w:rsid w:val="0036753E"/>
    <w:rsid w:val="00367CB0"/>
    <w:rsid w:val="0037339A"/>
    <w:rsid w:val="00381174"/>
    <w:rsid w:val="0038134C"/>
    <w:rsid w:val="00382327"/>
    <w:rsid w:val="003867E8"/>
    <w:rsid w:val="00387DBC"/>
    <w:rsid w:val="0039572A"/>
    <w:rsid w:val="003B6897"/>
    <w:rsid w:val="003D1777"/>
    <w:rsid w:val="003E07AC"/>
    <w:rsid w:val="003F1488"/>
    <w:rsid w:val="003F1F83"/>
    <w:rsid w:val="003F6D15"/>
    <w:rsid w:val="00405EDF"/>
    <w:rsid w:val="004108F8"/>
    <w:rsid w:val="004133B2"/>
    <w:rsid w:val="00420B35"/>
    <w:rsid w:val="00422AA2"/>
    <w:rsid w:val="00423915"/>
    <w:rsid w:val="00430C0E"/>
    <w:rsid w:val="00430D8C"/>
    <w:rsid w:val="00434484"/>
    <w:rsid w:val="00437737"/>
    <w:rsid w:val="00481628"/>
    <w:rsid w:val="00482F59"/>
    <w:rsid w:val="00492DD0"/>
    <w:rsid w:val="00494489"/>
    <w:rsid w:val="00495193"/>
    <w:rsid w:val="004A18F8"/>
    <w:rsid w:val="004A274A"/>
    <w:rsid w:val="004B1C4C"/>
    <w:rsid w:val="004C4C8B"/>
    <w:rsid w:val="004D0563"/>
    <w:rsid w:val="004D1962"/>
    <w:rsid w:val="004D4BCC"/>
    <w:rsid w:val="004D62F7"/>
    <w:rsid w:val="004E1001"/>
    <w:rsid w:val="004E7396"/>
    <w:rsid w:val="004F6249"/>
    <w:rsid w:val="00501EA6"/>
    <w:rsid w:val="00521E03"/>
    <w:rsid w:val="005279D6"/>
    <w:rsid w:val="005344A4"/>
    <w:rsid w:val="00535D36"/>
    <w:rsid w:val="00537EF5"/>
    <w:rsid w:val="00541496"/>
    <w:rsid w:val="00543C10"/>
    <w:rsid w:val="00545FD1"/>
    <w:rsid w:val="00552028"/>
    <w:rsid w:val="005666E0"/>
    <w:rsid w:val="00585424"/>
    <w:rsid w:val="005856F3"/>
    <w:rsid w:val="005A0790"/>
    <w:rsid w:val="005A1793"/>
    <w:rsid w:val="005A678A"/>
    <w:rsid w:val="005B1970"/>
    <w:rsid w:val="005B1C10"/>
    <w:rsid w:val="005B50FA"/>
    <w:rsid w:val="005C3335"/>
    <w:rsid w:val="005C3527"/>
    <w:rsid w:val="005C4382"/>
    <w:rsid w:val="005C4B05"/>
    <w:rsid w:val="005E219D"/>
    <w:rsid w:val="005E6EDC"/>
    <w:rsid w:val="005E79C3"/>
    <w:rsid w:val="005F2663"/>
    <w:rsid w:val="005F50C9"/>
    <w:rsid w:val="00602619"/>
    <w:rsid w:val="00605555"/>
    <w:rsid w:val="006134E0"/>
    <w:rsid w:val="00621044"/>
    <w:rsid w:val="00621293"/>
    <w:rsid w:val="006215D7"/>
    <w:rsid w:val="00625198"/>
    <w:rsid w:val="006330F0"/>
    <w:rsid w:val="00634862"/>
    <w:rsid w:val="00642D1D"/>
    <w:rsid w:val="00652929"/>
    <w:rsid w:val="006609E0"/>
    <w:rsid w:val="00666A36"/>
    <w:rsid w:val="00670BE7"/>
    <w:rsid w:val="00681CE0"/>
    <w:rsid w:val="00681D30"/>
    <w:rsid w:val="0068748C"/>
    <w:rsid w:val="00691DAE"/>
    <w:rsid w:val="006A759F"/>
    <w:rsid w:val="006B3277"/>
    <w:rsid w:val="006B5423"/>
    <w:rsid w:val="006C4C01"/>
    <w:rsid w:val="006C6456"/>
    <w:rsid w:val="006D731F"/>
    <w:rsid w:val="00713B75"/>
    <w:rsid w:val="00720D6F"/>
    <w:rsid w:val="00723067"/>
    <w:rsid w:val="00723D99"/>
    <w:rsid w:val="00747BF8"/>
    <w:rsid w:val="0077076F"/>
    <w:rsid w:val="007847B1"/>
    <w:rsid w:val="007930A8"/>
    <w:rsid w:val="00796E15"/>
    <w:rsid w:val="007A74FA"/>
    <w:rsid w:val="007B37ED"/>
    <w:rsid w:val="007C4990"/>
    <w:rsid w:val="007D1C29"/>
    <w:rsid w:val="007D3209"/>
    <w:rsid w:val="007E66F1"/>
    <w:rsid w:val="007F0A6C"/>
    <w:rsid w:val="007F28CB"/>
    <w:rsid w:val="00802F84"/>
    <w:rsid w:val="0080792A"/>
    <w:rsid w:val="00807CDC"/>
    <w:rsid w:val="00810E39"/>
    <w:rsid w:val="00813515"/>
    <w:rsid w:val="00816D7F"/>
    <w:rsid w:val="00817FB5"/>
    <w:rsid w:val="00831016"/>
    <w:rsid w:val="00834562"/>
    <w:rsid w:val="00842A7C"/>
    <w:rsid w:val="008431FD"/>
    <w:rsid w:val="008439A3"/>
    <w:rsid w:val="0084793E"/>
    <w:rsid w:val="00854E44"/>
    <w:rsid w:val="00856EAA"/>
    <w:rsid w:val="0089383A"/>
    <w:rsid w:val="008A14DE"/>
    <w:rsid w:val="008A14E9"/>
    <w:rsid w:val="008A1E44"/>
    <w:rsid w:val="008A5082"/>
    <w:rsid w:val="008A7486"/>
    <w:rsid w:val="008B2C94"/>
    <w:rsid w:val="008C0AE6"/>
    <w:rsid w:val="008C18BF"/>
    <w:rsid w:val="008C6908"/>
    <w:rsid w:val="008D3D43"/>
    <w:rsid w:val="008D55D2"/>
    <w:rsid w:val="008E1D94"/>
    <w:rsid w:val="008E251A"/>
    <w:rsid w:val="008E6681"/>
    <w:rsid w:val="008E6F95"/>
    <w:rsid w:val="0090428C"/>
    <w:rsid w:val="00911ED9"/>
    <w:rsid w:val="00914F84"/>
    <w:rsid w:val="00916EF5"/>
    <w:rsid w:val="0092443A"/>
    <w:rsid w:val="00924529"/>
    <w:rsid w:val="00931769"/>
    <w:rsid w:val="00934690"/>
    <w:rsid w:val="00941337"/>
    <w:rsid w:val="00943D05"/>
    <w:rsid w:val="00974150"/>
    <w:rsid w:val="0097447D"/>
    <w:rsid w:val="00976CC5"/>
    <w:rsid w:val="00991218"/>
    <w:rsid w:val="009919B3"/>
    <w:rsid w:val="009C14F2"/>
    <w:rsid w:val="009C7C85"/>
    <w:rsid w:val="009E06FA"/>
    <w:rsid w:val="009E098E"/>
    <w:rsid w:val="009E3F78"/>
    <w:rsid w:val="009E55C1"/>
    <w:rsid w:val="009E58A9"/>
    <w:rsid w:val="009F3BC3"/>
    <w:rsid w:val="00A0060E"/>
    <w:rsid w:val="00A37EFA"/>
    <w:rsid w:val="00A40C23"/>
    <w:rsid w:val="00A50B80"/>
    <w:rsid w:val="00A52F68"/>
    <w:rsid w:val="00A720AF"/>
    <w:rsid w:val="00A82046"/>
    <w:rsid w:val="00A8354E"/>
    <w:rsid w:val="00A85D14"/>
    <w:rsid w:val="00A900B5"/>
    <w:rsid w:val="00A930F0"/>
    <w:rsid w:val="00AA47F5"/>
    <w:rsid w:val="00AB4CFB"/>
    <w:rsid w:val="00AC3F4F"/>
    <w:rsid w:val="00AF3094"/>
    <w:rsid w:val="00B00016"/>
    <w:rsid w:val="00B0169B"/>
    <w:rsid w:val="00B06040"/>
    <w:rsid w:val="00B15BE3"/>
    <w:rsid w:val="00B163B0"/>
    <w:rsid w:val="00B2655B"/>
    <w:rsid w:val="00B6770B"/>
    <w:rsid w:val="00B75BC4"/>
    <w:rsid w:val="00B769DA"/>
    <w:rsid w:val="00B811F8"/>
    <w:rsid w:val="00B905EC"/>
    <w:rsid w:val="00B934B0"/>
    <w:rsid w:val="00BA2DF0"/>
    <w:rsid w:val="00BA4D78"/>
    <w:rsid w:val="00BB0675"/>
    <w:rsid w:val="00BB4D66"/>
    <w:rsid w:val="00BE0185"/>
    <w:rsid w:val="00BE1EC2"/>
    <w:rsid w:val="00BF4408"/>
    <w:rsid w:val="00C07F9D"/>
    <w:rsid w:val="00C07FD1"/>
    <w:rsid w:val="00C22105"/>
    <w:rsid w:val="00C242C6"/>
    <w:rsid w:val="00C31EFF"/>
    <w:rsid w:val="00C34B95"/>
    <w:rsid w:val="00C4082B"/>
    <w:rsid w:val="00C42DDF"/>
    <w:rsid w:val="00C63126"/>
    <w:rsid w:val="00C643E4"/>
    <w:rsid w:val="00C73409"/>
    <w:rsid w:val="00C74771"/>
    <w:rsid w:val="00C847D2"/>
    <w:rsid w:val="00C871A0"/>
    <w:rsid w:val="00CA4E49"/>
    <w:rsid w:val="00CA55FE"/>
    <w:rsid w:val="00CD0401"/>
    <w:rsid w:val="00CD6F12"/>
    <w:rsid w:val="00CE0E66"/>
    <w:rsid w:val="00D012E9"/>
    <w:rsid w:val="00D05F87"/>
    <w:rsid w:val="00D15507"/>
    <w:rsid w:val="00D24329"/>
    <w:rsid w:val="00D419FF"/>
    <w:rsid w:val="00D43AFB"/>
    <w:rsid w:val="00D44008"/>
    <w:rsid w:val="00D443E1"/>
    <w:rsid w:val="00D47949"/>
    <w:rsid w:val="00D70455"/>
    <w:rsid w:val="00D70A2C"/>
    <w:rsid w:val="00D71575"/>
    <w:rsid w:val="00D81391"/>
    <w:rsid w:val="00D9733C"/>
    <w:rsid w:val="00DA1C65"/>
    <w:rsid w:val="00DA31B0"/>
    <w:rsid w:val="00DA5342"/>
    <w:rsid w:val="00DB7942"/>
    <w:rsid w:val="00DC42AC"/>
    <w:rsid w:val="00DC6D49"/>
    <w:rsid w:val="00DC7099"/>
    <w:rsid w:val="00DE12C8"/>
    <w:rsid w:val="00DE6A7D"/>
    <w:rsid w:val="00DF3961"/>
    <w:rsid w:val="00DF408F"/>
    <w:rsid w:val="00E06889"/>
    <w:rsid w:val="00E1157E"/>
    <w:rsid w:val="00E12603"/>
    <w:rsid w:val="00E204A0"/>
    <w:rsid w:val="00E224F1"/>
    <w:rsid w:val="00E22D1C"/>
    <w:rsid w:val="00E317C9"/>
    <w:rsid w:val="00E3670A"/>
    <w:rsid w:val="00E424AD"/>
    <w:rsid w:val="00E45234"/>
    <w:rsid w:val="00E46060"/>
    <w:rsid w:val="00E5145B"/>
    <w:rsid w:val="00E53BBC"/>
    <w:rsid w:val="00E650F8"/>
    <w:rsid w:val="00E761F9"/>
    <w:rsid w:val="00E91245"/>
    <w:rsid w:val="00E92AF0"/>
    <w:rsid w:val="00E96F74"/>
    <w:rsid w:val="00EA5FE6"/>
    <w:rsid w:val="00EA7336"/>
    <w:rsid w:val="00EB0C7B"/>
    <w:rsid w:val="00EB23FC"/>
    <w:rsid w:val="00EB4C44"/>
    <w:rsid w:val="00EB75D0"/>
    <w:rsid w:val="00EC1AA1"/>
    <w:rsid w:val="00EC4A4D"/>
    <w:rsid w:val="00EC4C1E"/>
    <w:rsid w:val="00EC793F"/>
    <w:rsid w:val="00ED1010"/>
    <w:rsid w:val="00ED169D"/>
    <w:rsid w:val="00ED4CFD"/>
    <w:rsid w:val="00ED51F3"/>
    <w:rsid w:val="00EE5552"/>
    <w:rsid w:val="00EE6947"/>
    <w:rsid w:val="00EE78C7"/>
    <w:rsid w:val="00EE7EC4"/>
    <w:rsid w:val="00EF6B73"/>
    <w:rsid w:val="00F00BB3"/>
    <w:rsid w:val="00F03F17"/>
    <w:rsid w:val="00F1079A"/>
    <w:rsid w:val="00F10F2D"/>
    <w:rsid w:val="00F21239"/>
    <w:rsid w:val="00F273A9"/>
    <w:rsid w:val="00F433F1"/>
    <w:rsid w:val="00F628E5"/>
    <w:rsid w:val="00F62CD3"/>
    <w:rsid w:val="00F64C30"/>
    <w:rsid w:val="00F66B71"/>
    <w:rsid w:val="00F77281"/>
    <w:rsid w:val="00F8425F"/>
    <w:rsid w:val="00F93D39"/>
    <w:rsid w:val="00F95C8A"/>
    <w:rsid w:val="00F97615"/>
    <w:rsid w:val="00F9786E"/>
    <w:rsid w:val="00FA5A87"/>
    <w:rsid w:val="00FB378E"/>
    <w:rsid w:val="00FB5AB8"/>
    <w:rsid w:val="00FC2815"/>
    <w:rsid w:val="00FD4FD6"/>
    <w:rsid w:val="00FF26D5"/>
    <w:rsid w:val="00FF7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DA38"/>
  <w15:chartTrackingRefBased/>
  <w15:docId w15:val="{7971E5F1-C833-9A4F-9118-719DE6DE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5A1793"/>
  </w:style>
  <w:style w:type="paragraph" w:styleId="NormalWeb">
    <w:name w:val="Normal (Web)"/>
    <w:basedOn w:val="Normal"/>
    <w:uiPriority w:val="99"/>
    <w:semiHidden/>
    <w:unhideWhenUsed/>
    <w:rsid w:val="005A179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A1793"/>
    <w:rPr>
      <w:b/>
      <w:bCs/>
    </w:rPr>
  </w:style>
  <w:style w:type="character" w:styleId="Hyperlink">
    <w:name w:val="Hyperlink"/>
    <w:basedOn w:val="DefaultParagraphFont"/>
    <w:uiPriority w:val="99"/>
    <w:semiHidden/>
    <w:unhideWhenUsed/>
    <w:rsid w:val="005A1793"/>
    <w:rPr>
      <w:color w:val="0000FF"/>
      <w:u w:val="single"/>
    </w:rPr>
  </w:style>
  <w:style w:type="table" w:styleId="GridTable1Light">
    <w:name w:val="Grid Table 1 Light"/>
    <w:basedOn w:val="TableNormal"/>
    <w:uiPriority w:val="46"/>
    <w:rsid w:val="005279D6"/>
    <w:rPr>
      <w:rFonts w:ascii="Arial" w:eastAsia="SimSun" w:hAnsi="Arial" w:cs="Arial"/>
      <w:sz w:val="22"/>
      <w:szCs w:val="22"/>
      <w:lang w:val="en"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3E07AC"/>
    <w:pPr>
      <w:jc w:val="center"/>
    </w:pPr>
    <w:rPr>
      <w:rFonts w:ascii="Calibri" w:hAnsi="Calibri"/>
    </w:rPr>
  </w:style>
  <w:style w:type="character" w:customStyle="1" w:styleId="EndNoteBibliographyTitleChar">
    <w:name w:val="EndNote Bibliography Title Char"/>
    <w:basedOn w:val="DefaultParagraphFont"/>
    <w:link w:val="EndNoteBibliographyTitle"/>
    <w:rsid w:val="003E07AC"/>
    <w:rPr>
      <w:rFonts w:ascii="Calibri" w:hAnsi="Calibri"/>
    </w:rPr>
  </w:style>
  <w:style w:type="paragraph" w:customStyle="1" w:styleId="EndNoteBibliography">
    <w:name w:val="EndNote Bibliography"/>
    <w:basedOn w:val="Normal"/>
    <w:link w:val="EndNoteBibliographyChar"/>
    <w:rsid w:val="003E07AC"/>
    <w:rPr>
      <w:rFonts w:ascii="Calibri" w:hAnsi="Calibri"/>
    </w:rPr>
  </w:style>
  <w:style w:type="character" w:customStyle="1" w:styleId="EndNoteBibliographyChar">
    <w:name w:val="EndNote Bibliography Char"/>
    <w:basedOn w:val="DefaultParagraphFont"/>
    <w:link w:val="EndNoteBibliography"/>
    <w:rsid w:val="003E07AC"/>
    <w:rPr>
      <w:rFonts w:ascii="Calibri" w:hAnsi="Calibri"/>
    </w:rPr>
  </w:style>
  <w:style w:type="paragraph" w:styleId="ListParagraph">
    <w:name w:val="List Paragraph"/>
    <w:basedOn w:val="Normal"/>
    <w:uiPriority w:val="34"/>
    <w:qFormat/>
    <w:rsid w:val="003351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2869">
      <w:bodyDiv w:val="1"/>
      <w:marLeft w:val="0"/>
      <w:marRight w:val="0"/>
      <w:marTop w:val="0"/>
      <w:marBottom w:val="0"/>
      <w:divBdr>
        <w:top w:val="none" w:sz="0" w:space="0" w:color="auto"/>
        <w:left w:val="none" w:sz="0" w:space="0" w:color="auto"/>
        <w:bottom w:val="none" w:sz="0" w:space="0" w:color="auto"/>
        <w:right w:val="none" w:sz="0" w:space="0" w:color="auto"/>
      </w:divBdr>
    </w:div>
    <w:div w:id="599534199">
      <w:bodyDiv w:val="1"/>
      <w:marLeft w:val="0"/>
      <w:marRight w:val="0"/>
      <w:marTop w:val="0"/>
      <w:marBottom w:val="0"/>
      <w:divBdr>
        <w:top w:val="none" w:sz="0" w:space="0" w:color="auto"/>
        <w:left w:val="none" w:sz="0" w:space="0" w:color="auto"/>
        <w:bottom w:val="none" w:sz="0" w:space="0" w:color="auto"/>
        <w:right w:val="none" w:sz="0" w:space="0" w:color="auto"/>
      </w:divBdr>
      <w:divsChild>
        <w:div w:id="2134665039">
          <w:marLeft w:val="0"/>
          <w:marRight w:val="0"/>
          <w:marTop w:val="0"/>
          <w:marBottom w:val="0"/>
          <w:divBdr>
            <w:top w:val="none" w:sz="0" w:space="0" w:color="auto"/>
            <w:left w:val="none" w:sz="0" w:space="0" w:color="auto"/>
            <w:bottom w:val="none" w:sz="0" w:space="0" w:color="auto"/>
            <w:right w:val="none" w:sz="0" w:space="0" w:color="auto"/>
          </w:divBdr>
        </w:div>
        <w:div w:id="1523056720">
          <w:marLeft w:val="0"/>
          <w:marRight w:val="0"/>
          <w:marTop w:val="0"/>
          <w:marBottom w:val="0"/>
          <w:divBdr>
            <w:top w:val="none" w:sz="0" w:space="0" w:color="auto"/>
            <w:left w:val="none" w:sz="0" w:space="0" w:color="auto"/>
            <w:bottom w:val="none" w:sz="0" w:space="0" w:color="auto"/>
            <w:right w:val="none" w:sz="0" w:space="0" w:color="auto"/>
          </w:divBdr>
        </w:div>
        <w:div w:id="165021142">
          <w:marLeft w:val="0"/>
          <w:marRight w:val="0"/>
          <w:marTop w:val="0"/>
          <w:marBottom w:val="0"/>
          <w:divBdr>
            <w:top w:val="none" w:sz="0" w:space="0" w:color="auto"/>
            <w:left w:val="none" w:sz="0" w:space="0" w:color="auto"/>
            <w:bottom w:val="none" w:sz="0" w:space="0" w:color="auto"/>
            <w:right w:val="none" w:sz="0" w:space="0" w:color="auto"/>
          </w:divBdr>
        </w:div>
        <w:div w:id="1932810887">
          <w:marLeft w:val="0"/>
          <w:marRight w:val="0"/>
          <w:marTop w:val="0"/>
          <w:marBottom w:val="0"/>
          <w:divBdr>
            <w:top w:val="none" w:sz="0" w:space="0" w:color="auto"/>
            <w:left w:val="none" w:sz="0" w:space="0" w:color="auto"/>
            <w:bottom w:val="none" w:sz="0" w:space="0" w:color="auto"/>
            <w:right w:val="none" w:sz="0" w:space="0" w:color="auto"/>
          </w:divBdr>
        </w:div>
        <w:div w:id="538513909">
          <w:marLeft w:val="0"/>
          <w:marRight w:val="0"/>
          <w:marTop w:val="0"/>
          <w:marBottom w:val="0"/>
          <w:divBdr>
            <w:top w:val="none" w:sz="0" w:space="0" w:color="auto"/>
            <w:left w:val="none" w:sz="0" w:space="0" w:color="auto"/>
            <w:bottom w:val="none" w:sz="0" w:space="0" w:color="auto"/>
            <w:right w:val="none" w:sz="0" w:space="0" w:color="auto"/>
          </w:divBdr>
        </w:div>
        <w:div w:id="1680933956">
          <w:marLeft w:val="0"/>
          <w:marRight w:val="0"/>
          <w:marTop w:val="0"/>
          <w:marBottom w:val="0"/>
          <w:divBdr>
            <w:top w:val="none" w:sz="0" w:space="0" w:color="auto"/>
            <w:left w:val="none" w:sz="0" w:space="0" w:color="auto"/>
            <w:bottom w:val="none" w:sz="0" w:space="0" w:color="auto"/>
            <w:right w:val="none" w:sz="0" w:space="0" w:color="auto"/>
          </w:divBdr>
        </w:div>
      </w:divsChild>
    </w:div>
    <w:div w:id="18936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3B9CB-8D69-2042-A51F-FDD85E3F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1568</Words>
  <Characters>8940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Shang, Yuan - (yshang)</dc:creator>
  <cp:keywords/>
  <dc:description/>
  <cp:lastModifiedBy>Shang, Yuan - (yshang)</cp:lastModifiedBy>
  <cp:revision>20</cp:revision>
  <dcterms:created xsi:type="dcterms:W3CDTF">2022-09-30T22:40:00Z</dcterms:created>
  <dcterms:modified xsi:type="dcterms:W3CDTF">2022-10-01T02:05:00Z</dcterms:modified>
</cp:coreProperties>
</file>