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E7AD18" w14:textId="77777777" w:rsidR="00386EB8" w:rsidRDefault="00000000" w:rsidP="008D658E">
      <w:pPr>
        <w:spacing w:line="480" w:lineRule="auto"/>
        <w:ind w:firstLine="420"/>
        <w:jc w:val="center"/>
        <w:rPr>
          <w:b/>
          <w:bCs/>
          <w:sz w:val="44"/>
          <w:szCs w:val="44"/>
        </w:rPr>
      </w:pPr>
      <w:r>
        <w:rPr>
          <w:rFonts w:hint="eastAsia"/>
          <w:b/>
          <w:bCs/>
          <w:sz w:val="44"/>
          <w:szCs w:val="44"/>
        </w:rPr>
        <w:t>Supplementary Materials</w:t>
      </w:r>
    </w:p>
    <w:p w14:paraId="3DE8615D" w14:textId="77777777" w:rsidR="00386EB8" w:rsidRDefault="00386EB8">
      <w:pPr>
        <w:spacing w:line="480" w:lineRule="auto"/>
        <w:jc w:val="center"/>
        <w:rPr>
          <w:b/>
          <w:bCs/>
          <w:sz w:val="44"/>
          <w:szCs w:val="44"/>
        </w:rPr>
      </w:pPr>
    </w:p>
    <w:p w14:paraId="16EBF8FD" w14:textId="77777777" w:rsidR="00386EB8" w:rsidRDefault="00000000">
      <w:pPr>
        <w:spacing w:line="480" w:lineRule="auto"/>
        <w:jc w:val="center"/>
        <w:rPr>
          <w:b/>
          <w:bCs/>
          <w:kern w:val="36"/>
          <w:sz w:val="32"/>
          <w:szCs w:val="32"/>
        </w:rPr>
      </w:pPr>
      <w:r>
        <w:rPr>
          <w:b/>
          <w:bCs/>
          <w:kern w:val="36"/>
          <w:sz w:val="32"/>
          <w:szCs w:val="32"/>
        </w:rPr>
        <w:t>ZIF-8</w:t>
      </w:r>
      <w:r>
        <w:rPr>
          <w:rFonts w:hint="eastAsia"/>
          <w:b/>
          <w:bCs/>
          <w:kern w:val="36"/>
          <w:sz w:val="32"/>
          <w:szCs w:val="32"/>
        </w:rPr>
        <w:t>-</w:t>
      </w:r>
      <w:r>
        <w:rPr>
          <w:b/>
          <w:bCs/>
          <w:kern w:val="36"/>
          <w:sz w:val="32"/>
          <w:szCs w:val="32"/>
        </w:rPr>
        <w:t xml:space="preserve">doped Au/PEDOT nanocomposite as an </w:t>
      </w:r>
      <w:r>
        <w:rPr>
          <w:rFonts w:hint="eastAsia"/>
          <w:b/>
          <w:bCs/>
          <w:kern w:val="36"/>
          <w:sz w:val="32"/>
          <w:szCs w:val="32"/>
        </w:rPr>
        <w:t xml:space="preserve">effective </w:t>
      </w:r>
      <w:r>
        <w:rPr>
          <w:b/>
          <w:bCs/>
          <w:kern w:val="36"/>
          <w:sz w:val="32"/>
          <w:szCs w:val="32"/>
        </w:rPr>
        <w:t>electrochemical sensing platform for simultaneous detection of catechin and sunset yellow in tea beverage</w:t>
      </w:r>
    </w:p>
    <w:p w14:paraId="75BBD155" w14:textId="77777777" w:rsidR="00386EB8" w:rsidRDefault="00386EB8">
      <w:pPr>
        <w:spacing w:line="480" w:lineRule="auto"/>
        <w:jc w:val="center"/>
        <w:rPr>
          <w:b/>
          <w:bCs/>
          <w:sz w:val="32"/>
          <w:szCs w:val="32"/>
        </w:rPr>
      </w:pPr>
    </w:p>
    <w:p w14:paraId="415A9866" w14:textId="77777777" w:rsidR="00386EB8" w:rsidRDefault="00000000">
      <w:pPr>
        <w:pStyle w:val="ad"/>
        <w:spacing w:line="480" w:lineRule="auto"/>
        <w:ind w:firstLine="482"/>
        <w:jc w:val="center"/>
        <w:rPr>
          <w:b/>
          <w:bCs/>
          <w:kern w:val="36"/>
          <w:sz w:val="24"/>
        </w:rPr>
      </w:pPr>
      <w:r>
        <w:rPr>
          <w:b/>
          <w:bCs/>
          <w:kern w:val="36"/>
          <w:sz w:val="24"/>
        </w:rPr>
        <w:t>Junhong Li</w:t>
      </w:r>
      <w:r>
        <w:rPr>
          <w:b/>
          <w:bCs/>
          <w:kern w:val="36"/>
          <w:sz w:val="24"/>
          <w:vertAlign w:val="superscript"/>
        </w:rPr>
        <w:t>1</w:t>
      </w:r>
      <w:r>
        <w:rPr>
          <w:b/>
          <w:bCs/>
          <w:kern w:val="36"/>
          <w:sz w:val="24"/>
        </w:rPr>
        <w:t>, Hui Huang</w:t>
      </w:r>
      <w:r>
        <w:rPr>
          <w:b/>
          <w:bCs/>
          <w:kern w:val="36"/>
          <w:sz w:val="24"/>
          <w:vertAlign w:val="superscript"/>
        </w:rPr>
        <w:t>2</w:t>
      </w:r>
      <w:r>
        <w:rPr>
          <w:b/>
          <w:bCs/>
          <w:kern w:val="36"/>
          <w:sz w:val="24"/>
        </w:rPr>
        <w:t>, Lu Deng</w:t>
      </w:r>
      <w:r>
        <w:rPr>
          <w:b/>
          <w:bCs/>
          <w:kern w:val="36"/>
          <w:sz w:val="24"/>
          <w:vertAlign w:val="superscript"/>
        </w:rPr>
        <w:t>1</w:t>
      </w:r>
      <w:r>
        <w:rPr>
          <w:b/>
          <w:bCs/>
          <w:kern w:val="36"/>
          <w:sz w:val="24"/>
        </w:rPr>
        <w:t xml:space="preserve">, </w:t>
      </w:r>
      <w:proofErr w:type="spellStart"/>
      <w:r>
        <w:rPr>
          <w:b/>
          <w:bCs/>
          <w:kern w:val="36"/>
          <w:sz w:val="24"/>
        </w:rPr>
        <w:t>Shuqian</w:t>
      </w:r>
      <w:proofErr w:type="spellEnd"/>
      <w:r>
        <w:rPr>
          <w:b/>
          <w:bCs/>
          <w:kern w:val="36"/>
          <w:sz w:val="24"/>
        </w:rPr>
        <w:t xml:space="preserve"> Xie</w:t>
      </w:r>
      <w:r>
        <w:rPr>
          <w:b/>
          <w:bCs/>
          <w:kern w:val="36"/>
          <w:sz w:val="24"/>
          <w:vertAlign w:val="superscript"/>
        </w:rPr>
        <w:t>1</w:t>
      </w:r>
      <w:r>
        <w:rPr>
          <w:b/>
          <w:bCs/>
          <w:kern w:val="36"/>
          <w:sz w:val="24"/>
        </w:rPr>
        <w:t xml:space="preserve">, </w:t>
      </w:r>
      <w:proofErr w:type="spellStart"/>
      <w:r>
        <w:rPr>
          <w:b/>
          <w:bCs/>
          <w:kern w:val="36"/>
          <w:sz w:val="24"/>
        </w:rPr>
        <w:t>Jingkun</w:t>
      </w:r>
      <w:proofErr w:type="spellEnd"/>
      <w:r>
        <w:rPr>
          <w:b/>
          <w:bCs/>
          <w:kern w:val="36"/>
          <w:sz w:val="24"/>
        </w:rPr>
        <w:t xml:space="preserve"> Xu</w:t>
      </w:r>
      <w:r>
        <w:rPr>
          <w:b/>
          <w:bCs/>
          <w:kern w:val="36"/>
          <w:sz w:val="24"/>
          <w:vertAlign w:val="superscript"/>
        </w:rPr>
        <w:t>1,3, *</w:t>
      </w:r>
      <w:r>
        <w:rPr>
          <w:b/>
          <w:bCs/>
          <w:kern w:val="36"/>
          <w:sz w:val="24"/>
        </w:rPr>
        <w:t xml:space="preserve">, </w:t>
      </w:r>
      <w:proofErr w:type="spellStart"/>
      <w:r>
        <w:rPr>
          <w:b/>
          <w:bCs/>
          <w:kern w:val="36"/>
          <w:sz w:val="24"/>
        </w:rPr>
        <w:t>Ruirui</w:t>
      </w:r>
      <w:proofErr w:type="spellEnd"/>
      <w:r>
        <w:rPr>
          <w:b/>
          <w:bCs/>
          <w:kern w:val="36"/>
          <w:sz w:val="24"/>
        </w:rPr>
        <w:t xml:space="preserve"> Yue</w:t>
      </w:r>
      <w:r>
        <w:rPr>
          <w:b/>
          <w:bCs/>
          <w:kern w:val="36"/>
          <w:sz w:val="24"/>
          <w:vertAlign w:val="superscript"/>
        </w:rPr>
        <w:t>2, *</w:t>
      </w:r>
      <w:r>
        <w:rPr>
          <w:b/>
          <w:bCs/>
          <w:kern w:val="36"/>
          <w:sz w:val="24"/>
        </w:rPr>
        <w:t xml:space="preserve">, </w:t>
      </w:r>
      <w:proofErr w:type="spellStart"/>
      <w:r>
        <w:rPr>
          <w:rFonts w:hint="eastAsia"/>
          <w:b/>
          <w:bCs/>
          <w:kern w:val="36"/>
          <w:sz w:val="24"/>
        </w:rPr>
        <w:t>Xuemin</w:t>
      </w:r>
      <w:proofErr w:type="spellEnd"/>
      <w:r>
        <w:rPr>
          <w:rFonts w:hint="eastAsia"/>
          <w:b/>
          <w:bCs/>
          <w:kern w:val="36"/>
          <w:sz w:val="24"/>
        </w:rPr>
        <w:t xml:space="preserve"> Duan</w:t>
      </w:r>
      <w:r>
        <w:rPr>
          <w:b/>
          <w:bCs/>
          <w:kern w:val="36"/>
          <w:sz w:val="24"/>
          <w:vertAlign w:val="superscript"/>
        </w:rPr>
        <w:t>1</w:t>
      </w:r>
    </w:p>
    <w:p w14:paraId="4B9557E5" w14:textId="77777777" w:rsidR="00386EB8" w:rsidRDefault="00000000">
      <w:pPr>
        <w:pStyle w:val="ad"/>
        <w:spacing w:line="480" w:lineRule="auto"/>
        <w:ind w:firstLineChars="0" w:firstLine="0"/>
        <w:jc w:val="center"/>
        <w:rPr>
          <w:i/>
          <w:iCs/>
          <w:sz w:val="24"/>
          <w:szCs w:val="28"/>
        </w:rPr>
      </w:pPr>
      <w:r>
        <w:rPr>
          <w:rFonts w:hint="eastAsia"/>
          <w:i/>
          <w:iCs/>
          <w:sz w:val="24"/>
          <w:szCs w:val="28"/>
          <w:vertAlign w:val="superscript"/>
        </w:rPr>
        <w:t>1</w:t>
      </w:r>
      <w:r>
        <w:rPr>
          <w:i/>
          <w:iCs/>
          <w:sz w:val="24"/>
          <w:szCs w:val="28"/>
        </w:rPr>
        <w:t xml:space="preserve"> College of Pharmacy, Jiangxi Science and Technology Normal University, Nanchang 330013, </w:t>
      </w:r>
      <w:r>
        <w:rPr>
          <w:rFonts w:hint="eastAsia"/>
          <w:i/>
          <w:iCs/>
          <w:sz w:val="24"/>
          <w:szCs w:val="28"/>
        </w:rPr>
        <w:t xml:space="preserve">P.R. </w:t>
      </w:r>
      <w:r>
        <w:rPr>
          <w:i/>
          <w:iCs/>
          <w:sz w:val="24"/>
          <w:szCs w:val="28"/>
        </w:rPr>
        <w:t>China</w:t>
      </w:r>
    </w:p>
    <w:p w14:paraId="3B59DA09" w14:textId="77777777" w:rsidR="00386EB8" w:rsidRDefault="00000000">
      <w:pPr>
        <w:pStyle w:val="ad"/>
        <w:spacing w:line="480" w:lineRule="auto"/>
        <w:ind w:firstLineChars="0" w:firstLine="0"/>
        <w:jc w:val="center"/>
        <w:rPr>
          <w:i/>
          <w:iCs/>
          <w:kern w:val="36"/>
          <w:sz w:val="32"/>
          <w:szCs w:val="32"/>
        </w:rPr>
      </w:pPr>
      <w:r>
        <w:rPr>
          <w:rFonts w:hint="eastAsia"/>
          <w:i/>
          <w:iCs/>
          <w:sz w:val="24"/>
          <w:szCs w:val="28"/>
          <w:vertAlign w:val="superscript"/>
        </w:rPr>
        <w:t>2</w:t>
      </w:r>
      <w:r>
        <w:rPr>
          <w:i/>
          <w:iCs/>
          <w:sz w:val="24"/>
          <w:szCs w:val="28"/>
        </w:rPr>
        <w:t xml:space="preserve"> College of Life Science, Jiangxi Science and Technology Normal University, Nanchang 330013, </w:t>
      </w:r>
      <w:r>
        <w:rPr>
          <w:rFonts w:hint="eastAsia"/>
          <w:i/>
          <w:iCs/>
          <w:sz w:val="24"/>
          <w:szCs w:val="28"/>
        </w:rPr>
        <w:t xml:space="preserve">P.R. </w:t>
      </w:r>
      <w:r>
        <w:rPr>
          <w:i/>
          <w:iCs/>
          <w:sz w:val="24"/>
          <w:szCs w:val="28"/>
        </w:rPr>
        <w:t>China</w:t>
      </w:r>
    </w:p>
    <w:p w14:paraId="010E700D" w14:textId="77777777" w:rsidR="00386EB8" w:rsidRDefault="00000000">
      <w:pPr>
        <w:pStyle w:val="ad"/>
        <w:spacing w:line="480" w:lineRule="auto"/>
        <w:ind w:firstLineChars="0" w:firstLine="0"/>
        <w:jc w:val="center"/>
        <w:rPr>
          <w:i/>
          <w:iCs/>
          <w:sz w:val="24"/>
          <w:szCs w:val="28"/>
        </w:rPr>
      </w:pPr>
      <w:r>
        <w:rPr>
          <w:rFonts w:hint="eastAsia"/>
          <w:i/>
          <w:iCs/>
          <w:sz w:val="24"/>
          <w:szCs w:val="28"/>
          <w:vertAlign w:val="superscript"/>
        </w:rPr>
        <w:t>3</w:t>
      </w:r>
      <w:r>
        <w:rPr>
          <w:i/>
          <w:iCs/>
          <w:sz w:val="24"/>
          <w:szCs w:val="28"/>
        </w:rPr>
        <w:t xml:space="preserve"> </w:t>
      </w:r>
      <w:r>
        <w:rPr>
          <w:rFonts w:hint="eastAsia"/>
          <w:i/>
          <w:iCs/>
          <w:sz w:val="24"/>
          <w:szCs w:val="28"/>
        </w:rPr>
        <w:t>Jiangxi Key Laboratory of Flexible Electronics</w:t>
      </w:r>
      <w:r>
        <w:rPr>
          <w:i/>
          <w:iCs/>
          <w:sz w:val="24"/>
          <w:szCs w:val="28"/>
        </w:rPr>
        <w:t xml:space="preserve">, Jiangxi Science and Technology Normal University, Nanchang 330013, </w:t>
      </w:r>
      <w:r>
        <w:rPr>
          <w:rFonts w:hint="eastAsia"/>
          <w:i/>
          <w:iCs/>
          <w:sz w:val="24"/>
          <w:szCs w:val="28"/>
        </w:rPr>
        <w:t xml:space="preserve">P.R. </w:t>
      </w:r>
      <w:r>
        <w:rPr>
          <w:i/>
          <w:iCs/>
          <w:sz w:val="24"/>
          <w:szCs w:val="28"/>
        </w:rPr>
        <w:t>China</w:t>
      </w:r>
    </w:p>
    <w:p w14:paraId="21ED61F7" w14:textId="77777777" w:rsidR="00386EB8" w:rsidRDefault="00000000">
      <w:pPr>
        <w:wordWrap w:val="0"/>
        <w:spacing w:line="480" w:lineRule="auto"/>
        <w:jc w:val="center"/>
        <w:rPr>
          <w:i/>
          <w:iCs/>
          <w:sz w:val="24"/>
          <w:szCs w:val="28"/>
        </w:rPr>
      </w:pPr>
      <w:r>
        <w:rPr>
          <w:i/>
          <w:iCs/>
          <w:sz w:val="24"/>
          <w:szCs w:val="28"/>
          <w:vertAlign w:val="superscript"/>
        </w:rPr>
        <w:t>*</w:t>
      </w:r>
      <w:r>
        <w:rPr>
          <w:i/>
          <w:iCs/>
          <w:sz w:val="24"/>
          <w:szCs w:val="28"/>
        </w:rPr>
        <w:t xml:space="preserve"> Corresponding authors: xujingkun1971@yeah.net (J. Xu), yuerui</w:t>
      </w:r>
      <w:r>
        <w:rPr>
          <w:rFonts w:hint="eastAsia"/>
          <w:i/>
          <w:iCs/>
          <w:sz w:val="24"/>
          <w:szCs w:val="28"/>
        </w:rPr>
        <w:t>rui2014</w:t>
      </w:r>
      <w:r>
        <w:rPr>
          <w:i/>
          <w:iCs/>
          <w:sz w:val="24"/>
          <w:szCs w:val="28"/>
        </w:rPr>
        <w:t>@</w:t>
      </w:r>
      <w:r>
        <w:rPr>
          <w:rFonts w:hint="eastAsia"/>
          <w:i/>
          <w:iCs/>
          <w:sz w:val="24"/>
          <w:szCs w:val="28"/>
        </w:rPr>
        <w:t>yeah.net</w:t>
      </w:r>
      <w:r>
        <w:rPr>
          <w:i/>
          <w:iCs/>
          <w:sz w:val="24"/>
          <w:szCs w:val="28"/>
        </w:rPr>
        <w:t xml:space="preserve"> (R. Yue).</w:t>
      </w:r>
    </w:p>
    <w:p w14:paraId="2AD3FFE6" w14:textId="77777777" w:rsidR="00386EB8" w:rsidRDefault="00386EB8">
      <w:pPr>
        <w:spacing w:line="480" w:lineRule="auto"/>
        <w:jc w:val="center"/>
        <w:rPr>
          <w:b/>
          <w:bCs/>
          <w:sz w:val="32"/>
          <w:szCs w:val="32"/>
        </w:rPr>
      </w:pPr>
    </w:p>
    <w:p w14:paraId="220CDE41" w14:textId="77777777" w:rsidR="00386EB8" w:rsidRDefault="00386EB8"/>
    <w:p w14:paraId="62B72E94" w14:textId="77777777" w:rsidR="00386EB8" w:rsidRDefault="00000000">
      <w:r>
        <w:rPr>
          <w:noProof/>
        </w:rPr>
        <w:lastRenderedPageBreak/>
        <w:drawing>
          <wp:inline distT="0" distB="0" distL="0" distR="0" wp14:anchorId="455A87D8" wp14:editId="3D1A44F5">
            <wp:extent cx="5274310" cy="4438650"/>
            <wp:effectExtent l="0" t="0" r="254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5274310" cy="4438650"/>
                    </a:xfrm>
                    <a:prstGeom prst="rect">
                      <a:avLst/>
                    </a:prstGeom>
                    <a:noFill/>
                    <a:ln>
                      <a:noFill/>
                    </a:ln>
                  </pic:spPr>
                </pic:pic>
              </a:graphicData>
            </a:graphic>
          </wp:inline>
        </w:drawing>
      </w:r>
    </w:p>
    <w:p w14:paraId="2882C67C" w14:textId="77777777" w:rsidR="00386EB8" w:rsidRDefault="00386EB8">
      <w:pPr>
        <w:spacing w:line="360" w:lineRule="auto"/>
        <w:rPr>
          <w:szCs w:val="21"/>
        </w:rPr>
      </w:pPr>
    </w:p>
    <w:p w14:paraId="3C05559E" w14:textId="77777777" w:rsidR="00386EB8" w:rsidRDefault="00000000">
      <w:pPr>
        <w:spacing w:line="360" w:lineRule="auto"/>
        <w:jc w:val="center"/>
        <w:rPr>
          <w:sz w:val="24"/>
        </w:rPr>
      </w:pPr>
      <w:r>
        <w:rPr>
          <w:b/>
          <w:bCs/>
          <w:sz w:val="24"/>
        </w:rPr>
        <w:t>Fig.</w:t>
      </w:r>
      <w:r>
        <w:rPr>
          <w:rFonts w:hint="eastAsia"/>
          <w:b/>
          <w:bCs/>
          <w:sz w:val="24"/>
        </w:rPr>
        <w:t xml:space="preserve"> </w:t>
      </w:r>
      <w:r>
        <w:rPr>
          <w:b/>
          <w:bCs/>
          <w:sz w:val="24"/>
        </w:rPr>
        <w:t>S</w:t>
      </w:r>
      <w:r>
        <w:rPr>
          <w:rFonts w:hint="eastAsia"/>
          <w:b/>
          <w:bCs/>
          <w:sz w:val="24"/>
        </w:rPr>
        <w:t>1</w:t>
      </w:r>
      <w:r>
        <w:rPr>
          <w:b/>
          <w:bCs/>
          <w:sz w:val="24"/>
        </w:rPr>
        <w:t>.</w:t>
      </w:r>
      <w:r>
        <w:rPr>
          <w:sz w:val="24"/>
        </w:rPr>
        <w:t xml:space="preserve"> DPV response of Au/PEDOT/ZIF-8 to 50 </w:t>
      </w:r>
      <w:proofErr w:type="spellStart"/>
      <w:r>
        <w:rPr>
          <w:sz w:val="24"/>
        </w:rPr>
        <w:t>μM</w:t>
      </w:r>
      <w:proofErr w:type="spellEnd"/>
      <w:r>
        <w:rPr>
          <w:sz w:val="24"/>
        </w:rPr>
        <w:t xml:space="preserve"> CA and 25 </w:t>
      </w:r>
      <w:proofErr w:type="spellStart"/>
      <w:r>
        <w:rPr>
          <w:sz w:val="24"/>
        </w:rPr>
        <w:t>μM</w:t>
      </w:r>
      <w:proofErr w:type="spellEnd"/>
      <w:r>
        <w:rPr>
          <w:sz w:val="24"/>
        </w:rPr>
        <w:t xml:space="preserve"> SY </w:t>
      </w:r>
      <w:r>
        <w:rPr>
          <w:rFonts w:hint="eastAsia"/>
          <w:sz w:val="24"/>
        </w:rPr>
        <w:t xml:space="preserve">in </w:t>
      </w:r>
      <w:r>
        <w:rPr>
          <w:sz w:val="24"/>
        </w:rPr>
        <w:t>PBS (pH = 7.5)</w:t>
      </w:r>
      <w:r>
        <w:rPr>
          <w:rFonts w:hint="eastAsia"/>
          <w:sz w:val="24"/>
        </w:rPr>
        <w:t xml:space="preserve"> </w:t>
      </w:r>
      <w:r>
        <w:rPr>
          <w:sz w:val="24"/>
        </w:rPr>
        <w:t>with the effect</w:t>
      </w:r>
      <w:r>
        <w:rPr>
          <w:rFonts w:hint="eastAsia"/>
          <w:sz w:val="24"/>
        </w:rPr>
        <w:t>s</w:t>
      </w:r>
      <w:r>
        <w:rPr>
          <w:sz w:val="24"/>
        </w:rPr>
        <w:t xml:space="preserve"> of (A) </w:t>
      </w:r>
      <w:r>
        <w:rPr>
          <w:rFonts w:hint="eastAsia"/>
          <w:sz w:val="24"/>
        </w:rPr>
        <w:t xml:space="preserve">different molar </w:t>
      </w:r>
      <w:r>
        <w:rPr>
          <w:sz w:val="24"/>
        </w:rPr>
        <w:t>ratio</w:t>
      </w:r>
      <w:r>
        <w:rPr>
          <w:rFonts w:hint="eastAsia"/>
          <w:sz w:val="24"/>
        </w:rPr>
        <w:t>s of</w:t>
      </w:r>
      <w:r>
        <w:rPr>
          <w:sz w:val="24"/>
        </w:rPr>
        <w:t xml:space="preserve"> HA</w:t>
      </w:r>
      <w:r>
        <w:rPr>
          <w:rFonts w:hint="eastAsia"/>
          <w:sz w:val="24"/>
        </w:rPr>
        <w:t>u</w:t>
      </w:r>
      <w:r>
        <w:rPr>
          <w:sz w:val="24"/>
        </w:rPr>
        <w:t>Cl</w:t>
      </w:r>
      <w:r>
        <w:rPr>
          <w:sz w:val="24"/>
          <w:vertAlign w:val="subscript"/>
        </w:rPr>
        <w:t>4</w:t>
      </w:r>
      <w:r>
        <w:rPr>
          <w:sz w:val="24"/>
        </w:rPr>
        <w:t>/EDOT</w:t>
      </w:r>
      <w:r>
        <w:rPr>
          <w:rFonts w:hint="eastAsia"/>
          <w:sz w:val="24"/>
        </w:rPr>
        <w:t>.</w:t>
      </w:r>
      <w:r>
        <w:rPr>
          <w:sz w:val="24"/>
        </w:rPr>
        <w:t xml:space="preserve"> (B) </w:t>
      </w:r>
      <w:r>
        <w:rPr>
          <w:rFonts w:hint="eastAsia"/>
          <w:sz w:val="24"/>
        </w:rPr>
        <w:t>The</w:t>
      </w:r>
      <w:r>
        <w:rPr>
          <w:sz w:val="24"/>
        </w:rPr>
        <w:t xml:space="preserve"> </w:t>
      </w:r>
      <w:r>
        <w:rPr>
          <w:rFonts w:hint="eastAsia"/>
          <w:sz w:val="24"/>
        </w:rPr>
        <w:t>relationship</w:t>
      </w:r>
      <w:r>
        <w:rPr>
          <w:sz w:val="24"/>
        </w:rPr>
        <w:t xml:space="preserve"> </w:t>
      </w:r>
      <w:r>
        <w:rPr>
          <w:rFonts w:hint="eastAsia"/>
          <w:sz w:val="24"/>
        </w:rPr>
        <w:t xml:space="preserve">of </w:t>
      </w:r>
      <w:r>
        <w:rPr>
          <w:sz w:val="24"/>
        </w:rPr>
        <w:t>the oxidation peak currents</w:t>
      </w:r>
      <w:r>
        <w:rPr>
          <w:rFonts w:hint="eastAsia"/>
          <w:sz w:val="24"/>
        </w:rPr>
        <w:t xml:space="preserve"> versus the molar </w:t>
      </w:r>
      <w:r>
        <w:rPr>
          <w:sz w:val="24"/>
        </w:rPr>
        <w:t>ratio</w:t>
      </w:r>
      <w:r>
        <w:rPr>
          <w:rFonts w:hint="eastAsia"/>
          <w:sz w:val="24"/>
        </w:rPr>
        <w:t xml:space="preserve"> of</w:t>
      </w:r>
      <w:r>
        <w:rPr>
          <w:sz w:val="24"/>
        </w:rPr>
        <w:t xml:space="preserve"> HA</w:t>
      </w:r>
      <w:r>
        <w:rPr>
          <w:rFonts w:hint="eastAsia"/>
          <w:sz w:val="24"/>
        </w:rPr>
        <w:t>u</w:t>
      </w:r>
      <w:r>
        <w:rPr>
          <w:sz w:val="24"/>
        </w:rPr>
        <w:t>Cl</w:t>
      </w:r>
      <w:r>
        <w:rPr>
          <w:sz w:val="24"/>
          <w:vertAlign w:val="subscript"/>
        </w:rPr>
        <w:t>4</w:t>
      </w:r>
      <w:r>
        <w:rPr>
          <w:sz w:val="24"/>
        </w:rPr>
        <w:t>/EDOT</w:t>
      </w:r>
      <w:r>
        <w:rPr>
          <w:rFonts w:hint="eastAsia"/>
          <w:sz w:val="24"/>
        </w:rPr>
        <w:t xml:space="preserve"> in (A)</w:t>
      </w:r>
      <w:r>
        <w:rPr>
          <w:sz w:val="24"/>
        </w:rPr>
        <w:t xml:space="preserve">. (C) DPV response of Au/PEDOT/ZIF-8 to 50 </w:t>
      </w:r>
      <w:proofErr w:type="spellStart"/>
      <w:r>
        <w:rPr>
          <w:sz w:val="24"/>
        </w:rPr>
        <w:t>μM</w:t>
      </w:r>
      <w:proofErr w:type="spellEnd"/>
      <w:r>
        <w:rPr>
          <w:sz w:val="24"/>
        </w:rPr>
        <w:t xml:space="preserve"> CA and 25 </w:t>
      </w:r>
      <w:proofErr w:type="spellStart"/>
      <w:r>
        <w:rPr>
          <w:sz w:val="24"/>
        </w:rPr>
        <w:t>μM</w:t>
      </w:r>
      <w:proofErr w:type="spellEnd"/>
      <w:r>
        <w:rPr>
          <w:sz w:val="24"/>
        </w:rPr>
        <w:t xml:space="preserve"> SY </w:t>
      </w:r>
      <w:r>
        <w:rPr>
          <w:rFonts w:hint="eastAsia"/>
          <w:sz w:val="24"/>
        </w:rPr>
        <w:t xml:space="preserve">in </w:t>
      </w:r>
      <w:r>
        <w:rPr>
          <w:sz w:val="24"/>
        </w:rPr>
        <w:t>PBS (pH = 7.5)</w:t>
      </w:r>
      <w:r>
        <w:rPr>
          <w:rFonts w:hint="eastAsia"/>
          <w:sz w:val="24"/>
        </w:rPr>
        <w:t xml:space="preserve"> </w:t>
      </w:r>
      <w:r>
        <w:rPr>
          <w:sz w:val="24"/>
        </w:rPr>
        <w:t xml:space="preserve">with the effect </w:t>
      </w:r>
      <w:r>
        <w:rPr>
          <w:rFonts w:hint="eastAsia"/>
          <w:sz w:val="24"/>
        </w:rPr>
        <w:t xml:space="preserve">of the </w:t>
      </w:r>
      <w:hyperlink r:id="rId8" w:history="1">
        <w:r>
          <w:rPr>
            <w:sz w:val="24"/>
          </w:rPr>
          <w:t>mass</w:t>
        </w:r>
      </w:hyperlink>
      <w:r>
        <w:rPr>
          <w:sz w:val="24"/>
        </w:rPr>
        <w:t> </w:t>
      </w:r>
      <w:hyperlink r:id="rId9" w:history="1">
        <w:r>
          <w:rPr>
            <w:sz w:val="24"/>
          </w:rPr>
          <w:t>concentration</w:t>
        </w:r>
      </w:hyperlink>
      <w:r>
        <w:rPr>
          <w:sz w:val="24"/>
        </w:rPr>
        <w:t> of ZIF-8</w:t>
      </w:r>
      <w:r>
        <w:rPr>
          <w:rFonts w:hint="eastAsia"/>
          <w:sz w:val="24"/>
        </w:rPr>
        <w:t>.</w:t>
      </w:r>
      <w:r>
        <w:rPr>
          <w:sz w:val="24"/>
        </w:rPr>
        <w:t xml:space="preserve"> (D) </w:t>
      </w:r>
      <w:r>
        <w:rPr>
          <w:rFonts w:hint="eastAsia"/>
          <w:sz w:val="24"/>
        </w:rPr>
        <w:t>The</w:t>
      </w:r>
      <w:r>
        <w:rPr>
          <w:sz w:val="24"/>
        </w:rPr>
        <w:t xml:space="preserve"> </w:t>
      </w:r>
      <w:r>
        <w:rPr>
          <w:rFonts w:hint="eastAsia"/>
          <w:sz w:val="24"/>
        </w:rPr>
        <w:t>relationship</w:t>
      </w:r>
      <w:r>
        <w:rPr>
          <w:sz w:val="24"/>
        </w:rPr>
        <w:t xml:space="preserve"> </w:t>
      </w:r>
      <w:r>
        <w:rPr>
          <w:rFonts w:hint="eastAsia"/>
          <w:sz w:val="24"/>
        </w:rPr>
        <w:t>of</w:t>
      </w:r>
      <w:r>
        <w:rPr>
          <w:sz w:val="24"/>
        </w:rPr>
        <w:t xml:space="preserve"> </w:t>
      </w:r>
      <w:r>
        <w:rPr>
          <w:rFonts w:hint="eastAsia"/>
          <w:sz w:val="24"/>
        </w:rPr>
        <w:t xml:space="preserve">the </w:t>
      </w:r>
      <w:r>
        <w:rPr>
          <w:sz w:val="24"/>
        </w:rPr>
        <w:t>oxidation peak currents</w:t>
      </w:r>
      <w:r>
        <w:rPr>
          <w:rFonts w:hint="eastAsia"/>
          <w:sz w:val="24"/>
        </w:rPr>
        <w:t xml:space="preserve"> versus </w:t>
      </w:r>
      <w:r>
        <w:rPr>
          <w:sz w:val="24"/>
        </w:rPr>
        <w:t xml:space="preserve">the </w:t>
      </w:r>
      <w:r>
        <w:rPr>
          <w:rFonts w:hint="eastAsia"/>
          <w:sz w:val="24"/>
        </w:rPr>
        <w:t>mass</w:t>
      </w:r>
      <w:r>
        <w:rPr>
          <w:sz w:val="24"/>
        </w:rPr>
        <w:t xml:space="preserve"> </w:t>
      </w:r>
      <w:r>
        <w:rPr>
          <w:rFonts w:hint="eastAsia"/>
          <w:sz w:val="24"/>
        </w:rPr>
        <w:t>concentration</w:t>
      </w:r>
      <w:r>
        <w:rPr>
          <w:sz w:val="24"/>
        </w:rPr>
        <w:t xml:space="preserve"> of ZIF-8</w:t>
      </w:r>
      <w:r>
        <w:rPr>
          <w:rFonts w:hint="eastAsia"/>
          <w:sz w:val="24"/>
        </w:rPr>
        <w:t xml:space="preserve"> in (C)</w:t>
      </w:r>
      <w:r>
        <w:rPr>
          <w:sz w:val="24"/>
        </w:rPr>
        <w:t>.</w:t>
      </w:r>
    </w:p>
    <w:p w14:paraId="33B26EAF" w14:textId="77777777" w:rsidR="00386EB8" w:rsidRDefault="00386EB8">
      <w:pPr>
        <w:spacing w:line="360" w:lineRule="auto"/>
        <w:rPr>
          <w:szCs w:val="21"/>
        </w:rPr>
      </w:pPr>
    </w:p>
    <w:p w14:paraId="5F4CF2B5" w14:textId="77777777" w:rsidR="00386EB8" w:rsidRDefault="00000000">
      <w:pPr>
        <w:jc w:val="center"/>
      </w:pPr>
      <w:r>
        <w:rPr>
          <w:noProof/>
        </w:rPr>
        <w:lastRenderedPageBreak/>
        <w:drawing>
          <wp:inline distT="0" distB="0" distL="0" distR="0" wp14:anchorId="33D43C87" wp14:editId="7022D27E">
            <wp:extent cx="5274945" cy="4545330"/>
            <wp:effectExtent l="0" t="0" r="1905" b="762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5274945" cy="4545330"/>
                    </a:xfrm>
                    <a:prstGeom prst="rect">
                      <a:avLst/>
                    </a:prstGeom>
                    <a:noFill/>
                    <a:ln>
                      <a:noFill/>
                    </a:ln>
                  </pic:spPr>
                </pic:pic>
              </a:graphicData>
            </a:graphic>
          </wp:inline>
        </w:drawing>
      </w:r>
    </w:p>
    <w:p w14:paraId="2608005E" w14:textId="77777777" w:rsidR="00386EB8" w:rsidRDefault="00386EB8">
      <w:pPr>
        <w:jc w:val="center"/>
      </w:pPr>
    </w:p>
    <w:p w14:paraId="1C02DE3B" w14:textId="77777777" w:rsidR="00386EB8" w:rsidRDefault="00000000">
      <w:pPr>
        <w:jc w:val="center"/>
        <w:rPr>
          <w:sz w:val="24"/>
        </w:rPr>
      </w:pPr>
      <w:r>
        <w:rPr>
          <w:b/>
          <w:bCs/>
          <w:sz w:val="24"/>
        </w:rPr>
        <w:t xml:space="preserve">Fig. S2. </w:t>
      </w:r>
      <w:r>
        <w:rPr>
          <w:sz w:val="24"/>
        </w:rPr>
        <w:t>(A, B) SEM images of the ZIF-8, and (C, D) SEM images of the Au/PEODT.</w:t>
      </w:r>
    </w:p>
    <w:p w14:paraId="5F2331F4" w14:textId="24670734" w:rsidR="00386EB8" w:rsidRDefault="00386EB8" w:rsidP="0028068F">
      <w:pPr>
        <w:rPr>
          <w:sz w:val="24"/>
        </w:rPr>
      </w:pPr>
    </w:p>
    <w:p w14:paraId="1F8C2DC9" w14:textId="5FC52DF7" w:rsidR="0028068F" w:rsidRDefault="0028068F" w:rsidP="0028068F">
      <w:pPr>
        <w:rPr>
          <w:sz w:val="24"/>
        </w:rPr>
      </w:pPr>
    </w:p>
    <w:p w14:paraId="2A81548B" w14:textId="3E951CFB" w:rsidR="0028068F" w:rsidRDefault="0028068F" w:rsidP="0028068F">
      <w:pPr>
        <w:rPr>
          <w:sz w:val="24"/>
        </w:rPr>
      </w:pPr>
    </w:p>
    <w:p w14:paraId="7985A3C5" w14:textId="16E8AD90" w:rsidR="0028068F" w:rsidRDefault="0028068F" w:rsidP="0028068F">
      <w:pPr>
        <w:rPr>
          <w:sz w:val="24"/>
        </w:rPr>
      </w:pPr>
    </w:p>
    <w:p w14:paraId="77571D7D" w14:textId="64133CBE" w:rsidR="0028068F" w:rsidRDefault="0028068F" w:rsidP="0028068F">
      <w:pPr>
        <w:rPr>
          <w:sz w:val="24"/>
        </w:rPr>
      </w:pPr>
    </w:p>
    <w:p w14:paraId="510E3A6F" w14:textId="29E3E579" w:rsidR="0028068F" w:rsidRDefault="0028068F" w:rsidP="0028068F">
      <w:pPr>
        <w:rPr>
          <w:sz w:val="24"/>
        </w:rPr>
      </w:pPr>
    </w:p>
    <w:p w14:paraId="26E71439" w14:textId="77777777" w:rsidR="0028068F" w:rsidRDefault="0028068F" w:rsidP="0028068F">
      <w:pPr>
        <w:rPr>
          <w:sz w:val="24"/>
        </w:rPr>
      </w:pPr>
    </w:p>
    <w:p w14:paraId="43CF2928" w14:textId="77777777" w:rsidR="0028068F" w:rsidRDefault="0028068F" w:rsidP="0028068F">
      <w:pPr>
        <w:rPr>
          <w:sz w:val="24"/>
        </w:rPr>
      </w:pPr>
    </w:p>
    <w:p w14:paraId="64403F1F" w14:textId="77777777" w:rsidR="00386EB8" w:rsidRDefault="00386EB8">
      <w:pPr>
        <w:jc w:val="center"/>
        <w:rPr>
          <w:sz w:val="24"/>
        </w:rPr>
      </w:pPr>
    </w:p>
    <w:p w14:paraId="0FC26E2B" w14:textId="77777777" w:rsidR="00386EB8" w:rsidRDefault="00000000" w:rsidP="0028068F">
      <w:pPr>
        <w:jc w:val="right"/>
      </w:pPr>
      <w:r>
        <w:rPr>
          <w:noProof/>
        </w:rPr>
        <w:lastRenderedPageBreak/>
        <w:drawing>
          <wp:inline distT="0" distB="0" distL="0" distR="0" wp14:anchorId="43C108E6" wp14:editId="0359DF9B">
            <wp:extent cx="5570968" cy="2260983"/>
            <wp:effectExtent l="0" t="0" r="0" b="635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a:xfrm>
                      <a:off x="0" y="0"/>
                      <a:ext cx="5628541" cy="2284349"/>
                    </a:xfrm>
                    <a:prstGeom prst="rect">
                      <a:avLst/>
                    </a:prstGeom>
                    <a:noFill/>
                    <a:ln>
                      <a:noFill/>
                    </a:ln>
                  </pic:spPr>
                </pic:pic>
              </a:graphicData>
            </a:graphic>
          </wp:inline>
        </w:drawing>
      </w:r>
    </w:p>
    <w:p w14:paraId="31091C4C" w14:textId="77777777" w:rsidR="00386EB8" w:rsidRDefault="00386EB8">
      <w:pPr>
        <w:jc w:val="center"/>
      </w:pPr>
    </w:p>
    <w:p w14:paraId="6D86EC39" w14:textId="2B65A8E9" w:rsidR="00386EB8" w:rsidRDefault="00000000" w:rsidP="0028068F">
      <w:pPr>
        <w:spacing w:line="360" w:lineRule="auto"/>
        <w:jc w:val="center"/>
        <w:rPr>
          <w:sz w:val="24"/>
        </w:rPr>
      </w:pPr>
      <w:r>
        <w:rPr>
          <w:b/>
          <w:bCs/>
          <w:sz w:val="24"/>
        </w:rPr>
        <w:t>Fig. S</w:t>
      </w:r>
      <w:r w:rsidR="00842C72">
        <w:rPr>
          <w:rFonts w:hint="eastAsia"/>
          <w:b/>
          <w:bCs/>
          <w:sz w:val="24"/>
        </w:rPr>
        <w:t>3</w:t>
      </w:r>
      <w:r>
        <w:rPr>
          <w:b/>
          <w:bCs/>
          <w:sz w:val="24"/>
        </w:rPr>
        <w:t>.</w:t>
      </w:r>
      <w:r>
        <w:rPr>
          <w:sz w:val="24"/>
        </w:rPr>
        <w:t xml:space="preserve"> (A) CV response </w:t>
      </w:r>
      <w:r>
        <w:rPr>
          <w:rFonts w:hint="eastAsia"/>
          <w:sz w:val="24"/>
        </w:rPr>
        <w:t>and</w:t>
      </w:r>
      <w:r>
        <w:rPr>
          <w:sz w:val="24"/>
        </w:rPr>
        <w:t xml:space="preserve"> </w:t>
      </w:r>
      <w:r>
        <w:rPr>
          <w:rFonts w:hint="eastAsia"/>
          <w:sz w:val="24"/>
        </w:rPr>
        <w:t>(</w:t>
      </w:r>
      <w:r>
        <w:rPr>
          <w:sz w:val="24"/>
        </w:rPr>
        <w:t>B) Nyquist diagrams of EIS of (a)</w:t>
      </w:r>
      <w:r>
        <w:rPr>
          <w:rFonts w:hint="eastAsia"/>
          <w:sz w:val="24"/>
        </w:rPr>
        <w:t xml:space="preserve"> the </w:t>
      </w:r>
      <w:r>
        <w:rPr>
          <w:sz w:val="24"/>
        </w:rPr>
        <w:t>bare GCE,</w:t>
      </w:r>
      <w:r>
        <w:rPr>
          <w:rFonts w:hint="eastAsia"/>
          <w:sz w:val="24"/>
        </w:rPr>
        <w:t xml:space="preserve"> </w:t>
      </w:r>
      <w:r>
        <w:rPr>
          <w:sz w:val="24"/>
        </w:rPr>
        <w:t>(b) A</w:t>
      </w:r>
      <w:r>
        <w:rPr>
          <w:rFonts w:hint="eastAsia"/>
          <w:sz w:val="24"/>
        </w:rPr>
        <w:t>u/</w:t>
      </w:r>
      <w:r>
        <w:rPr>
          <w:sz w:val="24"/>
        </w:rPr>
        <w:t>ZIF</w:t>
      </w:r>
      <w:r>
        <w:rPr>
          <w:rFonts w:hint="eastAsia"/>
          <w:sz w:val="24"/>
        </w:rPr>
        <w:t>-8/GCE,</w:t>
      </w:r>
      <w:r>
        <w:rPr>
          <w:sz w:val="24"/>
        </w:rPr>
        <w:t xml:space="preserve"> (c)</w:t>
      </w:r>
      <w:r>
        <w:rPr>
          <w:rFonts w:hint="eastAsia"/>
          <w:sz w:val="24"/>
        </w:rPr>
        <w:t xml:space="preserve"> </w:t>
      </w:r>
      <w:r>
        <w:rPr>
          <w:sz w:val="24"/>
        </w:rPr>
        <w:t>Au/PEDOT</w:t>
      </w:r>
      <w:r>
        <w:rPr>
          <w:rFonts w:hint="eastAsia"/>
          <w:sz w:val="24"/>
        </w:rPr>
        <w:t>/GCE</w:t>
      </w:r>
      <w:r>
        <w:rPr>
          <w:sz w:val="24"/>
        </w:rPr>
        <w:t>, and (d)</w:t>
      </w:r>
      <w:r>
        <w:rPr>
          <w:rFonts w:hint="eastAsia"/>
          <w:sz w:val="24"/>
        </w:rPr>
        <w:t xml:space="preserve"> </w:t>
      </w:r>
      <w:r>
        <w:rPr>
          <w:sz w:val="24"/>
        </w:rPr>
        <w:t>Au/PEDOT/ZIF-8</w:t>
      </w:r>
      <w:r>
        <w:rPr>
          <w:rFonts w:hint="eastAsia"/>
          <w:sz w:val="24"/>
        </w:rPr>
        <w:t>/GCE</w:t>
      </w:r>
      <w:r>
        <w:rPr>
          <w:sz w:val="24"/>
        </w:rPr>
        <w:t xml:space="preserve"> in</w:t>
      </w:r>
      <w:r>
        <w:rPr>
          <w:rFonts w:hint="eastAsia"/>
          <w:sz w:val="24"/>
        </w:rPr>
        <w:t xml:space="preserve"> </w:t>
      </w:r>
      <w:r>
        <w:rPr>
          <w:sz w:val="24"/>
        </w:rPr>
        <w:t>5.0 mM [</w:t>
      </w:r>
      <w:proofErr w:type="gramStart"/>
      <w:r>
        <w:rPr>
          <w:sz w:val="24"/>
        </w:rPr>
        <w:t>Fe(</w:t>
      </w:r>
      <w:proofErr w:type="gramEnd"/>
      <w:r>
        <w:rPr>
          <w:sz w:val="24"/>
        </w:rPr>
        <w:t>CN)</w:t>
      </w:r>
      <w:r>
        <w:rPr>
          <w:sz w:val="24"/>
          <w:vertAlign w:val="subscript"/>
        </w:rPr>
        <w:t>6</w:t>
      </w:r>
      <w:r>
        <w:rPr>
          <w:sz w:val="24"/>
        </w:rPr>
        <w:t>]</w:t>
      </w:r>
      <w:r>
        <w:rPr>
          <w:sz w:val="24"/>
          <w:vertAlign w:val="superscript"/>
        </w:rPr>
        <w:t>3-/4-</w:t>
      </w:r>
      <w:r>
        <w:rPr>
          <w:sz w:val="24"/>
        </w:rPr>
        <w:t xml:space="preserve"> </w:t>
      </w:r>
      <w:r>
        <w:rPr>
          <w:rFonts w:hint="eastAsia"/>
          <w:sz w:val="24"/>
        </w:rPr>
        <w:t xml:space="preserve">solution </w:t>
      </w:r>
      <w:r>
        <w:rPr>
          <w:sz w:val="24"/>
        </w:rPr>
        <w:t xml:space="preserve">containing 0.1 M </w:t>
      </w:r>
      <w:proofErr w:type="spellStart"/>
      <w:r>
        <w:rPr>
          <w:sz w:val="24"/>
        </w:rPr>
        <w:t>KCl</w:t>
      </w:r>
      <w:proofErr w:type="spellEnd"/>
      <w:r>
        <w:rPr>
          <w:sz w:val="24"/>
        </w:rPr>
        <w:t>.</w:t>
      </w:r>
    </w:p>
    <w:p w14:paraId="760DB913" w14:textId="77777777" w:rsidR="0028068F" w:rsidRDefault="0028068F" w:rsidP="0028068F">
      <w:pPr>
        <w:spacing w:line="360" w:lineRule="auto"/>
        <w:jc w:val="center"/>
        <w:rPr>
          <w:sz w:val="24"/>
        </w:rPr>
      </w:pPr>
    </w:p>
    <w:p w14:paraId="6C2143E9" w14:textId="77777777" w:rsidR="00386EB8" w:rsidRDefault="00000000">
      <w:r>
        <w:rPr>
          <w:noProof/>
        </w:rPr>
        <w:drawing>
          <wp:inline distT="0" distB="0" distL="0" distR="0" wp14:anchorId="4DCA8DDF" wp14:editId="6EB1875D">
            <wp:extent cx="5274310" cy="4105275"/>
            <wp:effectExtent l="0" t="0" r="2540" b="952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a:xfrm>
                      <a:off x="0" y="0"/>
                      <a:ext cx="5274310" cy="4105275"/>
                    </a:xfrm>
                    <a:prstGeom prst="rect">
                      <a:avLst/>
                    </a:prstGeom>
                    <a:noFill/>
                    <a:ln>
                      <a:noFill/>
                    </a:ln>
                  </pic:spPr>
                </pic:pic>
              </a:graphicData>
            </a:graphic>
          </wp:inline>
        </w:drawing>
      </w:r>
    </w:p>
    <w:p w14:paraId="53372F90" w14:textId="4294164A" w:rsidR="00386EB8" w:rsidRDefault="00000000">
      <w:pPr>
        <w:spacing w:line="360" w:lineRule="auto"/>
        <w:jc w:val="center"/>
        <w:rPr>
          <w:sz w:val="24"/>
        </w:rPr>
      </w:pPr>
      <w:r>
        <w:rPr>
          <w:b/>
          <w:bCs/>
          <w:sz w:val="24"/>
        </w:rPr>
        <w:t>Fig.</w:t>
      </w:r>
      <w:r>
        <w:rPr>
          <w:rFonts w:hint="eastAsia"/>
          <w:b/>
          <w:bCs/>
          <w:sz w:val="24"/>
        </w:rPr>
        <w:t xml:space="preserve"> </w:t>
      </w:r>
      <w:r>
        <w:rPr>
          <w:b/>
          <w:bCs/>
          <w:sz w:val="24"/>
        </w:rPr>
        <w:t>S</w:t>
      </w:r>
      <w:r w:rsidR="00842C72">
        <w:rPr>
          <w:rFonts w:hint="eastAsia"/>
          <w:b/>
          <w:bCs/>
          <w:sz w:val="24"/>
        </w:rPr>
        <w:t>4</w:t>
      </w:r>
      <w:r>
        <w:rPr>
          <w:b/>
          <w:bCs/>
          <w:sz w:val="24"/>
        </w:rPr>
        <w:t xml:space="preserve">. </w:t>
      </w:r>
      <w:r>
        <w:rPr>
          <w:sz w:val="24"/>
        </w:rPr>
        <w:t xml:space="preserve">(A) DPV responses to CA and SY at Au/PEDOT/ZIF-8/GCE with different </w:t>
      </w:r>
      <w:proofErr w:type="spellStart"/>
      <w:r>
        <w:rPr>
          <w:sz w:val="24"/>
        </w:rPr>
        <w:t>pHs</w:t>
      </w:r>
      <w:proofErr w:type="spellEnd"/>
      <w:r>
        <w:rPr>
          <w:sz w:val="24"/>
        </w:rPr>
        <w:t xml:space="preserve"> </w:t>
      </w:r>
      <w:r>
        <w:rPr>
          <w:rFonts w:hint="eastAsia"/>
          <w:sz w:val="24"/>
        </w:rPr>
        <w:t xml:space="preserve">in </w:t>
      </w:r>
      <w:r>
        <w:rPr>
          <w:sz w:val="24"/>
        </w:rPr>
        <w:t>phosphate buffer, (B</w:t>
      </w:r>
      <w:r>
        <w:rPr>
          <w:rFonts w:hint="eastAsia"/>
          <w:sz w:val="24"/>
        </w:rPr>
        <w:t xml:space="preserve">, </w:t>
      </w:r>
      <w:r>
        <w:rPr>
          <w:sz w:val="24"/>
        </w:rPr>
        <w:t>C)</w:t>
      </w:r>
      <w:r>
        <w:rPr>
          <w:rFonts w:hint="eastAsia"/>
          <w:sz w:val="24"/>
        </w:rPr>
        <w:t xml:space="preserve"> </w:t>
      </w:r>
      <w:r>
        <w:rPr>
          <w:sz w:val="24"/>
        </w:rPr>
        <w:t>t</w:t>
      </w:r>
      <w:r>
        <w:rPr>
          <w:rFonts w:hint="eastAsia"/>
          <w:sz w:val="24"/>
        </w:rPr>
        <w:t>he</w:t>
      </w:r>
      <w:r>
        <w:rPr>
          <w:sz w:val="24"/>
        </w:rPr>
        <w:t xml:space="preserve"> corresponding </w:t>
      </w:r>
      <w:r>
        <w:rPr>
          <w:rFonts w:hint="eastAsia"/>
          <w:sz w:val="24"/>
        </w:rPr>
        <w:t>relationship</w:t>
      </w:r>
      <w:r>
        <w:rPr>
          <w:sz w:val="24"/>
        </w:rPr>
        <w:t xml:space="preserve"> </w:t>
      </w:r>
      <w:r>
        <w:rPr>
          <w:rFonts w:hint="eastAsia"/>
          <w:sz w:val="24"/>
        </w:rPr>
        <w:t xml:space="preserve">of </w:t>
      </w:r>
      <w:r>
        <w:rPr>
          <w:sz w:val="24"/>
        </w:rPr>
        <w:t>the oxidation peak currents</w:t>
      </w:r>
      <w:r>
        <w:rPr>
          <w:rFonts w:hint="eastAsia"/>
          <w:sz w:val="24"/>
        </w:rPr>
        <w:t xml:space="preserve"> versus the</w:t>
      </w:r>
      <w:r>
        <w:rPr>
          <w:sz w:val="24"/>
        </w:rPr>
        <w:t xml:space="preserve"> pH</w:t>
      </w:r>
      <w:bookmarkStart w:id="0" w:name="_Hlk100866574"/>
      <w:r>
        <w:rPr>
          <w:sz w:val="24"/>
        </w:rPr>
        <w:t xml:space="preserve"> and the linear fitting curves </w:t>
      </w:r>
      <w:bookmarkEnd w:id="0"/>
      <w:r>
        <w:rPr>
          <w:sz w:val="24"/>
        </w:rPr>
        <w:t xml:space="preserve">of </w:t>
      </w:r>
      <w:bookmarkStart w:id="1" w:name="_Hlk100867534"/>
      <w:r>
        <w:rPr>
          <w:sz w:val="24"/>
        </w:rPr>
        <w:t>the peak potential</w:t>
      </w:r>
      <w:bookmarkEnd w:id="1"/>
      <w:r>
        <w:rPr>
          <w:sz w:val="24"/>
        </w:rPr>
        <w:t xml:space="preserve"> </w:t>
      </w:r>
      <w:r>
        <w:rPr>
          <w:rFonts w:hint="eastAsia"/>
          <w:sz w:val="24"/>
        </w:rPr>
        <w:t>versus the</w:t>
      </w:r>
      <w:r>
        <w:rPr>
          <w:sz w:val="24"/>
        </w:rPr>
        <w:t xml:space="preserve"> pH </w:t>
      </w:r>
      <w:r>
        <w:rPr>
          <w:rFonts w:hint="eastAsia"/>
          <w:sz w:val="24"/>
        </w:rPr>
        <w:lastRenderedPageBreak/>
        <w:t>in (</w:t>
      </w:r>
      <w:r>
        <w:rPr>
          <w:sz w:val="24"/>
        </w:rPr>
        <w:t>A</w:t>
      </w:r>
      <w:r>
        <w:rPr>
          <w:rFonts w:hint="eastAsia"/>
          <w:sz w:val="24"/>
        </w:rPr>
        <w:t>)</w:t>
      </w:r>
      <w:r>
        <w:rPr>
          <w:sz w:val="24"/>
        </w:rPr>
        <w:t>, respectively</w:t>
      </w:r>
      <w:r>
        <w:rPr>
          <w:rFonts w:hint="eastAsia"/>
          <w:sz w:val="24"/>
        </w:rPr>
        <w:t>.</w:t>
      </w:r>
    </w:p>
    <w:p w14:paraId="07289323" w14:textId="77777777" w:rsidR="00386EB8" w:rsidRDefault="00386EB8">
      <w:pPr>
        <w:spacing w:line="360" w:lineRule="auto"/>
        <w:jc w:val="center"/>
        <w:rPr>
          <w:sz w:val="24"/>
        </w:rPr>
      </w:pPr>
    </w:p>
    <w:p w14:paraId="3AA167CD" w14:textId="77777777" w:rsidR="00386EB8" w:rsidRDefault="00386EB8"/>
    <w:p w14:paraId="5D180541" w14:textId="77777777" w:rsidR="00386EB8" w:rsidRDefault="00000000">
      <w:r>
        <w:rPr>
          <w:noProof/>
        </w:rPr>
        <w:drawing>
          <wp:inline distT="0" distB="0" distL="0" distR="0" wp14:anchorId="2BA2F572" wp14:editId="25AED73B">
            <wp:extent cx="5274310" cy="2121535"/>
            <wp:effectExtent l="0" t="0" r="254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5274310" cy="2121535"/>
                    </a:xfrm>
                    <a:prstGeom prst="rect">
                      <a:avLst/>
                    </a:prstGeom>
                    <a:noFill/>
                    <a:ln>
                      <a:noFill/>
                    </a:ln>
                  </pic:spPr>
                </pic:pic>
              </a:graphicData>
            </a:graphic>
          </wp:inline>
        </w:drawing>
      </w:r>
    </w:p>
    <w:p w14:paraId="7D8E6A06" w14:textId="77777777" w:rsidR="00386EB8" w:rsidRDefault="00386EB8">
      <w:pPr>
        <w:spacing w:line="360" w:lineRule="auto"/>
        <w:rPr>
          <w:b/>
          <w:bCs/>
          <w:sz w:val="24"/>
        </w:rPr>
      </w:pPr>
    </w:p>
    <w:p w14:paraId="5B865918" w14:textId="03F2ACE9" w:rsidR="00386EB8" w:rsidRDefault="00000000">
      <w:pPr>
        <w:spacing w:line="360" w:lineRule="auto"/>
        <w:jc w:val="center"/>
        <w:rPr>
          <w:sz w:val="24"/>
        </w:rPr>
      </w:pPr>
      <w:r>
        <w:rPr>
          <w:b/>
          <w:bCs/>
          <w:sz w:val="24"/>
        </w:rPr>
        <w:t>Fig.</w:t>
      </w:r>
      <w:r>
        <w:rPr>
          <w:rFonts w:hint="eastAsia"/>
          <w:b/>
          <w:bCs/>
          <w:sz w:val="24"/>
        </w:rPr>
        <w:t xml:space="preserve"> </w:t>
      </w:r>
      <w:r>
        <w:rPr>
          <w:b/>
          <w:bCs/>
          <w:sz w:val="24"/>
        </w:rPr>
        <w:t>S</w:t>
      </w:r>
      <w:r w:rsidR="00842C72">
        <w:rPr>
          <w:rFonts w:hint="eastAsia"/>
          <w:b/>
          <w:bCs/>
          <w:sz w:val="24"/>
        </w:rPr>
        <w:t>5</w:t>
      </w:r>
      <w:r>
        <w:rPr>
          <w:b/>
          <w:bCs/>
          <w:sz w:val="24"/>
        </w:rPr>
        <w:t>.</w:t>
      </w:r>
      <w:r>
        <w:rPr>
          <w:sz w:val="24"/>
        </w:rPr>
        <w:t xml:space="preserve"> (A) DPV responses of Au/PEDOT/ZIF-8 </w:t>
      </w:r>
      <w:r>
        <w:rPr>
          <w:rFonts w:hint="eastAsia"/>
          <w:sz w:val="24"/>
        </w:rPr>
        <w:t>under</w:t>
      </w:r>
      <w:r>
        <w:rPr>
          <w:sz w:val="24"/>
        </w:rPr>
        <w:t xml:space="preserve"> different accumulation time (from 30 to 105 s)</w:t>
      </w:r>
      <w:r>
        <w:rPr>
          <w:rFonts w:hint="eastAsia"/>
          <w:sz w:val="24"/>
        </w:rPr>
        <w:t xml:space="preserve"> </w:t>
      </w:r>
      <w:r>
        <w:rPr>
          <w:sz w:val="24"/>
        </w:rPr>
        <w:t xml:space="preserve">to 50 </w:t>
      </w:r>
      <w:proofErr w:type="spellStart"/>
      <w:r>
        <w:rPr>
          <w:sz w:val="24"/>
        </w:rPr>
        <w:t>μM</w:t>
      </w:r>
      <w:proofErr w:type="spellEnd"/>
      <w:r>
        <w:rPr>
          <w:sz w:val="24"/>
        </w:rPr>
        <w:t xml:space="preserve"> CA and 25 </w:t>
      </w:r>
      <w:proofErr w:type="spellStart"/>
      <w:r>
        <w:rPr>
          <w:sz w:val="24"/>
        </w:rPr>
        <w:t>μM</w:t>
      </w:r>
      <w:proofErr w:type="spellEnd"/>
      <w:r>
        <w:rPr>
          <w:sz w:val="24"/>
        </w:rPr>
        <w:t xml:space="preserve"> SY </w:t>
      </w:r>
      <w:r>
        <w:rPr>
          <w:rFonts w:hint="eastAsia"/>
          <w:sz w:val="24"/>
        </w:rPr>
        <w:t xml:space="preserve">in </w:t>
      </w:r>
      <w:r>
        <w:rPr>
          <w:sz w:val="24"/>
        </w:rPr>
        <w:t>PBS (pH = 7.5)</w:t>
      </w:r>
      <w:r>
        <w:rPr>
          <w:rFonts w:hint="eastAsia"/>
          <w:sz w:val="24"/>
        </w:rPr>
        <w:t>.</w:t>
      </w:r>
      <w:r>
        <w:rPr>
          <w:sz w:val="24"/>
        </w:rPr>
        <w:t xml:space="preserve"> (B) </w:t>
      </w:r>
      <w:r>
        <w:rPr>
          <w:rFonts w:hint="eastAsia"/>
          <w:sz w:val="24"/>
        </w:rPr>
        <w:t>The</w:t>
      </w:r>
      <w:r>
        <w:rPr>
          <w:sz w:val="24"/>
        </w:rPr>
        <w:t xml:space="preserve"> </w:t>
      </w:r>
      <w:r>
        <w:rPr>
          <w:rFonts w:hint="eastAsia"/>
          <w:sz w:val="24"/>
        </w:rPr>
        <w:t>relationship</w:t>
      </w:r>
      <w:r>
        <w:rPr>
          <w:sz w:val="24"/>
        </w:rPr>
        <w:t xml:space="preserve"> </w:t>
      </w:r>
      <w:r>
        <w:rPr>
          <w:rFonts w:hint="eastAsia"/>
          <w:sz w:val="24"/>
        </w:rPr>
        <w:t>of</w:t>
      </w:r>
      <w:r>
        <w:rPr>
          <w:sz w:val="24"/>
        </w:rPr>
        <w:t xml:space="preserve"> </w:t>
      </w:r>
      <w:r>
        <w:rPr>
          <w:rFonts w:hint="eastAsia"/>
          <w:sz w:val="24"/>
        </w:rPr>
        <w:t xml:space="preserve">the </w:t>
      </w:r>
      <w:r>
        <w:rPr>
          <w:sz w:val="24"/>
        </w:rPr>
        <w:t>oxidation peak currents</w:t>
      </w:r>
      <w:r>
        <w:rPr>
          <w:rFonts w:hint="eastAsia"/>
          <w:sz w:val="24"/>
        </w:rPr>
        <w:t xml:space="preserve"> versus </w:t>
      </w:r>
      <w:r>
        <w:rPr>
          <w:sz w:val="24"/>
        </w:rPr>
        <w:t xml:space="preserve">the accumulation time </w:t>
      </w:r>
      <w:r>
        <w:rPr>
          <w:rFonts w:hint="eastAsia"/>
          <w:sz w:val="24"/>
        </w:rPr>
        <w:t>in (</w:t>
      </w:r>
      <w:r>
        <w:rPr>
          <w:sz w:val="24"/>
        </w:rPr>
        <w:t>A</w:t>
      </w:r>
      <w:r>
        <w:rPr>
          <w:rFonts w:hint="eastAsia"/>
          <w:sz w:val="24"/>
        </w:rPr>
        <w:t>)</w:t>
      </w:r>
      <w:r>
        <w:rPr>
          <w:sz w:val="24"/>
        </w:rPr>
        <w:t>.</w:t>
      </w:r>
    </w:p>
    <w:p w14:paraId="4C14E3BB" w14:textId="77777777" w:rsidR="00386EB8" w:rsidRDefault="00386EB8">
      <w:pPr>
        <w:spacing w:line="360" w:lineRule="auto"/>
        <w:rPr>
          <w:szCs w:val="21"/>
        </w:rPr>
      </w:pPr>
    </w:p>
    <w:p w14:paraId="587159FE" w14:textId="77777777" w:rsidR="00386EB8" w:rsidRDefault="00000000">
      <w:pPr>
        <w:pStyle w:val="ad"/>
        <w:spacing w:line="480" w:lineRule="auto"/>
        <w:ind w:firstLineChars="0" w:firstLine="0"/>
        <w:rPr>
          <w:b/>
          <w:bCs/>
          <w:iCs/>
          <w:sz w:val="24"/>
        </w:rPr>
      </w:pPr>
      <w:r>
        <w:rPr>
          <w:b/>
          <w:bCs/>
          <w:iCs/>
          <w:sz w:val="24"/>
        </w:rPr>
        <w:t>1. Electrochemical parameter calculation</w:t>
      </w:r>
    </w:p>
    <w:p w14:paraId="0F96560B" w14:textId="2B7E6CC9" w:rsidR="00386EB8" w:rsidRDefault="00000000">
      <w:pPr>
        <w:spacing w:line="480" w:lineRule="auto"/>
        <w:rPr>
          <w:rStyle w:val="tgt"/>
          <w:color w:val="333333"/>
          <w:sz w:val="24"/>
          <w:shd w:val="clear" w:color="auto" w:fill="F7F8FA"/>
        </w:rPr>
      </w:pPr>
      <w:r>
        <w:rPr>
          <w:sz w:val="24"/>
        </w:rPr>
        <w:t xml:space="preserve">To better study the electrochemical performance of this sensor, the relative electroactive surface area, and the electron transfer coefficient of Au/PEDOT/ZIF-8/GCE were calculated. By using the CV method, scan in the 0.1 M </w:t>
      </w:r>
      <w:proofErr w:type="spellStart"/>
      <w:r>
        <w:rPr>
          <w:sz w:val="24"/>
        </w:rPr>
        <w:t>KCl</w:t>
      </w:r>
      <w:proofErr w:type="spellEnd"/>
      <w:r>
        <w:rPr>
          <w:sz w:val="24"/>
        </w:rPr>
        <w:t xml:space="preserve"> solution containing 5.0 mM [</w:t>
      </w:r>
      <w:proofErr w:type="gramStart"/>
      <w:r>
        <w:rPr>
          <w:sz w:val="24"/>
        </w:rPr>
        <w:t>Fe(</w:t>
      </w:r>
      <w:proofErr w:type="gramEnd"/>
      <w:r>
        <w:rPr>
          <w:sz w:val="24"/>
        </w:rPr>
        <w:t>CN)</w:t>
      </w:r>
      <w:r>
        <w:rPr>
          <w:sz w:val="24"/>
          <w:vertAlign w:val="subscript"/>
        </w:rPr>
        <w:t>6</w:t>
      </w:r>
      <w:r>
        <w:rPr>
          <w:sz w:val="24"/>
        </w:rPr>
        <w:t>]</w:t>
      </w:r>
      <w:r>
        <w:rPr>
          <w:sz w:val="24"/>
          <w:vertAlign w:val="superscript"/>
        </w:rPr>
        <w:t>3- /4-</w:t>
      </w:r>
      <w:r>
        <w:rPr>
          <w:sz w:val="24"/>
        </w:rPr>
        <w:t xml:space="preserve"> at different scan rates ranging from 25 to 225 mV s</w:t>
      </w:r>
      <w:r>
        <w:rPr>
          <w:sz w:val="24"/>
          <w:vertAlign w:val="superscript"/>
        </w:rPr>
        <w:t>-1</w:t>
      </w:r>
      <w:r>
        <w:rPr>
          <w:sz w:val="24"/>
        </w:rPr>
        <w:t>, as shown in Fig. S</w:t>
      </w:r>
      <w:r w:rsidR="005E7EF1">
        <w:rPr>
          <w:rFonts w:hint="eastAsia"/>
          <w:sz w:val="24"/>
        </w:rPr>
        <w:t>6</w:t>
      </w:r>
      <w:r>
        <w:rPr>
          <w:sz w:val="24"/>
        </w:rPr>
        <w:t>A. Redox current is obtained in Fig. S</w:t>
      </w:r>
      <w:r w:rsidR="005E7EF1">
        <w:rPr>
          <w:rFonts w:hint="eastAsia"/>
          <w:sz w:val="24"/>
        </w:rPr>
        <w:t>6</w:t>
      </w:r>
      <w:r>
        <w:rPr>
          <w:sz w:val="24"/>
        </w:rPr>
        <w:t xml:space="preserve">B. The linear relationship as follows: </w:t>
      </w:r>
      <w:r>
        <w:rPr>
          <w:i/>
          <w:iCs/>
          <w:sz w:val="24"/>
        </w:rPr>
        <w:t>I</w:t>
      </w:r>
      <w:r>
        <w:rPr>
          <w:sz w:val="24"/>
        </w:rPr>
        <w:t>p = 7.1255+14.7616 V</w:t>
      </w:r>
      <w:r>
        <w:rPr>
          <w:sz w:val="24"/>
          <w:vertAlign w:val="superscript"/>
        </w:rPr>
        <w:t>1/2</w:t>
      </w:r>
      <w:r>
        <w:rPr>
          <w:sz w:val="24"/>
        </w:rPr>
        <w:t xml:space="preserve">, </w:t>
      </w:r>
      <w:r>
        <w:rPr>
          <w:i/>
          <w:iCs/>
          <w:sz w:val="24"/>
        </w:rPr>
        <w:t>R</w:t>
      </w:r>
      <w:r>
        <w:rPr>
          <w:sz w:val="24"/>
          <w:vertAlign w:val="superscript"/>
        </w:rPr>
        <w:t xml:space="preserve">2 </w:t>
      </w:r>
      <w:r>
        <w:rPr>
          <w:sz w:val="24"/>
        </w:rPr>
        <w:t xml:space="preserve">= 0.9993 for CA and </w:t>
      </w:r>
      <w:r>
        <w:rPr>
          <w:i/>
          <w:iCs/>
          <w:sz w:val="24"/>
        </w:rPr>
        <w:t>I</w:t>
      </w:r>
      <w:r>
        <w:rPr>
          <w:sz w:val="24"/>
        </w:rPr>
        <w:t>p = 9.5016 - 18.4371 V</w:t>
      </w:r>
      <w:r>
        <w:rPr>
          <w:sz w:val="24"/>
          <w:vertAlign w:val="superscript"/>
        </w:rPr>
        <w:t>1/2</w:t>
      </w:r>
      <w:r>
        <w:rPr>
          <w:sz w:val="24"/>
        </w:rPr>
        <w:t>, R</w:t>
      </w:r>
      <w:r>
        <w:rPr>
          <w:sz w:val="24"/>
          <w:vertAlign w:val="superscript"/>
        </w:rPr>
        <w:t xml:space="preserve">2 </w:t>
      </w:r>
      <w:r>
        <w:rPr>
          <w:sz w:val="24"/>
        </w:rPr>
        <w:t xml:space="preserve">= 0.9991 for SY, which suggest that the electrochemical system follows the diffusion control mechanism. The electrically active surface area was calculated by the </w:t>
      </w:r>
      <w:proofErr w:type="spellStart"/>
      <w:r>
        <w:rPr>
          <w:sz w:val="24"/>
        </w:rPr>
        <w:t>Randles-Sevcik</w:t>
      </w:r>
      <w:proofErr w:type="spellEnd"/>
      <w:r>
        <w:rPr>
          <w:sz w:val="24"/>
        </w:rPr>
        <w:t xml:space="preserve"> equation:</w:t>
      </w:r>
    </w:p>
    <w:p w14:paraId="156FA5A3" w14:textId="77777777" w:rsidR="00386EB8" w:rsidRDefault="00000000">
      <w:pPr>
        <w:spacing w:line="480" w:lineRule="auto"/>
        <w:jc w:val="left"/>
        <w:rPr>
          <w:i/>
          <w:sz w:val="24"/>
        </w:rPr>
      </w:pPr>
      <w:r>
        <w:rPr>
          <w:i/>
          <w:position w:val="-14"/>
          <w:sz w:val="24"/>
        </w:rPr>
        <w:object w:dxaOrig="4030" w:dyaOrig="570" w14:anchorId="3F83AA7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01.5pt;height:28.5pt" o:ole="">
            <v:imagedata r:id="rId14" o:title=""/>
          </v:shape>
          <o:OLEObject Type="Embed" ProgID="Equation.DSMT4" ShapeID="_x0000_i1025" DrawAspect="Content" ObjectID="_1726118519" r:id="rId15"/>
        </w:object>
      </w:r>
      <w:r>
        <w:rPr>
          <w:i/>
          <w:sz w:val="24"/>
        </w:rPr>
        <w:t xml:space="preserve">                                 </w:t>
      </w:r>
      <w:r>
        <w:rPr>
          <w:sz w:val="24"/>
        </w:rPr>
        <w:t>(1)</w:t>
      </w:r>
    </w:p>
    <w:p w14:paraId="7732162F" w14:textId="77777777" w:rsidR="00386EB8" w:rsidRDefault="00000000">
      <w:pPr>
        <w:spacing w:line="480" w:lineRule="auto"/>
        <w:ind w:firstLineChars="200" w:firstLine="480"/>
        <w:rPr>
          <w:sz w:val="24"/>
        </w:rPr>
      </w:pPr>
      <w:r>
        <w:rPr>
          <w:sz w:val="24"/>
        </w:rPr>
        <w:lastRenderedPageBreak/>
        <w:t xml:space="preserve">Among them, </w:t>
      </w:r>
      <w:r>
        <w:rPr>
          <w:i/>
          <w:iCs/>
          <w:sz w:val="24"/>
        </w:rPr>
        <w:t>I</w:t>
      </w:r>
      <w:r>
        <w:rPr>
          <w:sz w:val="24"/>
        </w:rPr>
        <w:t xml:space="preserve">p (A) represents the peak current, </w:t>
      </w:r>
      <w:r>
        <w:rPr>
          <w:i/>
          <w:iCs/>
          <w:sz w:val="24"/>
        </w:rPr>
        <w:t xml:space="preserve">n </w:t>
      </w:r>
      <w:r>
        <w:rPr>
          <w:sz w:val="24"/>
        </w:rPr>
        <w:t>(n</w:t>
      </w:r>
      <w:r>
        <w:rPr>
          <w:i/>
          <w:iCs/>
          <w:sz w:val="24"/>
        </w:rPr>
        <w:t xml:space="preserve"> </w:t>
      </w:r>
      <w:r>
        <w:rPr>
          <w:sz w:val="24"/>
        </w:rPr>
        <w:t>= 1) is the number of electrons transferred in the [</w:t>
      </w:r>
      <w:proofErr w:type="gramStart"/>
      <w:r>
        <w:rPr>
          <w:sz w:val="24"/>
        </w:rPr>
        <w:t>Fe(</w:t>
      </w:r>
      <w:proofErr w:type="gramEnd"/>
      <w:r>
        <w:rPr>
          <w:sz w:val="24"/>
        </w:rPr>
        <w:t>CN)</w:t>
      </w:r>
      <w:r>
        <w:rPr>
          <w:sz w:val="24"/>
          <w:vertAlign w:val="subscript"/>
        </w:rPr>
        <w:t>6</w:t>
      </w:r>
      <w:r>
        <w:rPr>
          <w:sz w:val="24"/>
        </w:rPr>
        <w:t>]</w:t>
      </w:r>
      <w:r>
        <w:rPr>
          <w:sz w:val="24"/>
          <w:vertAlign w:val="superscript"/>
        </w:rPr>
        <w:t>3-/4-</w:t>
      </w:r>
      <w:r>
        <w:rPr>
          <w:sz w:val="24"/>
        </w:rPr>
        <w:t xml:space="preserve"> redox process, and A is the electrochemical active area of the sensor, [Fe(CN)</w:t>
      </w:r>
      <w:r>
        <w:rPr>
          <w:sz w:val="24"/>
          <w:vertAlign w:val="subscript"/>
        </w:rPr>
        <w:t>6</w:t>
      </w:r>
      <w:r>
        <w:rPr>
          <w:sz w:val="24"/>
        </w:rPr>
        <w:t>]</w:t>
      </w:r>
      <w:r>
        <w:rPr>
          <w:sz w:val="24"/>
          <w:vertAlign w:val="superscript"/>
        </w:rPr>
        <w:t>3-/4-</w:t>
      </w:r>
      <w:r>
        <w:rPr>
          <w:sz w:val="24"/>
        </w:rPr>
        <w:t xml:space="preserve"> diffusion coefficient and concentration are represented by D (cm</w:t>
      </w:r>
      <w:r>
        <w:rPr>
          <w:sz w:val="24"/>
          <w:vertAlign w:val="superscript"/>
        </w:rPr>
        <w:t>2</w:t>
      </w:r>
      <w:r>
        <w:rPr>
          <w:sz w:val="24"/>
        </w:rPr>
        <w:t xml:space="preserve"> s</w:t>
      </w:r>
      <w:r>
        <w:rPr>
          <w:sz w:val="24"/>
          <w:vertAlign w:val="superscript"/>
        </w:rPr>
        <w:t>-1</w:t>
      </w:r>
      <w:r>
        <w:rPr>
          <w:sz w:val="24"/>
        </w:rPr>
        <w:t>) and C (mol cm</w:t>
      </w:r>
      <w:r>
        <w:rPr>
          <w:sz w:val="24"/>
          <w:vertAlign w:val="superscript"/>
        </w:rPr>
        <w:t>-3</w:t>
      </w:r>
      <w:r>
        <w:rPr>
          <w:sz w:val="24"/>
        </w:rPr>
        <w:t xml:space="preserve">), </w:t>
      </w:r>
      <w:r>
        <w:rPr>
          <w:i/>
          <w:iCs/>
          <w:sz w:val="24"/>
        </w:rPr>
        <w:t>ν</w:t>
      </w:r>
      <w:r>
        <w:rPr>
          <w:sz w:val="24"/>
        </w:rPr>
        <w:t xml:space="preserve"> is the scan rate (V</w:t>
      </w:r>
      <w:r>
        <w:rPr>
          <w:rFonts w:eastAsia="等线"/>
          <w:sz w:val="24"/>
        </w:rPr>
        <w:t xml:space="preserve"> </w:t>
      </w:r>
      <w:r>
        <w:rPr>
          <w:sz w:val="24"/>
        </w:rPr>
        <w:t>s</w:t>
      </w:r>
      <w:r>
        <w:rPr>
          <w:sz w:val="24"/>
          <w:vertAlign w:val="superscript"/>
        </w:rPr>
        <w:t>-1</w:t>
      </w:r>
      <w:r>
        <w:rPr>
          <w:sz w:val="24"/>
        </w:rPr>
        <w:t>). Therefore, n = 1, C = 5×10</w:t>
      </w:r>
      <w:r>
        <w:rPr>
          <w:sz w:val="24"/>
          <w:vertAlign w:val="superscript"/>
        </w:rPr>
        <w:t>-6</w:t>
      </w:r>
      <w:r>
        <w:rPr>
          <w:sz w:val="24"/>
        </w:rPr>
        <w:t xml:space="preserve"> mol cm</w:t>
      </w:r>
      <w:r>
        <w:rPr>
          <w:sz w:val="24"/>
          <w:vertAlign w:val="superscript"/>
        </w:rPr>
        <w:t>-3</w:t>
      </w:r>
      <w:r>
        <w:rPr>
          <w:sz w:val="24"/>
        </w:rPr>
        <w:t>, D = 0.67×10</w:t>
      </w:r>
      <w:r>
        <w:rPr>
          <w:sz w:val="24"/>
          <w:vertAlign w:val="superscript"/>
        </w:rPr>
        <w:t>-5</w:t>
      </w:r>
      <w:r>
        <w:rPr>
          <w:sz w:val="24"/>
        </w:rPr>
        <w:t xml:space="preserve"> cm</w:t>
      </w:r>
      <w:r>
        <w:rPr>
          <w:sz w:val="24"/>
          <w:vertAlign w:val="superscript"/>
        </w:rPr>
        <w:t>2</w:t>
      </w:r>
      <w:r>
        <w:rPr>
          <w:sz w:val="24"/>
        </w:rPr>
        <w:t xml:space="preserve"> s</w:t>
      </w:r>
      <w:r>
        <w:rPr>
          <w:sz w:val="24"/>
          <w:vertAlign w:val="superscript"/>
        </w:rPr>
        <w:t>-1</w:t>
      </w:r>
      <w:r>
        <w:rPr>
          <w:sz w:val="24"/>
        </w:rPr>
        <w:t>. Therefore, based on the slope of</w:t>
      </w:r>
      <w:r>
        <w:rPr>
          <w:i/>
          <w:iCs/>
          <w:sz w:val="24"/>
        </w:rPr>
        <w:t xml:space="preserve"> I</w:t>
      </w:r>
      <w:r>
        <w:rPr>
          <w:sz w:val="24"/>
        </w:rPr>
        <w:t xml:space="preserve">p vs. </w:t>
      </w:r>
      <w:r>
        <w:rPr>
          <w:i/>
          <w:iCs/>
          <w:sz w:val="24"/>
        </w:rPr>
        <w:t>ν</w:t>
      </w:r>
      <w:r>
        <w:rPr>
          <w:sz w:val="24"/>
          <w:vertAlign w:val="superscript"/>
        </w:rPr>
        <w:t>1/2</w:t>
      </w:r>
      <w:r>
        <w:rPr>
          <w:sz w:val="24"/>
        </w:rPr>
        <w:t>, the average electroactive surface area of Au/PEDOT/ZIF-8/GCE was calculated to be 0.142 cm</w:t>
      </w:r>
      <w:r>
        <w:rPr>
          <w:sz w:val="24"/>
          <w:vertAlign w:val="superscript"/>
        </w:rPr>
        <w:t>2</w:t>
      </w:r>
      <w:r>
        <w:rPr>
          <w:sz w:val="24"/>
        </w:rPr>
        <w:t>, which is 1.54 times of the bare electrode area (0.092 cm</w:t>
      </w:r>
      <w:r>
        <w:rPr>
          <w:sz w:val="24"/>
          <w:vertAlign w:val="superscript"/>
        </w:rPr>
        <w:t>2</w:t>
      </w:r>
      <w:r>
        <w:rPr>
          <w:sz w:val="24"/>
        </w:rPr>
        <w:t>). The above results indicate that the Au/PEDOT/ZIF-8 nanocomposite possesses the highest electrochemical active surface area, which will be beneficial for improving its electrocatalytic performance for CA and SY oxidation.</w:t>
      </w:r>
    </w:p>
    <w:p w14:paraId="5789FD36" w14:textId="1E321838" w:rsidR="00386EB8" w:rsidRDefault="00000000">
      <w:pPr>
        <w:autoSpaceDE w:val="0"/>
        <w:autoSpaceDN w:val="0"/>
        <w:adjustRightInd w:val="0"/>
        <w:spacing w:line="480" w:lineRule="auto"/>
        <w:ind w:firstLineChars="200" w:firstLine="480"/>
        <w:rPr>
          <w:sz w:val="24"/>
        </w:rPr>
      </w:pPr>
      <w:r>
        <w:rPr>
          <w:sz w:val="24"/>
        </w:rPr>
        <w:t>Fig. S</w:t>
      </w:r>
      <w:r w:rsidR="005E7EF1">
        <w:rPr>
          <w:rFonts w:hint="eastAsia"/>
          <w:sz w:val="24"/>
        </w:rPr>
        <w:t>7</w:t>
      </w:r>
      <w:r>
        <w:rPr>
          <w:sz w:val="24"/>
        </w:rPr>
        <w:t xml:space="preserve">A shown the CV plots for 50 µM CA and 25 µM SY with different scanning rates, in 0.1 M PBS solution with pH = 7.5 and the </w:t>
      </w:r>
      <w:hyperlink r:id="rId16" w:history="1">
        <w:r>
          <w:rPr>
            <w:sz w:val="24"/>
          </w:rPr>
          <w:t>equation</w:t>
        </w:r>
      </w:hyperlink>
      <w:r>
        <w:rPr>
          <w:sz w:val="24"/>
        </w:rPr>
        <w:t> </w:t>
      </w:r>
      <w:hyperlink r:id="rId17" w:history="1">
        <w:r>
          <w:rPr>
            <w:sz w:val="24"/>
          </w:rPr>
          <w:t>of</w:t>
        </w:r>
      </w:hyperlink>
      <w:r>
        <w:rPr>
          <w:sz w:val="24"/>
        </w:rPr>
        <w:t> </w:t>
      </w:r>
      <w:hyperlink r:id="rId18" w:history="1">
        <w:r>
          <w:rPr>
            <w:sz w:val="24"/>
          </w:rPr>
          <w:t>linear</w:t>
        </w:r>
      </w:hyperlink>
      <w:r>
        <w:rPr>
          <w:sz w:val="24"/>
        </w:rPr>
        <w:t> </w:t>
      </w:r>
      <w:hyperlink r:id="rId19" w:history="1">
        <w:r>
          <w:rPr>
            <w:sz w:val="24"/>
          </w:rPr>
          <w:t>regression</w:t>
        </w:r>
      </w:hyperlink>
      <w:r>
        <w:rPr>
          <w:rStyle w:val="apple-converted-space"/>
          <w:color w:val="999999"/>
          <w:sz w:val="24"/>
          <w:shd w:val="clear" w:color="auto" w:fill="FFFFFF"/>
        </w:rPr>
        <w:t> </w:t>
      </w:r>
      <w:r>
        <w:rPr>
          <w:sz w:val="24"/>
        </w:rPr>
        <w:t>for CA are</w:t>
      </w:r>
      <w:r>
        <w:rPr>
          <w:i/>
          <w:iCs/>
          <w:sz w:val="24"/>
        </w:rPr>
        <w:t xml:space="preserve"> E</w:t>
      </w:r>
      <w:r>
        <w:rPr>
          <w:sz w:val="24"/>
          <w:vertAlign w:val="subscript"/>
        </w:rPr>
        <w:t>p</w:t>
      </w:r>
      <w:r>
        <w:rPr>
          <w:sz w:val="24"/>
        </w:rPr>
        <w:t xml:space="preserve"> = 0.0804 + 0.02156 </w:t>
      </w:r>
      <w:proofErr w:type="spellStart"/>
      <w:r>
        <w:rPr>
          <w:sz w:val="24"/>
        </w:rPr>
        <w:t>Inν</w:t>
      </w:r>
      <w:proofErr w:type="spellEnd"/>
      <w:r>
        <w:rPr>
          <w:sz w:val="24"/>
        </w:rPr>
        <w:t>,</w:t>
      </w:r>
      <w:r>
        <w:rPr>
          <w:i/>
          <w:iCs/>
          <w:sz w:val="24"/>
        </w:rPr>
        <w:t xml:space="preserve"> R</w:t>
      </w:r>
      <w:r>
        <w:rPr>
          <w:sz w:val="24"/>
          <w:vertAlign w:val="superscript"/>
        </w:rPr>
        <w:t>2</w:t>
      </w:r>
      <w:r>
        <w:rPr>
          <w:sz w:val="24"/>
        </w:rPr>
        <w:t xml:space="preserve"> = 0.9982(Fig. S</w:t>
      </w:r>
      <w:r w:rsidR="005E7EF1">
        <w:rPr>
          <w:rFonts w:hint="eastAsia"/>
          <w:sz w:val="24"/>
        </w:rPr>
        <w:t>7</w:t>
      </w:r>
      <w:r>
        <w:rPr>
          <w:sz w:val="24"/>
        </w:rPr>
        <w:t>B)</w:t>
      </w:r>
      <w:r>
        <w:rPr>
          <w:b/>
          <w:bCs/>
          <w:sz w:val="24"/>
        </w:rPr>
        <w:t xml:space="preserve"> </w:t>
      </w:r>
      <w:r>
        <w:rPr>
          <w:sz w:val="24"/>
        </w:rPr>
        <w:t xml:space="preserve">and this result indicates that the sensing system follows the surface control mechanism. The value of α was calculated with the following equation </w:t>
      </w:r>
      <w:r>
        <w:rPr>
          <w:sz w:val="24"/>
        </w:rPr>
        <w:fldChar w:fldCharType="begin"/>
      </w:r>
      <w:r w:rsidR="00E24D11">
        <w:rPr>
          <w:sz w:val="24"/>
        </w:rPr>
        <w:instrText xml:space="preserve"> ADDIN EN.CITE &lt;EndNote&gt;&lt;Cite&gt;&lt;Author&gt;Aikens&lt;/Author&gt;&lt;Year&gt;1983&lt;/Year&gt;&lt;RecNum&gt;73&lt;/RecNum&gt;&lt;DisplayText&gt;(Aikens, 1983)&lt;/DisplayText&gt;&lt;record&gt;&lt;rec-number&gt;73&lt;/rec-number&gt;&lt;foreign-keys&gt;&lt;key app="EN" db-id="9aft0r0eowwr9ce0w5gvddxhp2z9xdrtsz5s" timestamp="1609290560"&gt;73&lt;/key&gt;&lt;/foreign-keys&gt;&lt;ref-type name="Journal Article"&gt;17&lt;/ref-type&gt;&lt;contributors&gt;&lt;authors&gt;&lt;author&gt;Aikens, D. A.&lt;/author&gt;&lt;/authors&gt;&lt;/contributors&gt;&lt;titles&gt;&lt;title&gt;Electrochemical methods, fundamentals and applications&lt;/title&gt;&lt;secondary-title&gt;Journal of Chemical Education&lt;/secondary-title&gt;&lt;/titles&gt;&lt;periodical&gt;&lt;full-title&gt;Journal of Chemical Education&lt;/full-title&gt;&lt;abbr-1&gt;J. Chem. Educ.&lt;/abbr-1&gt;&lt;abbr-2&gt;J Chem Educ&lt;/abbr-2&gt;&lt;/periodical&gt;&lt;pages&gt;A25&lt;/pages&gt;&lt;volume&gt;60&lt;/volume&gt;&lt;number&gt;1&lt;/number&gt;&lt;dates&gt;&lt;year&gt;1983&lt;/year&gt;&lt;pub-dates&gt;&lt;date&gt;1983/01/01&lt;/date&gt;&lt;/pub-dates&gt;&lt;/dates&gt;&lt;publisher&gt;American Chemical Society&lt;/publisher&gt;&lt;isbn&gt;0021-9584&lt;/isbn&gt;&lt;urls&gt;&lt;related-urls&gt;&lt;url&gt;https://doi.org/10.1021/ed060pA25.1&lt;/url&gt;&lt;/related-urls&gt;&lt;/urls&gt;&lt;electronic-resource-num&gt;10.1021/ed060pA25.1&lt;/electronic-resource-num&gt;&lt;/record&gt;&lt;/Cite&gt;&lt;/EndNote&gt;</w:instrText>
      </w:r>
      <w:r>
        <w:rPr>
          <w:sz w:val="24"/>
        </w:rPr>
        <w:fldChar w:fldCharType="separate"/>
      </w:r>
      <w:r w:rsidR="00E24D11">
        <w:rPr>
          <w:noProof/>
          <w:sz w:val="24"/>
        </w:rPr>
        <w:t>(Aikens, 1983)</w:t>
      </w:r>
      <w:r>
        <w:rPr>
          <w:sz w:val="24"/>
        </w:rPr>
        <w:fldChar w:fldCharType="end"/>
      </w:r>
      <w:r>
        <w:rPr>
          <w:sz w:val="24"/>
        </w:rPr>
        <w:t>:</w:t>
      </w:r>
    </w:p>
    <w:p w14:paraId="63C3EF6F" w14:textId="77777777" w:rsidR="00386EB8" w:rsidRDefault="00000000">
      <w:pPr>
        <w:autoSpaceDE w:val="0"/>
        <w:autoSpaceDN w:val="0"/>
        <w:adjustRightInd w:val="0"/>
        <w:spacing w:line="480" w:lineRule="auto"/>
        <w:rPr>
          <w:color w:val="FF0000"/>
          <w:sz w:val="24"/>
        </w:rPr>
      </w:pPr>
      <w:r>
        <w:rPr>
          <w:color w:val="FF0000"/>
          <w:position w:val="-24"/>
          <w:sz w:val="24"/>
        </w:rPr>
        <w:object w:dxaOrig="3073" w:dyaOrig="820" w14:anchorId="3930056E">
          <v:shape id="_x0000_i1026" type="#_x0000_t75" style="width:153.65pt;height:41pt" o:ole="">
            <v:imagedata r:id="rId20" o:title=""/>
          </v:shape>
          <o:OLEObject Type="Embed" ProgID="Equation.DSMT4" ShapeID="_x0000_i1026" DrawAspect="Content" ObjectID="_1726118520" r:id="rId21"/>
        </w:object>
      </w:r>
      <w:r>
        <w:rPr>
          <w:color w:val="FF0000"/>
          <w:sz w:val="24"/>
        </w:rPr>
        <w:t xml:space="preserve">                                         </w:t>
      </w:r>
      <w:r>
        <w:rPr>
          <w:sz w:val="24"/>
        </w:rPr>
        <w:t>(2)</w:t>
      </w:r>
    </w:p>
    <w:p w14:paraId="6EC567F6" w14:textId="74747AD7" w:rsidR="00386EB8" w:rsidRDefault="00000000">
      <w:pPr>
        <w:spacing w:line="480" w:lineRule="auto"/>
        <w:rPr>
          <w:sz w:val="24"/>
        </w:rPr>
      </w:pPr>
      <w:r>
        <w:rPr>
          <w:sz w:val="24"/>
        </w:rPr>
        <w:t>where</w:t>
      </w:r>
      <w:r>
        <w:rPr>
          <w:i/>
          <w:iCs/>
          <w:sz w:val="24"/>
        </w:rPr>
        <w:t xml:space="preserve"> R</w:t>
      </w:r>
      <w:r>
        <w:rPr>
          <w:sz w:val="24"/>
        </w:rPr>
        <w:t xml:space="preserve"> represents the gas constant (</w:t>
      </w:r>
      <w:r>
        <w:rPr>
          <w:i/>
          <w:iCs/>
          <w:sz w:val="24"/>
        </w:rPr>
        <w:t>R</w:t>
      </w:r>
      <w:r>
        <w:rPr>
          <w:sz w:val="24"/>
        </w:rPr>
        <w:t xml:space="preserve"> = 8.314 J K</w:t>
      </w:r>
      <w:r>
        <w:rPr>
          <w:sz w:val="24"/>
          <w:vertAlign w:val="superscript"/>
        </w:rPr>
        <w:t>-1·</w:t>
      </w:r>
      <w:r>
        <w:rPr>
          <w:sz w:val="24"/>
        </w:rPr>
        <w:t>mol</w:t>
      </w:r>
      <w:r>
        <w:rPr>
          <w:sz w:val="24"/>
          <w:vertAlign w:val="superscript"/>
        </w:rPr>
        <w:t>-1</w:t>
      </w:r>
      <w:r>
        <w:rPr>
          <w:sz w:val="24"/>
        </w:rPr>
        <w:t xml:space="preserve">), </w:t>
      </w:r>
      <w:r>
        <w:rPr>
          <w:i/>
          <w:iCs/>
          <w:sz w:val="24"/>
        </w:rPr>
        <w:t>T</w:t>
      </w:r>
      <w:r>
        <w:rPr>
          <w:sz w:val="24"/>
        </w:rPr>
        <w:t xml:space="preserve"> is room temperature (T = 298 k) and</w:t>
      </w:r>
      <w:r>
        <w:rPr>
          <w:i/>
          <w:iCs/>
          <w:sz w:val="24"/>
        </w:rPr>
        <w:t xml:space="preserve"> F</w:t>
      </w:r>
      <w:r>
        <w:rPr>
          <w:sz w:val="24"/>
        </w:rPr>
        <w:t xml:space="preserve"> is the Faraday constant (</w:t>
      </w:r>
      <w:r>
        <w:rPr>
          <w:i/>
          <w:iCs/>
          <w:sz w:val="24"/>
        </w:rPr>
        <w:t>F</w:t>
      </w:r>
      <w:r>
        <w:rPr>
          <w:sz w:val="24"/>
        </w:rPr>
        <w:t xml:space="preserve"> = 96485 C·mol</w:t>
      </w:r>
      <w:r>
        <w:rPr>
          <w:sz w:val="24"/>
          <w:vertAlign w:val="superscript"/>
        </w:rPr>
        <w:t>-1</w:t>
      </w:r>
      <w:r>
        <w:rPr>
          <w:sz w:val="24"/>
        </w:rPr>
        <w:t>). The slope was obtained from</w:t>
      </w:r>
      <w:r>
        <w:rPr>
          <w:color w:val="FF0000"/>
          <w:sz w:val="24"/>
        </w:rPr>
        <w:t xml:space="preserve"> </w:t>
      </w:r>
      <w:r>
        <w:rPr>
          <w:sz w:val="24"/>
        </w:rPr>
        <w:t>Fig. S</w:t>
      </w:r>
      <w:r w:rsidR="00EB10B5">
        <w:rPr>
          <w:rFonts w:hint="eastAsia"/>
          <w:sz w:val="24"/>
        </w:rPr>
        <w:t>7</w:t>
      </w:r>
      <w:r>
        <w:rPr>
          <w:sz w:val="24"/>
        </w:rPr>
        <w:t>B. The α values of CA were calculated to be 0.595. The value of the electron transfer number (</w:t>
      </w:r>
      <w:r>
        <w:rPr>
          <w:i/>
          <w:sz w:val="24"/>
        </w:rPr>
        <w:t>n</w:t>
      </w:r>
      <w:r>
        <w:rPr>
          <w:sz w:val="24"/>
        </w:rPr>
        <w:t xml:space="preserve">) can be obtained by the </w:t>
      </w:r>
      <w:proofErr w:type="spellStart"/>
      <w:r>
        <w:rPr>
          <w:sz w:val="24"/>
        </w:rPr>
        <w:t>Laviron</w:t>
      </w:r>
      <w:proofErr w:type="spellEnd"/>
      <w:r>
        <w:rPr>
          <w:sz w:val="24"/>
        </w:rPr>
        <w:t xml:space="preserve"> equation </w:t>
      </w:r>
      <w:r>
        <w:rPr>
          <w:sz w:val="24"/>
        </w:rPr>
        <w:fldChar w:fldCharType="begin"/>
      </w:r>
      <w:r w:rsidR="00E24D11">
        <w:rPr>
          <w:sz w:val="24"/>
        </w:rPr>
        <w:instrText xml:space="preserve"> ADDIN EN.CITE &lt;EndNote&gt;&lt;Cite&gt;&lt;Author&gt;Gligor&lt;/Author&gt;&lt;Year&gt;2010&lt;/Year&gt;&lt;RecNum&gt;76&lt;/RecNum&gt;&lt;DisplayText&gt;(Gligor &amp;amp; Ungureşan, 2010)&lt;/DisplayText&gt;&lt;record&gt;&lt;rec-number&gt;76&lt;/rec-number&gt;&lt;foreign-keys&gt;&lt;key app="EN" db-id="9aft0r0eowwr9ce0w5gvddxhp2z9xdrtsz5s" timestamp="1609291760"&gt;76&lt;/key&gt;&lt;/foreign-keys&gt;&lt;ref-type name="Journal Article"&gt;17&lt;/ref-type&gt;&lt;contributors&gt;&lt;authors&gt;&lt;author&gt;Gligor, Delia Maria&lt;/author&gt;&lt;author&gt;Ungureşan, Mihaela Ligia&lt;/author&gt;&lt;/authors&gt;&lt;/contributors&gt;&lt;titles&gt;&lt;title&gt;Numerical modelling and simulation of Laviron treatment for poly-phenothiazine derivative-modified glassy carbon electrodes&lt;/title&gt;&lt;secondary-title&gt;Journal of Mathematical Chemistry&lt;/secondary-title&gt;&lt;/titles&gt;&lt;periodical&gt;&lt;full-title&gt;Journal of Mathematical Chemistry&lt;/full-title&gt;&lt;abbr-1&gt;J. Math. Chem.&lt;/abbr-1&gt;&lt;abbr-2&gt;J Math Chem&lt;/abbr-2&gt;&lt;/periodical&gt;&lt;pages&gt;1476-1482&lt;/pages&gt;&lt;volume&gt;47&lt;/volume&gt;&lt;number&gt;4&lt;/number&gt;&lt;dates&gt;&lt;year&gt;2010&lt;/year&gt;&lt;pub-dates&gt;&lt;date&gt;2010/05/01&lt;/date&gt;&lt;/pub-dates&gt;&lt;/dates&gt;&lt;isbn&gt;1572-8897&lt;/isbn&gt;&lt;urls&gt;&lt;related-urls&gt;&lt;url&gt;https://doi.org/10.1007/s10910-009-9629-y&lt;/url&gt;&lt;/related-urls&gt;&lt;/urls&gt;&lt;electronic-resource-num&gt;10.1007/s10910-009-9629-y&lt;/electronic-resource-num&gt;&lt;/record&gt;&lt;/Cite&gt;&lt;/EndNote&gt;</w:instrText>
      </w:r>
      <w:r>
        <w:rPr>
          <w:sz w:val="24"/>
        </w:rPr>
        <w:fldChar w:fldCharType="separate"/>
      </w:r>
      <w:r w:rsidR="00E24D11">
        <w:rPr>
          <w:noProof/>
          <w:sz w:val="24"/>
        </w:rPr>
        <w:t>(Gligor &amp; Ungureşan, 2010)</w:t>
      </w:r>
      <w:r>
        <w:rPr>
          <w:sz w:val="24"/>
        </w:rPr>
        <w:fldChar w:fldCharType="end"/>
      </w:r>
      <w:r>
        <w:rPr>
          <w:sz w:val="24"/>
        </w:rPr>
        <w:t>:</w:t>
      </w:r>
    </w:p>
    <w:p w14:paraId="26324520" w14:textId="77777777" w:rsidR="00386EB8" w:rsidRDefault="00000000">
      <w:pPr>
        <w:spacing w:line="480" w:lineRule="auto"/>
        <w:rPr>
          <w:color w:val="FF0000"/>
          <w:sz w:val="24"/>
        </w:rPr>
      </w:pPr>
      <w:r>
        <w:rPr>
          <w:position w:val="-28"/>
          <w:sz w:val="24"/>
        </w:rPr>
        <w:object w:dxaOrig="3450" w:dyaOrig="820" w14:anchorId="024D1126">
          <v:shape id="_x0000_i1027" type="#_x0000_t75" style="width:172.5pt;height:41pt" o:ole="">
            <v:imagedata r:id="rId22" o:title=""/>
          </v:shape>
          <o:OLEObject Type="Embed" ProgID="Equation.DSMT4" ShapeID="_x0000_i1027" DrawAspect="Content" ObjectID="_1726118521" r:id="rId23"/>
        </w:object>
      </w:r>
      <w:r>
        <w:rPr>
          <w:sz w:val="24"/>
        </w:rPr>
        <w:t xml:space="preserve">                                      (3)</w:t>
      </w:r>
    </w:p>
    <w:p w14:paraId="7192A0BB" w14:textId="77777777" w:rsidR="00386EB8" w:rsidRDefault="00000000">
      <w:pPr>
        <w:spacing w:line="480" w:lineRule="auto"/>
        <w:rPr>
          <w:sz w:val="24"/>
        </w:rPr>
      </w:pPr>
      <w:proofErr w:type="spellStart"/>
      <w:r>
        <w:rPr>
          <w:sz w:val="24"/>
        </w:rPr>
        <w:t>E</w:t>
      </w:r>
      <w:r>
        <w:rPr>
          <w:sz w:val="24"/>
          <w:vertAlign w:val="superscript"/>
        </w:rPr>
        <w:t>θ</w:t>
      </w:r>
      <w:proofErr w:type="spellEnd"/>
      <w:r>
        <w:rPr>
          <w:sz w:val="24"/>
          <w:vertAlign w:val="superscript"/>
        </w:rPr>
        <w:t xml:space="preserve">' </w:t>
      </w:r>
      <w:r>
        <w:rPr>
          <w:sz w:val="24"/>
        </w:rPr>
        <w:t xml:space="preserve">represents </w:t>
      </w:r>
      <w:bookmarkStart w:id="2" w:name="OLE_LINK4"/>
      <w:r>
        <w:rPr>
          <w:sz w:val="24"/>
        </w:rPr>
        <w:t>the formal redox potential.</w:t>
      </w:r>
      <w:bookmarkEnd w:id="2"/>
      <w:r>
        <w:rPr>
          <w:sz w:val="24"/>
        </w:rPr>
        <w:t xml:space="preserve"> The values of n for CA were calculated to be 2.94 (approximately equal to 3). indicating that the electrochemical oxidization reaction on Au/PEDOT/ZIF-8/GCE is a three-electron transfer process for CA. </w:t>
      </w:r>
    </w:p>
    <w:p w14:paraId="212D2A69" w14:textId="51F6E6A0" w:rsidR="00386EB8" w:rsidRDefault="00000000">
      <w:pPr>
        <w:spacing w:line="480" w:lineRule="auto"/>
        <w:ind w:firstLineChars="200" w:firstLine="480"/>
        <w:rPr>
          <w:sz w:val="24"/>
        </w:rPr>
      </w:pPr>
      <w:r>
        <w:rPr>
          <w:sz w:val="24"/>
        </w:rPr>
        <w:t>As shown in</w:t>
      </w:r>
      <w:r>
        <w:rPr>
          <w:color w:val="FF0000"/>
          <w:sz w:val="24"/>
        </w:rPr>
        <w:t xml:space="preserve"> </w:t>
      </w:r>
      <w:r>
        <w:rPr>
          <w:sz w:val="24"/>
        </w:rPr>
        <w:t>Fig. S</w:t>
      </w:r>
      <w:r w:rsidR="00EB10B5">
        <w:rPr>
          <w:rFonts w:hint="eastAsia"/>
          <w:sz w:val="24"/>
        </w:rPr>
        <w:t>7</w:t>
      </w:r>
      <w:r>
        <w:rPr>
          <w:sz w:val="24"/>
        </w:rPr>
        <w:t xml:space="preserve">D, show the CV plots for 25 µM SY with different scanning rates. In this CV diagram, SY has only one oxidation peak at about 0.65V. So the number of electrons transferred at the electrooxidation of SY at the surface was calculated by evaluating the variation of potential peaks concerning the </w:t>
      </w:r>
      <w:proofErr w:type="spellStart"/>
      <w:r>
        <w:rPr>
          <w:sz w:val="24"/>
        </w:rPr>
        <w:t>Naperian</w:t>
      </w:r>
      <w:proofErr w:type="spellEnd"/>
      <w:r>
        <w:rPr>
          <w:sz w:val="24"/>
        </w:rPr>
        <w:t xml:space="preserve"> logarithm of the scan rate (</w:t>
      </w:r>
      <w:proofErr w:type="spellStart"/>
      <w:r>
        <w:rPr>
          <w:sz w:val="24"/>
        </w:rPr>
        <w:t>lnν</w:t>
      </w:r>
      <w:proofErr w:type="spellEnd"/>
      <w:r>
        <w:rPr>
          <w:sz w:val="24"/>
        </w:rPr>
        <w:t xml:space="preserve">) by Eq. (4) </w:t>
      </w:r>
      <w:r>
        <w:rPr>
          <w:sz w:val="24"/>
        </w:rPr>
        <w:fldChar w:fldCharType="begin"/>
      </w:r>
      <w:r w:rsidR="00E24D11">
        <w:rPr>
          <w:sz w:val="24"/>
        </w:rPr>
        <w:instrText xml:space="preserve"> ADDIN EN.CITE &lt;EndNote&gt;&lt;Cite&gt;&lt;Author&gt;Bard&lt;/Author&gt;&lt;Year&gt;1980&lt;/Year&gt;&lt;RecNum&gt;51&lt;/RecNum&gt;&lt;DisplayText&gt;(Bard, 1980)&lt;/DisplayText&gt;&lt;record&gt;&lt;rec-number&gt;51&lt;/rec-number&gt;&lt;foreign-keys&gt;&lt;key app="EN" db-id="t2pt52td8zt59qe2w2qxrvpl2perdrs2wf9a" timestamp="1650591490"&gt;51&lt;/key&gt;&lt;/foreign-keys&gt;&lt;ref-type name="Book"&gt;6&lt;/ref-type&gt;&lt;contributors&gt;&lt;authors&gt;&lt;author&gt;Bard, Allen J. Faulkner Larry R.&lt;/author&gt;&lt;/authors&gt;&lt;/contributors&gt;&lt;titles&gt;&lt;title&gt;Electrochemical methods : fundamentals and applications&lt;/title&gt;&lt;/titles&gt;&lt;dates&gt;&lt;year&gt;1980&lt;/year&gt;&lt;/dates&gt;&lt;pub-location&gt;New York&lt;/pub-location&gt;&lt;publisher&gt;Wiley&lt;/publisher&gt;&lt;isbn&gt;0471055425 9780471055426&lt;/isbn&gt;&lt;urls&gt;&lt;/urls&gt;&lt;remote-database-name&gt;/z-wcorg/&lt;/remote-database-name&gt;&lt;remote-database-provider&gt;http://worldcat.org&lt;/remote-database-provider&gt;&lt;language&gt;English&lt;/language&gt;&lt;/record&gt;&lt;/Cite&gt;&lt;/EndNote&gt;</w:instrText>
      </w:r>
      <w:r>
        <w:rPr>
          <w:sz w:val="24"/>
        </w:rPr>
        <w:fldChar w:fldCharType="separate"/>
      </w:r>
      <w:r w:rsidR="00E24D11">
        <w:rPr>
          <w:noProof/>
          <w:sz w:val="24"/>
        </w:rPr>
        <w:t>(Bard, 1980)</w:t>
      </w:r>
      <w:r>
        <w:rPr>
          <w:sz w:val="24"/>
        </w:rPr>
        <w:fldChar w:fldCharType="end"/>
      </w:r>
      <w:r>
        <w:rPr>
          <w:sz w:val="24"/>
        </w:rPr>
        <w:t>:</w:t>
      </w:r>
    </w:p>
    <w:p w14:paraId="5CC0B704" w14:textId="77777777" w:rsidR="00386EB8" w:rsidRDefault="00000000">
      <w:pPr>
        <w:spacing w:line="480" w:lineRule="auto"/>
        <w:rPr>
          <w:color w:val="FF0000"/>
          <w:sz w:val="24"/>
        </w:rPr>
      </w:pPr>
      <w:r>
        <w:rPr>
          <w:noProof/>
          <w:color w:val="FF0000"/>
          <w:sz w:val="24"/>
        </w:rPr>
        <w:drawing>
          <wp:inline distT="0" distB="0" distL="0" distR="0" wp14:anchorId="61979D85" wp14:editId="1082D26F">
            <wp:extent cx="3982720" cy="58674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24" cstate="print">
                      <a:extLst>
                        <a:ext uri="{28A0092B-C50C-407E-A947-70E740481C1C}">
                          <a14:useLocalDpi xmlns:a14="http://schemas.microsoft.com/office/drawing/2010/main" val="0"/>
                        </a:ext>
                      </a:extLst>
                    </a:blip>
                    <a:stretch>
                      <a:fillRect/>
                    </a:stretch>
                  </pic:blipFill>
                  <pic:spPr>
                    <a:xfrm>
                      <a:off x="0" y="0"/>
                      <a:ext cx="4331479" cy="638072"/>
                    </a:xfrm>
                    <a:prstGeom prst="rect">
                      <a:avLst/>
                    </a:prstGeom>
                  </pic:spPr>
                </pic:pic>
              </a:graphicData>
            </a:graphic>
          </wp:inline>
        </w:drawing>
      </w:r>
      <w:r>
        <w:rPr>
          <w:color w:val="FF0000"/>
          <w:sz w:val="24"/>
        </w:rPr>
        <w:t xml:space="preserve">         </w:t>
      </w:r>
      <w:r>
        <w:rPr>
          <w:sz w:val="24"/>
        </w:rPr>
        <w:t>(4)</w:t>
      </w:r>
    </w:p>
    <w:p w14:paraId="6839E91F" w14:textId="549B3367" w:rsidR="00386EB8" w:rsidRDefault="00000000">
      <w:pPr>
        <w:spacing w:line="360" w:lineRule="auto"/>
        <w:rPr>
          <w:szCs w:val="21"/>
        </w:rPr>
      </w:pPr>
      <w:r>
        <w:rPr>
          <w:sz w:val="24"/>
        </w:rPr>
        <w:t xml:space="preserve">where </w:t>
      </w:r>
      <w:proofErr w:type="spellStart"/>
      <w:r>
        <w:rPr>
          <w:i/>
          <w:iCs/>
          <w:sz w:val="24"/>
        </w:rPr>
        <w:t>E</w:t>
      </w:r>
      <w:r>
        <w:rPr>
          <w:sz w:val="24"/>
          <w:vertAlign w:val="superscript"/>
        </w:rPr>
        <w:t>o</w:t>
      </w:r>
      <w:proofErr w:type="spellEnd"/>
      <w:r>
        <w:rPr>
          <w:sz w:val="24"/>
        </w:rPr>
        <w:t xml:space="preserve">΄, the formal reduction potential, </w:t>
      </w:r>
      <w:r>
        <w:rPr>
          <w:i/>
          <w:iCs/>
          <w:sz w:val="24"/>
        </w:rPr>
        <w:t>D</w:t>
      </w:r>
      <w:r>
        <w:rPr>
          <w:sz w:val="24"/>
          <w:vertAlign w:val="subscript"/>
        </w:rPr>
        <w:t>R</w:t>
      </w:r>
      <w:r>
        <w:rPr>
          <w:sz w:val="24"/>
        </w:rPr>
        <w:t xml:space="preserve">, the diffusion coefficient, </w:t>
      </w:r>
      <w:r>
        <w:rPr>
          <w:i/>
          <w:iCs/>
          <w:sz w:val="24"/>
        </w:rPr>
        <w:t>k</w:t>
      </w:r>
      <w:r>
        <w:rPr>
          <w:sz w:val="24"/>
          <w:vertAlign w:val="superscript"/>
        </w:rPr>
        <w:t>o</w:t>
      </w:r>
      <w:r>
        <w:rPr>
          <w:sz w:val="24"/>
        </w:rPr>
        <w:t xml:space="preserve">, the rate constant of the electrochemical reaction, and α, the transfer coefficient. The rest of the symbols have their usual meaning. The </w:t>
      </w:r>
      <w:hyperlink r:id="rId25" w:history="1">
        <w:r>
          <w:rPr>
            <w:sz w:val="24"/>
          </w:rPr>
          <w:t>equation</w:t>
        </w:r>
      </w:hyperlink>
      <w:r>
        <w:rPr>
          <w:sz w:val="24"/>
        </w:rPr>
        <w:t> </w:t>
      </w:r>
      <w:hyperlink r:id="rId26" w:history="1">
        <w:r>
          <w:rPr>
            <w:sz w:val="24"/>
          </w:rPr>
          <w:t>of</w:t>
        </w:r>
      </w:hyperlink>
      <w:r>
        <w:rPr>
          <w:sz w:val="24"/>
        </w:rPr>
        <w:t> </w:t>
      </w:r>
      <w:hyperlink r:id="rId27" w:history="1">
        <w:r>
          <w:rPr>
            <w:sz w:val="24"/>
          </w:rPr>
          <w:t>linear</w:t>
        </w:r>
      </w:hyperlink>
      <w:r>
        <w:rPr>
          <w:sz w:val="24"/>
        </w:rPr>
        <w:t> </w:t>
      </w:r>
      <w:hyperlink r:id="rId28" w:history="1">
        <w:r>
          <w:rPr>
            <w:sz w:val="24"/>
          </w:rPr>
          <w:t>regression</w:t>
        </w:r>
      </w:hyperlink>
      <w:r>
        <w:rPr>
          <w:rStyle w:val="apple-converted-space"/>
          <w:color w:val="999999"/>
          <w:sz w:val="24"/>
          <w:shd w:val="clear" w:color="auto" w:fill="FFFFFF"/>
        </w:rPr>
        <w:t> </w:t>
      </w:r>
      <w:r>
        <w:rPr>
          <w:sz w:val="24"/>
        </w:rPr>
        <w:t xml:space="preserve">for SY are </w:t>
      </w:r>
      <w:bookmarkStart w:id="3" w:name="_Hlk98235742"/>
      <w:r>
        <w:rPr>
          <w:i/>
          <w:iCs/>
          <w:sz w:val="24"/>
        </w:rPr>
        <w:t>E</w:t>
      </w:r>
      <w:r>
        <w:rPr>
          <w:sz w:val="24"/>
          <w:vertAlign w:val="subscript"/>
        </w:rPr>
        <w:t xml:space="preserve">p </w:t>
      </w:r>
      <w:r>
        <w:rPr>
          <w:sz w:val="24"/>
        </w:rPr>
        <w:t>= 0.6135 + 0.01184In</w:t>
      </w:r>
      <w:r>
        <w:rPr>
          <w:i/>
          <w:iCs/>
          <w:sz w:val="24"/>
        </w:rPr>
        <w:t>ν</w:t>
      </w:r>
      <w:bookmarkEnd w:id="3"/>
      <w:r>
        <w:rPr>
          <w:sz w:val="24"/>
        </w:rPr>
        <w:t xml:space="preserve">, </w:t>
      </w:r>
      <w:r>
        <w:rPr>
          <w:i/>
          <w:iCs/>
          <w:sz w:val="24"/>
        </w:rPr>
        <w:t>R</w:t>
      </w:r>
      <w:r>
        <w:rPr>
          <w:sz w:val="24"/>
          <w:vertAlign w:val="superscript"/>
        </w:rPr>
        <w:t>2</w:t>
      </w:r>
      <w:r>
        <w:rPr>
          <w:sz w:val="24"/>
        </w:rPr>
        <w:t xml:space="preserve"> = 0.9990 (Fig. S</w:t>
      </w:r>
      <w:r w:rsidR="00EB10B5">
        <w:rPr>
          <w:rFonts w:hint="eastAsia"/>
          <w:sz w:val="24"/>
        </w:rPr>
        <w:t>7</w:t>
      </w:r>
      <w:r>
        <w:rPr>
          <w:sz w:val="24"/>
        </w:rPr>
        <w:t>E). Based on Eq. (4) and for α = 0.5</w:t>
      </w:r>
      <w:r>
        <w:rPr>
          <w:sz w:val="24"/>
        </w:rPr>
        <w:fldChar w:fldCharType="begin"/>
      </w:r>
      <w:r w:rsidR="00E24D11">
        <w:rPr>
          <w:sz w:val="24"/>
        </w:rPr>
        <w:instrText xml:space="preserve"> ADDIN EN.CITE &lt;EndNote&gt;&lt;Cite&gt;&lt;Author&gt;Laviron&lt;/Author&gt;&lt;Year&gt;1979&lt;/Year&gt;&lt;RecNum&gt;50&lt;/RecNum&gt;&lt;DisplayText&gt;(Laviron, 1979)&lt;/DisplayText&gt;&lt;record&gt;&lt;rec-number&gt;50&lt;/rec-number&gt;&lt;foreign-keys&gt;&lt;key app="EN" db-id="t2pt52td8zt59qe2w2qxrvpl2perdrs2wf9a" timestamp="1650588646"&gt;50&lt;/key&gt;&lt;/foreign-keys&gt;&lt;ref-type name="Journal Article"&gt;17&lt;/ref-type&gt;&lt;contributors&gt;&lt;authors&gt;&lt;author&gt;Laviron, E.&lt;/author&gt;&lt;/authors&gt;&lt;/contributors&gt;&lt;titles&gt;&lt;title&gt;General expression of the linear potential sweep voltammogram in the case of diffusionless electrochemical systems&lt;/title&gt;&lt;secondary-title&gt;Journal of Electroanalytical Chemistry and Interfacial Electrochemistry&lt;/secondary-title&gt;&lt;/titles&gt;&lt;periodical&gt;&lt;full-title&gt;Journal of Electroanalytical Chemistry and Interfacial Electrochemistry&lt;/full-title&gt;&lt;/periodical&gt;&lt;pages&gt;19-28&lt;/pages&gt;&lt;volume&gt;101&lt;/volume&gt;&lt;number&gt;1&lt;/number&gt;&lt;dates&gt;&lt;year&gt;1979&lt;/year&gt;&lt;pub-dates&gt;&lt;date&gt;1979/07/25/&lt;/date&gt;&lt;/pub-dates&gt;&lt;/dates&gt;&lt;isbn&gt;0022-0728&lt;/isbn&gt;&lt;urls&gt;&lt;related-urls&gt;&lt;url&gt;https://www.sciencedirect.com/science/article/pii/S0022072879800753&lt;/url&gt;&lt;/related-urls&gt;&lt;/urls&gt;&lt;electronic-resource-num&gt;https://doi.org/10.1016/S0022-0728(79)80075-3&lt;/electronic-resource-num&gt;&lt;/record&gt;&lt;/Cite&gt;&lt;/EndNote&gt;</w:instrText>
      </w:r>
      <w:r>
        <w:rPr>
          <w:sz w:val="24"/>
        </w:rPr>
        <w:fldChar w:fldCharType="separate"/>
      </w:r>
      <w:r w:rsidR="00E24D11">
        <w:rPr>
          <w:noProof/>
          <w:sz w:val="24"/>
        </w:rPr>
        <w:t>(</w:t>
      </w:r>
      <w:proofErr w:type="spellStart"/>
      <w:r w:rsidR="00E24D11">
        <w:rPr>
          <w:noProof/>
          <w:sz w:val="24"/>
        </w:rPr>
        <w:t>Laviron</w:t>
      </w:r>
      <w:proofErr w:type="spellEnd"/>
      <w:r w:rsidR="00E24D11">
        <w:rPr>
          <w:noProof/>
          <w:sz w:val="24"/>
        </w:rPr>
        <w:t>, 1979)</w:t>
      </w:r>
      <w:r>
        <w:rPr>
          <w:sz w:val="24"/>
        </w:rPr>
        <w:fldChar w:fldCharType="end"/>
      </w:r>
      <w:r>
        <w:rPr>
          <w:sz w:val="24"/>
        </w:rPr>
        <w:t>, the value of n for SY was calculated to be 2.17 (approximately equal to 2).</w:t>
      </w:r>
      <w:r>
        <w:rPr>
          <w:color w:val="333333"/>
          <w:sz w:val="24"/>
          <w:shd w:val="clear" w:color="auto" w:fill="F7F8FA"/>
        </w:rPr>
        <w:t xml:space="preserve"> </w:t>
      </w:r>
    </w:p>
    <w:p w14:paraId="10B12DD8" w14:textId="77777777" w:rsidR="00386EB8" w:rsidRDefault="00386EB8"/>
    <w:p w14:paraId="78387A4D" w14:textId="77777777" w:rsidR="00386EB8" w:rsidRDefault="00386EB8"/>
    <w:p w14:paraId="29B8DD13" w14:textId="77777777" w:rsidR="00386EB8" w:rsidRDefault="00386EB8"/>
    <w:p w14:paraId="3405FA8B" w14:textId="77777777" w:rsidR="00386EB8" w:rsidRDefault="00386EB8"/>
    <w:p w14:paraId="64697BC3" w14:textId="77777777" w:rsidR="00386EB8" w:rsidRDefault="00000000">
      <w:r>
        <w:rPr>
          <w:noProof/>
        </w:rPr>
        <w:lastRenderedPageBreak/>
        <w:drawing>
          <wp:inline distT="0" distB="0" distL="0" distR="0" wp14:anchorId="05CFB203" wp14:editId="0BECCDB9">
            <wp:extent cx="5274310" cy="2147570"/>
            <wp:effectExtent l="0" t="0" r="2540" b="508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a:xfrm>
                      <a:off x="0" y="0"/>
                      <a:ext cx="5274310" cy="2147570"/>
                    </a:xfrm>
                    <a:prstGeom prst="rect">
                      <a:avLst/>
                    </a:prstGeom>
                    <a:noFill/>
                    <a:ln>
                      <a:noFill/>
                    </a:ln>
                  </pic:spPr>
                </pic:pic>
              </a:graphicData>
            </a:graphic>
          </wp:inline>
        </w:drawing>
      </w:r>
    </w:p>
    <w:p w14:paraId="3DBDDCCE" w14:textId="77777777" w:rsidR="00386EB8" w:rsidRDefault="00386EB8">
      <w:pPr>
        <w:spacing w:line="360" w:lineRule="auto"/>
        <w:rPr>
          <w:b/>
          <w:bCs/>
          <w:sz w:val="24"/>
        </w:rPr>
      </w:pPr>
      <w:bookmarkStart w:id="4" w:name="_Hlk97406749"/>
    </w:p>
    <w:p w14:paraId="37CC9311" w14:textId="23374A5C" w:rsidR="00386EB8" w:rsidRDefault="00000000">
      <w:pPr>
        <w:spacing w:line="360" w:lineRule="auto"/>
        <w:jc w:val="center"/>
        <w:rPr>
          <w:sz w:val="24"/>
        </w:rPr>
      </w:pPr>
      <w:r>
        <w:rPr>
          <w:b/>
          <w:bCs/>
          <w:sz w:val="24"/>
        </w:rPr>
        <w:t>Fig.</w:t>
      </w:r>
      <w:r>
        <w:rPr>
          <w:rFonts w:hint="eastAsia"/>
          <w:b/>
          <w:bCs/>
          <w:sz w:val="24"/>
        </w:rPr>
        <w:t xml:space="preserve"> </w:t>
      </w:r>
      <w:r>
        <w:rPr>
          <w:b/>
          <w:bCs/>
          <w:sz w:val="24"/>
        </w:rPr>
        <w:t>S</w:t>
      </w:r>
      <w:r w:rsidR="00842C72">
        <w:rPr>
          <w:rFonts w:hint="eastAsia"/>
          <w:b/>
          <w:bCs/>
          <w:sz w:val="24"/>
        </w:rPr>
        <w:t>6</w:t>
      </w:r>
      <w:r>
        <w:rPr>
          <w:b/>
          <w:bCs/>
          <w:sz w:val="24"/>
        </w:rPr>
        <w:t xml:space="preserve">. </w:t>
      </w:r>
      <w:r>
        <w:rPr>
          <w:sz w:val="24"/>
        </w:rPr>
        <w:t>(A) CVs of Au/PEDOT/ZIF-8 at different scan rate</w:t>
      </w:r>
      <w:r>
        <w:rPr>
          <w:rFonts w:hint="eastAsia"/>
          <w:sz w:val="24"/>
        </w:rPr>
        <w:t xml:space="preserve">s </w:t>
      </w:r>
      <w:r>
        <w:rPr>
          <w:sz w:val="24"/>
        </w:rPr>
        <w:t>in 5.0 mM [</w:t>
      </w:r>
      <w:proofErr w:type="gramStart"/>
      <w:r>
        <w:rPr>
          <w:sz w:val="24"/>
        </w:rPr>
        <w:t>Fe(</w:t>
      </w:r>
      <w:proofErr w:type="gramEnd"/>
      <w:r>
        <w:rPr>
          <w:sz w:val="24"/>
        </w:rPr>
        <w:t>CN)</w:t>
      </w:r>
      <w:r>
        <w:rPr>
          <w:sz w:val="24"/>
          <w:vertAlign w:val="subscript"/>
        </w:rPr>
        <w:t>6</w:t>
      </w:r>
      <w:r>
        <w:rPr>
          <w:sz w:val="24"/>
        </w:rPr>
        <w:t>]</w:t>
      </w:r>
      <w:r>
        <w:rPr>
          <w:sz w:val="24"/>
          <w:vertAlign w:val="superscript"/>
        </w:rPr>
        <w:t>3-/4-</w:t>
      </w:r>
      <w:r>
        <w:rPr>
          <w:rFonts w:hint="eastAsia"/>
          <w:sz w:val="24"/>
          <w:vertAlign w:val="superscript"/>
        </w:rPr>
        <w:t xml:space="preserve"> </w:t>
      </w:r>
      <w:r>
        <w:rPr>
          <w:sz w:val="24"/>
        </w:rPr>
        <w:t>containing</w:t>
      </w:r>
      <w:r>
        <w:rPr>
          <w:rFonts w:hint="eastAsia"/>
          <w:sz w:val="24"/>
        </w:rPr>
        <w:t xml:space="preserve"> </w:t>
      </w:r>
      <w:r>
        <w:rPr>
          <w:sz w:val="24"/>
        </w:rPr>
        <w:t xml:space="preserve">0.1 M </w:t>
      </w:r>
      <w:proofErr w:type="spellStart"/>
      <w:r>
        <w:rPr>
          <w:sz w:val="24"/>
        </w:rPr>
        <w:t>KCl</w:t>
      </w:r>
      <w:proofErr w:type="spellEnd"/>
      <w:r>
        <w:rPr>
          <w:rFonts w:hint="eastAsia"/>
          <w:sz w:val="24"/>
        </w:rPr>
        <w:t>.</w:t>
      </w:r>
      <w:r>
        <w:rPr>
          <w:sz w:val="24"/>
        </w:rPr>
        <w:t xml:space="preserve"> (B) </w:t>
      </w:r>
      <w:r>
        <w:rPr>
          <w:rFonts w:hint="eastAsia"/>
          <w:sz w:val="24"/>
        </w:rPr>
        <w:t>T</w:t>
      </w:r>
      <w:r>
        <w:rPr>
          <w:sz w:val="24"/>
        </w:rPr>
        <w:t xml:space="preserve">he linear fitting curves of peak currents </w:t>
      </w:r>
      <w:r>
        <w:rPr>
          <w:rFonts w:hint="eastAsia"/>
          <w:sz w:val="24"/>
        </w:rPr>
        <w:t>versus</w:t>
      </w:r>
      <w:r>
        <w:rPr>
          <w:sz w:val="24"/>
        </w:rPr>
        <w:t xml:space="preserve"> square root of scan rate</w:t>
      </w:r>
      <w:r>
        <w:rPr>
          <w:rFonts w:hint="eastAsia"/>
          <w:sz w:val="24"/>
        </w:rPr>
        <w:t>s</w:t>
      </w:r>
      <w:r>
        <w:rPr>
          <w:sz w:val="24"/>
        </w:rPr>
        <w:t xml:space="preserve"> (n = 3)</w:t>
      </w:r>
      <w:r>
        <w:rPr>
          <w:rFonts w:hint="eastAsia"/>
          <w:sz w:val="24"/>
        </w:rPr>
        <w:t xml:space="preserve"> in (A).</w:t>
      </w:r>
    </w:p>
    <w:bookmarkEnd w:id="4"/>
    <w:p w14:paraId="3E32D0E9" w14:textId="77777777" w:rsidR="00386EB8" w:rsidRDefault="00386EB8"/>
    <w:p w14:paraId="3E855D67" w14:textId="77777777" w:rsidR="00386EB8" w:rsidRDefault="00000000">
      <w:r>
        <w:rPr>
          <w:noProof/>
        </w:rPr>
        <w:drawing>
          <wp:inline distT="0" distB="0" distL="0" distR="0" wp14:anchorId="169CE144" wp14:editId="1B7AA3E1">
            <wp:extent cx="5274310" cy="2623820"/>
            <wp:effectExtent l="0" t="0" r="2540" b="508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a:xfrm>
                      <a:off x="0" y="0"/>
                      <a:ext cx="5274310" cy="2623820"/>
                    </a:xfrm>
                    <a:prstGeom prst="rect">
                      <a:avLst/>
                    </a:prstGeom>
                    <a:noFill/>
                    <a:ln>
                      <a:noFill/>
                    </a:ln>
                  </pic:spPr>
                </pic:pic>
              </a:graphicData>
            </a:graphic>
          </wp:inline>
        </w:drawing>
      </w:r>
    </w:p>
    <w:p w14:paraId="1D5CFB55" w14:textId="77777777" w:rsidR="00386EB8" w:rsidRDefault="00386EB8"/>
    <w:p w14:paraId="1322A73A" w14:textId="3342D9F3" w:rsidR="00386EB8" w:rsidRDefault="00000000">
      <w:pPr>
        <w:spacing w:line="360" w:lineRule="auto"/>
        <w:jc w:val="center"/>
        <w:rPr>
          <w:sz w:val="24"/>
        </w:rPr>
      </w:pPr>
      <w:r>
        <w:rPr>
          <w:b/>
          <w:bCs/>
          <w:sz w:val="24"/>
        </w:rPr>
        <w:t>Fig.</w:t>
      </w:r>
      <w:r>
        <w:rPr>
          <w:rFonts w:hint="eastAsia"/>
          <w:b/>
          <w:bCs/>
          <w:sz w:val="24"/>
        </w:rPr>
        <w:t xml:space="preserve"> </w:t>
      </w:r>
      <w:r>
        <w:rPr>
          <w:b/>
          <w:bCs/>
          <w:sz w:val="24"/>
        </w:rPr>
        <w:t>S</w:t>
      </w:r>
      <w:r w:rsidR="00842C72">
        <w:rPr>
          <w:rFonts w:hint="eastAsia"/>
          <w:b/>
          <w:bCs/>
          <w:sz w:val="24"/>
        </w:rPr>
        <w:t>7</w:t>
      </w:r>
      <w:r>
        <w:rPr>
          <w:b/>
          <w:bCs/>
          <w:sz w:val="24"/>
        </w:rPr>
        <w:t>.</w:t>
      </w:r>
      <w:r>
        <w:rPr>
          <w:sz w:val="24"/>
        </w:rPr>
        <w:t xml:space="preserve"> (A) CVs of Au/PEDOT/ZIF-8 at different scan rate</w:t>
      </w:r>
      <w:r>
        <w:rPr>
          <w:rFonts w:hint="eastAsia"/>
          <w:sz w:val="24"/>
        </w:rPr>
        <w:t>s</w:t>
      </w:r>
      <w:r>
        <w:rPr>
          <w:sz w:val="24"/>
        </w:rPr>
        <w:t xml:space="preserve"> to 50 µM CA in PBS (pH = 7.5)</w:t>
      </w:r>
      <w:r>
        <w:rPr>
          <w:rFonts w:hint="eastAsia"/>
          <w:sz w:val="24"/>
        </w:rPr>
        <w:t>.</w:t>
      </w:r>
      <w:r>
        <w:rPr>
          <w:sz w:val="24"/>
        </w:rPr>
        <w:t xml:space="preserve"> (B)</w:t>
      </w:r>
      <w:r>
        <w:rPr>
          <w:rFonts w:hint="eastAsia"/>
          <w:sz w:val="24"/>
        </w:rPr>
        <w:t xml:space="preserve"> </w:t>
      </w:r>
      <w:r>
        <w:rPr>
          <w:sz w:val="24"/>
        </w:rPr>
        <w:t>T</w:t>
      </w:r>
      <w:r>
        <w:rPr>
          <w:rFonts w:hint="eastAsia"/>
          <w:sz w:val="24"/>
        </w:rPr>
        <w:t>he</w:t>
      </w:r>
      <w:r>
        <w:rPr>
          <w:sz w:val="24"/>
        </w:rPr>
        <w:t xml:space="preserve"> corresponding linear fitting curve </w:t>
      </w:r>
      <w:r>
        <w:rPr>
          <w:rFonts w:hint="eastAsia"/>
          <w:sz w:val="24"/>
        </w:rPr>
        <w:t xml:space="preserve">of </w:t>
      </w:r>
      <w:r>
        <w:rPr>
          <w:sz w:val="24"/>
        </w:rPr>
        <w:t>the peak potential</w:t>
      </w:r>
      <w:r>
        <w:rPr>
          <w:rFonts w:hint="eastAsia"/>
          <w:sz w:val="24"/>
        </w:rPr>
        <w:t xml:space="preserve"> versus the</w:t>
      </w:r>
      <w:r>
        <w:rPr>
          <w:sz w:val="24"/>
        </w:rPr>
        <w:t xml:space="preserve"> Napierian logarithm of scan rate and </w:t>
      </w:r>
      <w:r>
        <w:rPr>
          <w:rFonts w:hint="eastAsia"/>
          <w:sz w:val="24"/>
        </w:rPr>
        <w:t xml:space="preserve">(C) </w:t>
      </w:r>
      <w:r>
        <w:rPr>
          <w:sz w:val="24"/>
        </w:rPr>
        <w:t xml:space="preserve">the linear fitting curve of the oxidation peak currents </w:t>
      </w:r>
      <w:r>
        <w:rPr>
          <w:rFonts w:hint="eastAsia"/>
          <w:sz w:val="24"/>
        </w:rPr>
        <w:t>versus the</w:t>
      </w:r>
      <w:r>
        <w:rPr>
          <w:sz w:val="24"/>
        </w:rPr>
        <w:t xml:space="preserve"> scan rate </w:t>
      </w:r>
      <w:r>
        <w:rPr>
          <w:rFonts w:hint="eastAsia"/>
          <w:sz w:val="24"/>
        </w:rPr>
        <w:t>in (</w:t>
      </w:r>
      <w:r>
        <w:rPr>
          <w:sz w:val="24"/>
        </w:rPr>
        <w:t>A</w:t>
      </w:r>
      <w:r>
        <w:rPr>
          <w:rFonts w:hint="eastAsia"/>
          <w:sz w:val="24"/>
        </w:rPr>
        <w:t>)</w:t>
      </w:r>
      <w:r>
        <w:rPr>
          <w:sz w:val="24"/>
        </w:rPr>
        <w:t>, respectively</w:t>
      </w:r>
      <w:r>
        <w:rPr>
          <w:rFonts w:hint="eastAsia"/>
          <w:sz w:val="24"/>
        </w:rPr>
        <w:t>.</w:t>
      </w:r>
      <w:r>
        <w:rPr>
          <w:sz w:val="24"/>
        </w:rPr>
        <w:t xml:space="preserve"> (D) CVs of Au/PEDOT/ZIF-8 at different scan rate</w:t>
      </w:r>
      <w:r>
        <w:rPr>
          <w:rFonts w:hint="eastAsia"/>
          <w:sz w:val="24"/>
        </w:rPr>
        <w:t>s</w:t>
      </w:r>
      <w:r>
        <w:rPr>
          <w:sz w:val="24"/>
        </w:rPr>
        <w:t xml:space="preserve"> to 25 µM SY in PBS (pH = 7.5). (E)</w:t>
      </w:r>
      <w:r>
        <w:rPr>
          <w:rFonts w:hint="eastAsia"/>
          <w:sz w:val="24"/>
        </w:rPr>
        <w:t xml:space="preserve"> </w:t>
      </w:r>
      <w:r>
        <w:rPr>
          <w:sz w:val="24"/>
        </w:rPr>
        <w:t>T</w:t>
      </w:r>
      <w:r>
        <w:rPr>
          <w:rFonts w:hint="eastAsia"/>
          <w:sz w:val="24"/>
        </w:rPr>
        <w:t>he</w:t>
      </w:r>
      <w:r>
        <w:rPr>
          <w:sz w:val="24"/>
        </w:rPr>
        <w:t xml:space="preserve"> corresponding linear fitting curve </w:t>
      </w:r>
      <w:r>
        <w:rPr>
          <w:rFonts w:hint="eastAsia"/>
          <w:sz w:val="24"/>
        </w:rPr>
        <w:t xml:space="preserve">of </w:t>
      </w:r>
      <w:r>
        <w:rPr>
          <w:sz w:val="24"/>
        </w:rPr>
        <w:t>the peak potential</w:t>
      </w:r>
      <w:r>
        <w:rPr>
          <w:rFonts w:hint="eastAsia"/>
          <w:sz w:val="24"/>
        </w:rPr>
        <w:t xml:space="preserve"> versus the</w:t>
      </w:r>
      <w:r>
        <w:rPr>
          <w:sz w:val="24"/>
        </w:rPr>
        <w:t xml:space="preserve"> Napierian logarithm of scan rate and </w:t>
      </w:r>
      <w:r>
        <w:rPr>
          <w:rFonts w:hint="eastAsia"/>
          <w:sz w:val="24"/>
        </w:rPr>
        <w:t xml:space="preserve">(F) </w:t>
      </w:r>
      <w:r>
        <w:rPr>
          <w:sz w:val="24"/>
        </w:rPr>
        <w:t xml:space="preserve">the linear fitting curve of the oxidation peak currents </w:t>
      </w:r>
      <w:r>
        <w:rPr>
          <w:rFonts w:hint="eastAsia"/>
          <w:sz w:val="24"/>
        </w:rPr>
        <w:t>versus the</w:t>
      </w:r>
      <w:r>
        <w:rPr>
          <w:sz w:val="24"/>
        </w:rPr>
        <w:t xml:space="preserve"> scan rate </w:t>
      </w:r>
      <w:r>
        <w:rPr>
          <w:rFonts w:hint="eastAsia"/>
          <w:sz w:val="24"/>
        </w:rPr>
        <w:t>in (</w:t>
      </w:r>
      <w:r>
        <w:rPr>
          <w:sz w:val="24"/>
        </w:rPr>
        <w:t>D</w:t>
      </w:r>
      <w:r>
        <w:rPr>
          <w:rFonts w:hint="eastAsia"/>
          <w:sz w:val="24"/>
        </w:rPr>
        <w:t>)</w:t>
      </w:r>
      <w:r>
        <w:rPr>
          <w:sz w:val="24"/>
        </w:rPr>
        <w:t>, respectively</w:t>
      </w:r>
      <w:r>
        <w:rPr>
          <w:rFonts w:hint="eastAsia"/>
          <w:sz w:val="24"/>
        </w:rPr>
        <w:t>.</w:t>
      </w:r>
    </w:p>
    <w:p w14:paraId="33760A27" w14:textId="77777777" w:rsidR="00386EB8" w:rsidRDefault="00386EB8">
      <w:pPr>
        <w:spacing w:line="360" w:lineRule="auto"/>
        <w:rPr>
          <w:szCs w:val="21"/>
        </w:rPr>
      </w:pPr>
    </w:p>
    <w:p w14:paraId="527048D8" w14:textId="6537DB67" w:rsidR="00386EB8" w:rsidRDefault="00397ACD">
      <w:pPr>
        <w:rPr>
          <w:szCs w:val="21"/>
        </w:rPr>
      </w:pPr>
      <w:r>
        <w:rPr>
          <w:noProof/>
          <w:szCs w:val="21"/>
        </w:rPr>
        <w:drawing>
          <wp:inline distT="0" distB="0" distL="0" distR="0" wp14:anchorId="34700CF1" wp14:editId="307DCD40">
            <wp:extent cx="5262245" cy="3362960"/>
            <wp:effectExtent l="0" t="0" r="0" b="889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5262245" cy="3362960"/>
                    </a:xfrm>
                    <a:prstGeom prst="rect">
                      <a:avLst/>
                    </a:prstGeom>
                    <a:noFill/>
                    <a:ln>
                      <a:noFill/>
                    </a:ln>
                  </pic:spPr>
                </pic:pic>
              </a:graphicData>
            </a:graphic>
          </wp:inline>
        </w:drawing>
      </w:r>
    </w:p>
    <w:p w14:paraId="38A755AB" w14:textId="77777777" w:rsidR="00386EB8" w:rsidRDefault="00386EB8">
      <w:pPr>
        <w:rPr>
          <w:szCs w:val="21"/>
        </w:rPr>
      </w:pPr>
    </w:p>
    <w:p w14:paraId="068E5ABD" w14:textId="1C3574CC" w:rsidR="00386EB8" w:rsidRDefault="00000000">
      <w:pPr>
        <w:jc w:val="center"/>
        <w:rPr>
          <w:szCs w:val="21"/>
        </w:rPr>
      </w:pPr>
      <w:r>
        <w:rPr>
          <w:b/>
          <w:bCs/>
          <w:sz w:val="24"/>
        </w:rPr>
        <w:t>Fig.</w:t>
      </w:r>
      <w:r>
        <w:rPr>
          <w:rFonts w:hint="eastAsia"/>
          <w:b/>
          <w:bCs/>
          <w:sz w:val="24"/>
        </w:rPr>
        <w:t xml:space="preserve"> </w:t>
      </w:r>
      <w:r>
        <w:rPr>
          <w:b/>
          <w:bCs/>
          <w:sz w:val="24"/>
        </w:rPr>
        <w:t>S</w:t>
      </w:r>
      <w:r w:rsidR="00842C72">
        <w:rPr>
          <w:rFonts w:hint="eastAsia"/>
          <w:b/>
          <w:bCs/>
          <w:sz w:val="24"/>
        </w:rPr>
        <w:t>8</w:t>
      </w:r>
      <w:r>
        <w:rPr>
          <w:b/>
          <w:bCs/>
          <w:sz w:val="24"/>
        </w:rPr>
        <w:t>.</w:t>
      </w:r>
      <w:r>
        <w:rPr>
          <w:sz w:val="24"/>
        </w:rPr>
        <w:t xml:space="preserve"> The schematic diagram of the electrooxidation mechanism of</w:t>
      </w:r>
      <w:r>
        <w:rPr>
          <w:rFonts w:hint="eastAsia"/>
          <w:sz w:val="24"/>
        </w:rPr>
        <w:t xml:space="preserve"> (A)</w:t>
      </w:r>
      <w:r>
        <w:rPr>
          <w:sz w:val="24"/>
        </w:rPr>
        <w:t xml:space="preserve"> CA</w:t>
      </w:r>
      <w:r>
        <w:rPr>
          <w:rFonts w:hint="eastAsia"/>
          <w:sz w:val="24"/>
        </w:rPr>
        <w:t xml:space="preserve"> and (B) </w:t>
      </w:r>
      <w:r>
        <w:rPr>
          <w:sz w:val="24"/>
        </w:rPr>
        <w:t>SY</w:t>
      </w:r>
      <w:r>
        <w:rPr>
          <w:rFonts w:hint="eastAsia"/>
          <w:sz w:val="24"/>
        </w:rPr>
        <w:t xml:space="preserve"> on the surface of </w:t>
      </w:r>
      <w:r>
        <w:rPr>
          <w:sz w:val="24"/>
        </w:rPr>
        <w:t>Au/PEDOT/ZIF-8/GCE</w:t>
      </w:r>
      <w:r>
        <w:rPr>
          <w:rFonts w:hint="eastAsia"/>
          <w:sz w:val="24"/>
        </w:rPr>
        <w:t>.</w:t>
      </w:r>
      <w:r>
        <w:rPr>
          <w:szCs w:val="21"/>
        </w:rPr>
        <w:t xml:space="preserve"> </w:t>
      </w:r>
    </w:p>
    <w:p w14:paraId="1E3BC16E" w14:textId="009573C2" w:rsidR="00386EB8" w:rsidRDefault="00386EB8">
      <w:pPr>
        <w:jc w:val="center"/>
        <w:rPr>
          <w:szCs w:val="21"/>
        </w:rPr>
      </w:pPr>
    </w:p>
    <w:p w14:paraId="0086823E" w14:textId="433F30CF" w:rsidR="005E7EF1" w:rsidRDefault="005E7EF1">
      <w:pPr>
        <w:jc w:val="center"/>
        <w:rPr>
          <w:szCs w:val="21"/>
        </w:rPr>
      </w:pPr>
    </w:p>
    <w:p w14:paraId="6A404196" w14:textId="77777777" w:rsidR="005E7EF1" w:rsidRDefault="005E7EF1">
      <w:pPr>
        <w:jc w:val="center"/>
        <w:rPr>
          <w:szCs w:val="21"/>
        </w:rPr>
      </w:pPr>
    </w:p>
    <w:p w14:paraId="75785859" w14:textId="77777777" w:rsidR="00386EB8" w:rsidRDefault="00000000">
      <w:pPr>
        <w:jc w:val="center"/>
        <w:rPr>
          <w:szCs w:val="21"/>
        </w:rPr>
      </w:pPr>
      <w:r>
        <w:rPr>
          <w:noProof/>
          <w:szCs w:val="21"/>
        </w:rPr>
        <w:lastRenderedPageBreak/>
        <w:drawing>
          <wp:inline distT="0" distB="0" distL="0" distR="0" wp14:anchorId="252398CD" wp14:editId="61A9B089">
            <wp:extent cx="5264150" cy="419100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a:xfrm>
                      <a:off x="0" y="0"/>
                      <a:ext cx="5264150" cy="4191000"/>
                    </a:xfrm>
                    <a:prstGeom prst="rect">
                      <a:avLst/>
                    </a:prstGeom>
                    <a:noFill/>
                    <a:ln>
                      <a:noFill/>
                    </a:ln>
                  </pic:spPr>
                </pic:pic>
              </a:graphicData>
            </a:graphic>
          </wp:inline>
        </w:drawing>
      </w:r>
    </w:p>
    <w:p w14:paraId="24E241CC" w14:textId="77777777" w:rsidR="00386EB8" w:rsidRDefault="00386EB8">
      <w:pPr>
        <w:jc w:val="center"/>
        <w:rPr>
          <w:szCs w:val="21"/>
        </w:rPr>
      </w:pPr>
    </w:p>
    <w:p w14:paraId="17030581" w14:textId="148C9B7D" w:rsidR="00386EB8" w:rsidRDefault="00000000">
      <w:pPr>
        <w:spacing w:line="360" w:lineRule="auto"/>
        <w:jc w:val="center"/>
        <w:rPr>
          <w:szCs w:val="21"/>
        </w:rPr>
      </w:pPr>
      <w:r>
        <w:rPr>
          <w:rFonts w:hint="eastAsia"/>
          <w:b/>
          <w:bCs/>
          <w:sz w:val="24"/>
        </w:rPr>
        <w:t>Fig. S</w:t>
      </w:r>
      <w:r w:rsidR="00842C72">
        <w:rPr>
          <w:rFonts w:hint="eastAsia"/>
          <w:b/>
          <w:bCs/>
          <w:sz w:val="24"/>
        </w:rPr>
        <w:t>9</w:t>
      </w:r>
      <w:r>
        <w:rPr>
          <w:rFonts w:hint="eastAsia"/>
          <w:b/>
          <w:bCs/>
          <w:sz w:val="24"/>
        </w:rPr>
        <w:t xml:space="preserve"> </w:t>
      </w:r>
      <w:r>
        <w:rPr>
          <w:sz w:val="24"/>
        </w:rPr>
        <w:t>DPV</w:t>
      </w:r>
      <w:r>
        <w:rPr>
          <w:rFonts w:hint="eastAsia"/>
          <w:sz w:val="24"/>
        </w:rPr>
        <w:t xml:space="preserve"> curves of interference responses to</w:t>
      </w:r>
      <w:r>
        <w:rPr>
          <w:sz w:val="24"/>
        </w:rPr>
        <w:t xml:space="preserve"> </w:t>
      </w:r>
      <w:r>
        <w:rPr>
          <w:rFonts w:hint="eastAsia"/>
          <w:sz w:val="24"/>
        </w:rPr>
        <w:t>20</w:t>
      </w:r>
      <w:r>
        <w:rPr>
          <w:sz w:val="24"/>
        </w:rPr>
        <w:t xml:space="preserve"> </w:t>
      </w:r>
      <w:proofErr w:type="spellStart"/>
      <w:r>
        <w:rPr>
          <w:sz w:val="24"/>
        </w:rPr>
        <w:t>μ</w:t>
      </w:r>
      <w:r>
        <w:rPr>
          <w:rFonts w:hint="eastAsia"/>
          <w:sz w:val="24"/>
        </w:rPr>
        <w:t>M</w:t>
      </w:r>
      <w:proofErr w:type="spellEnd"/>
      <w:r>
        <w:rPr>
          <w:rFonts w:hint="eastAsia"/>
          <w:sz w:val="24"/>
        </w:rPr>
        <w:t xml:space="preserve"> </w:t>
      </w:r>
      <w:r>
        <w:rPr>
          <w:sz w:val="24"/>
        </w:rPr>
        <w:t xml:space="preserve">CA </w:t>
      </w:r>
      <w:r>
        <w:rPr>
          <w:rFonts w:hint="eastAsia"/>
          <w:sz w:val="24"/>
        </w:rPr>
        <w:t>and</w:t>
      </w:r>
      <w:r>
        <w:rPr>
          <w:sz w:val="24"/>
        </w:rPr>
        <w:t xml:space="preserve"> </w:t>
      </w:r>
      <w:r>
        <w:rPr>
          <w:rFonts w:hint="eastAsia"/>
          <w:sz w:val="24"/>
        </w:rPr>
        <w:t>20</w:t>
      </w:r>
      <w:r>
        <w:rPr>
          <w:sz w:val="24"/>
        </w:rPr>
        <w:t xml:space="preserve"> </w:t>
      </w:r>
      <w:proofErr w:type="spellStart"/>
      <w:r>
        <w:rPr>
          <w:sz w:val="24"/>
        </w:rPr>
        <w:t>μ</w:t>
      </w:r>
      <w:r>
        <w:rPr>
          <w:rFonts w:hint="eastAsia"/>
          <w:sz w:val="24"/>
        </w:rPr>
        <w:t>M</w:t>
      </w:r>
      <w:proofErr w:type="spellEnd"/>
      <w:r>
        <w:rPr>
          <w:rFonts w:hint="eastAsia"/>
          <w:sz w:val="24"/>
        </w:rPr>
        <w:t xml:space="preserve"> </w:t>
      </w:r>
      <w:r>
        <w:rPr>
          <w:sz w:val="24"/>
        </w:rPr>
        <w:t>SY</w:t>
      </w:r>
      <w:r>
        <w:rPr>
          <w:rFonts w:hint="eastAsia"/>
          <w:sz w:val="24"/>
        </w:rPr>
        <w:t xml:space="preserve"> containing </w:t>
      </w:r>
      <w:r>
        <w:rPr>
          <w:sz w:val="24"/>
        </w:rPr>
        <w:t xml:space="preserve">caffeine, </w:t>
      </w:r>
      <w:r>
        <w:rPr>
          <w:rFonts w:hint="eastAsia"/>
          <w:sz w:val="24"/>
        </w:rPr>
        <w:t>ascorbic</w:t>
      </w:r>
      <w:r>
        <w:rPr>
          <w:sz w:val="24"/>
        </w:rPr>
        <w:t xml:space="preserve"> </w:t>
      </w:r>
      <w:r>
        <w:rPr>
          <w:rFonts w:hint="eastAsia"/>
          <w:sz w:val="24"/>
        </w:rPr>
        <w:t>acid</w:t>
      </w:r>
      <w:r>
        <w:rPr>
          <w:sz w:val="24"/>
        </w:rPr>
        <w:t xml:space="preserve">, </w:t>
      </w:r>
      <w:r>
        <w:rPr>
          <w:rFonts w:hint="eastAsia"/>
          <w:sz w:val="24"/>
        </w:rPr>
        <w:t>g</w:t>
      </w:r>
      <w:r>
        <w:rPr>
          <w:sz w:val="24"/>
        </w:rPr>
        <w:t xml:space="preserve">lucose, riboflavin, tartrazine, quinoline yellow, NaCl, </w:t>
      </w:r>
      <w:proofErr w:type="spellStart"/>
      <w:r>
        <w:rPr>
          <w:sz w:val="24"/>
        </w:rPr>
        <w:t>KCl</w:t>
      </w:r>
      <w:proofErr w:type="spellEnd"/>
      <w:r>
        <w:rPr>
          <w:sz w:val="24"/>
        </w:rPr>
        <w:t>, and ZnCl</w:t>
      </w:r>
      <w:r>
        <w:rPr>
          <w:sz w:val="24"/>
          <w:vertAlign w:val="subscript"/>
        </w:rPr>
        <w:t>2</w:t>
      </w:r>
      <w:r>
        <w:rPr>
          <w:rFonts w:hint="eastAsia"/>
          <w:sz w:val="24"/>
        </w:rPr>
        <w:t xml:space="preserve"> (n = 3).</w:t>
      </w:r>
    </w:p>
    <w:p w14:paraId="69F6E9E5" w14:textId="77777777" w:rsidR="00386EB8" w:rsidRDefault="00386EB8"/>
    <w:p w14:paraId="4077F3B2" w14:textId="77777777" w:rsidR="00386EB8" w:rsidRDefault="00000000">
      <w:r>
        <w:rPr>
          <w:noProof/>
        </w:rPr>
        <w:drawing>
          <wp:inline distT="0" distB="0" distL="0" distR="0" wp14:anchorId="45E65D39" wp14:editId="31932B4D">
            <wp:extent cx="5274310" cy="2517140"/>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a:xfrm>
                      <a:off x="0" y="0"/>
                      <a:ext cx="5274310" cy="2517140"/>
                    </a:xfrm>
                    <a:prstGeom prst="rect">
                      <a:avLst/>
                    </a:prstGeom>
                    <a:noFill/>
                    <a:ln>
                      <a:noFill/>
                    </a:ln>
                  </pic:spPr>
                </pic:pic>
              </a:graphicData>
            </a:graphic>
          </wp:inline>
        </w:drawing>
      </w:r>
    </w:p>
    <w:p w14:paraId="11B24F36" w14:textId="2D1C92E9" w:rsidR="005E7EF1" w:rsidRPr="005E7EF1" w:rsidRDefault="00000000" w:rsidP="005E7EF1">
      <w:pPr>
        <w:spacing w:line="360" w:lineRule="auto"/>
        <w:jc w:val="center"/>
        <w:rPr>
          <w:sz w:val="24"/>
        </w:rPr>
      </w:pPr>
      <w:r>
        <w:rPr>
          <w:b/>
          <w:bCs/>
          <w:sz w:val="24"/>
        </w:rPr>
        <w:t>Fig.</w:t>
      </w:r>
      <w:r>
        <w:rPr>
          <w:rFonts w:hint="eastAsia"/>
          <w:b/>
          <w:bCs/>
          <w:sz w:val="24"/>
        </w:rPr>
        <w:t xml:space="preserve"> </w:t>
      </w:r>
      <w:r>
        <w:rPr>
          <w:b/>
          <w:bCs/>
          <w:sz w:val="24"/>
        </w:rPr>
        <w:t>S1</w:t>
      </w:r>
      <w:r w:rsidR="00842C72">
        <w:rPr>
          <w:rFonts w:hint="eastAsia"/>
          <w:b/>
          <w:bCs/>
          <w:sz w:val="24"/>
        </w:rPr>
        <w:t>0</w:t>
      </w:r>
      <w:r>
        <w:rPr>
          <w:b/>
          <w:bCs/>
          <w:sz w:val="24"/>
        </w:rPr>
        <w:t>.</w:t>
      </w:r>
      <w:r>
        <w:rPr>
          <w:sz w:val="24"/>
        </w:rPr>
        <w:t xml:space="preserve"> The linear fitting curve of peak area versus</w:t>
      </w:r>
      <w:r>
        <w:rPr>
          <w:rFonts w:hint="eastAsia"/>
          <w:sz w:val="24"/>
        </w:rPr>
        <w:t xml:space="preserve"> (A)</w:t>
      </w:r>
      <w:r>
        <w:rPr>
          <w:sz w:val="24"/>
        </w:rPr>
        <w:t xml:space="preserve"> CA and </w:t>
      </w:r>
      <w:r>
        <w:rPr>
          <w:rFonts w:hint="eastAsia"/>
          <w:sz w:val="24"/>
        </w:rPr>
        <w:t xml:space="preserve">(B) </w:t>
      </w:r>
      <w:r>
        <w:rPr>
          <w:sz w:val="24"/>
        </w:rPr>
        <w:t>SY concentration under HPLC, respectively</w:t>
      </w:r>
    </w:p>
    <w:p w14:paraId="4EB4D513" w14:textId="08892DE5" w:rsidR="005E7EF1" w:rsidRDefault="00000000" w:rsidP="005E7EF1">
      <w:pPr>
        <w:tabs>
          <w:tab w:val="left" w:pos="3220"/>
        </w:tabs>
        <w:spacing w:line="360" w:lineRule="auto"/>
        <w:rPr>
          <w:b/>
          <w:bCs/>
          <w:sz w:val="24"/>
        </w:rPr>
      </w:pPr>
      <w:r>
        <w:rPr>
          <w:rFonts w:hint="eastAsia"/>
          <w:b/>
          <w:bCs/>
          <w:sz w:val="24"/>
        </w:rPr>
        <w:lastRenderedPageBreak/>
        <w:t>T</w:t>
      </w:r>
      <w:r>
        <w:rPr>
          <w:b/>
          <w:bCs/>
          <w:sz w:val="24"/>
        </w:rPr>
        <w:t>able S1</w:t>
      </w:r>
    </w:p>
    <w:p w14:paraId="0EE8D0E0" w14:textId="3DFA845E" w:rsidR="00386EB8" w:rsidRPr="005E7EF1" w:rsidRDefault="00000000" w:rsidP="005E7EF1">
      <w:pPr>
        <w:tabs>
          <w:tab w:val="left" w:pos="3220"/>
        </w:tabs>
        <w:spacing w:line="360" w:lineRule="auto"/>
        <w:rPr>
          <w:b/>
          <w:bCs/>
          <w:sz w:val="24"/>
        </w:rPr>
      </w:pPr>
      <w:r>
        <w:rPr>
          <w:sz w:val="24"/>
        </w:rPr>
        <w:t xml:space="preserve">Comparison of the main electrochemical sensing performance between </w:t>
      </w:r>
      <w:r>
        <w:rPr>
          <w:kern w:val="0"/>
          <w:sz w:val="24"/>
        </w:rPr>
        <w:t>Au/PEDOT/ZIF-8/GCE</w:t>
      </w:r>
      <w:r>
        <w:rPr>
          <w:sz w:val="24"/>
        </w:rPr>
        <w:t xml:space="preserve"> platform and others reported in literature toward CA and SY detection.</w:t>
      </w:r>
    </w:p>
    <w:tbl>
      <w:tblPr>
        <w:tblStyle w:val="ac"/>
        <w:tblW w:w="8853" w:type="dxa"/>
        <w:tblLayout w:type="fixed"/>
        <w:tblLook w:val="04A0" w:firstRow="1" w:lastRow="0" w:firstColumn="1" w:lastColumn="0" w:noHBand="0" w:noVBand="1"/>
      </w:tblPr>
      <w:tblGrid>
        <w:gridCol w:w="1862"/>
        <w:gridCol w:w="919"/>
        <w:gridCol w:w="545"/>
        <w:gridCol w:w="539"/>
        <w:gridCol w:w="1276"/>
        <w:gridCol w:w="872"/>
        <w:gridCol w:w="791"/>
        <w:gridCol w:w="758"/>
        <w:gridCol w:w="1291"/>
      </w:tblGrid>
      <w:tr w:rsidR="00526CF8" w:rsidRPr="004321FE" w14:paraId="280C996B" w14:textId="77777777" w:rsidTr="000C20C5">
        <w:trPr>
          <w:cnfStyle w:val="100000000000" w:firstRow="1" w:lastRow="0" w:firstColumn="0" w:lastColumn="0" w:oddVBand="0" w:evenVBand="0" w:oddHBand="0" w:evenHBand="0" w:firstRowFirstColumn="0" w:firstRowLastColumn="0" w:lastRowFirstColumn="0" w:lastRowLastColumn="0"/>
          <w:trHeight w:val="246"/>
        </w:trPr>
        <w:tc>
          <w:tcPr>
            <w:tcW w:w="1862" w:type="dxa"/>
            <w:vMerge w:val="restart"/>
          </w:tcPr>
          <w:p w14:paraId="14A1D3E1" w14:textId="77777777" w:rsidR="00526CF8" w:rsidRPr="004321FE" w:rsidRDefault="00526CF8" w:rsidP="000C20C5">
            <w:pPr>
              <w:jc w:val="center"/>
              <w:rPr>
                <w:b/>
                <w:bCs/>
                <w:sz w:val="28"/>
                <w:szCs w:val="28"/>
              </w:rPr>
            </w:pPr>
            <w:r w:rsidRPr="004321FE">
              <w:rPr>
                <w:b/>
                <w:bCs/>
                <w:szCs w:val="21"/>
              </w:rPr>
              <w:t>Sensing platform</w:t>
            </w:r>
          </w:p>
        </w:tc>
        <w:tc>
          <w:tcPr>
            <w:tcW w:w="919" w:type="dxa"/>
            <w:vMerge w:val="restart"/>
          </w:tcPr>
          <w:p w14:paraId="1F4A228D" w14:textId="77777777" w:rsidR="00526CF8" w:rsidRPr="004321FE" w:rsidRDefault="00526CF8" w:rsidP="000C20C5">
            <w:pPr>
              <w:jc w:val="center"/>
              <w:rPr>
                <w:b/>
                <w:bCs/>
                <w:sz w:val="28"/>
                <w:szCs w:val="28"/>
              </w:rPr>
            </w:pPr>
            <w:r w:rsidRPr="004321FE">
              <w:rPr>
                <w:b/>
                <w:bCs/>
                <w:szCs w:val="21"/>
              </w:rPr>
              <w:t>Method</w:t>
            </w:r>
          </w:p>
        </w:tc>
        <w:tc>
          <w:tcPr>
            <w:tcW w:w="1084" w:type="dxa"/>
            <w:gridSpan w:val="2"/>
            <w:tcBorders>
              <w:bottom w:val="single" w:sz="4" w:space="0" w:color="auto"/>
            </w:tcBorders>
          </w:tcPr>
          <w:p w14:paraId="7A1C3D75" w14:textId="77777777" w:rsidR="00526CF8" w:rsidRPr="004321FE" w:rsidRDefault="00526CF8" w:rsidP="000C20C5">
            <w:pPr>
              <w:jc w:val="center"/>
              <w:rPr>
                <w:b/>
                <w:bCs/>
                <w:sz w:val="28"/>
                <w:szCs w:val="28"/>
              </w:rPr>
            </w:pPr>
            <w:r w:rsidRPr="004321FE">
              <w:rPr>
                <w:rFonts w:eastAsia="等线"/>
                <w:b/>
                <w:bCs/>
                <w:szCs w:val="21"/>
              </w:rPr>
              <w:t>Analytes</w:t>
            </w:r>
          </w:p>
        </w:tc>
        <w:tc>
          <w:tcPr>
            <w:tcW w:w="2148" w:type="dxa"/>
            <w:gridSpan w:val="2"/>
            <w:tcBorders>
              <w:bottom w:val="single" w:sz="4" w:space="0" w:color="auto"/>
            </w:tcBorders>
          </w:tcPr>
          <w:p w14:paraId="286EA139" w14:textId="77777777" w:rsidR="00526CF8" w:rsidRPr="004321FE" w:rsidRDefault="00526CF8" w:rsidP="000C20C5">
            <w:pPr>
              <w:jc w:val="center"/>
              <w:rPr>
                <w:rFonts w:eastAsia="等线"/>
                <w:b/>
                <w:bCs/>
                <w:szCs w:val="21"/>
              </w:rPr>
            </w:pPr>
            <w:r w:rsidRPr="004321FE">
              <w:rPr>
                <w:b/>
                <w:bCs/>
                <w:szCs w:val="21"/>
              </w:rPr>
              <w:t>Linear range (</w:t>
            </w:r>
            <w:proofErr w:type="spellStart"/>
            <w:r w:rsidRPr="004321FE">
              <w:rPr>
                <w:b/>
                <w:bCs/>
                <w:szCs w:val="21"/>
              </w:rPr>
              <w:t>μM</w:t>
            </w:r>
            <w:proofErr w:type="spellEnd"/>
            <w:r w:rsidRPr="004321FE">
              <w:rPr>
                <w:b/>
                <w:bCs/>
                <w:szCs w:val="21"/>
              </w:rPr>
              <w:t>)</w:t>
            </w:r>
          </w:p>
        </w:tc>
        <w:tc>
          <w:tcPr>
            <w:tcW w:w="1549" w:type="dxa"/>
            <w:gridSpan w:val="2"/>
            <w:tcBorders>
              <w:bottom w:val="single" w:sz="4" w:space="0" w:color="auto"/>
            </w:tcBorders>
          </w:tcPr>
          <w:p w14:paraId="372BDAF4" w14:textId="77777777" w:rsidR="00526CF8" w:rsidRPr="004321FE" w:rsidRDefault="00526CF8" w:rsidP="000C20C5">
            <w:pPr>
              <w:jc w:val="center"/>
              <w:rPr>
                <w:b/>
                <w:bCs/>
                <w:sz w:val="28"/>
                <w:szCs w:val="28"/>
              </w:rPr>
            </w:pPr>
            <w:r w:rsidRPr="004321FE">
              <w:rPr>
                <w:b/>
                <w:bCs/>
                <w:szCs w:val="21"/>
              </w:rPr>
              <w:t>LOD (</w:t>
            </w:r>
            <w:proofErr w:type="spellStart"/>
            <w:r w:rsidRPr="004321FE">
              <w:rPr>
                <w:b/>
                <w:bCs/>
                <w:szCs w:val="21"/>
              </w:rPr>
              <w:t>μM</w:t>
            </w:r>
            <w:proofErr w:type="spellEnd"/>
            <w:r w:rsidRPr="004321FE">
              <w:rPr>
                <w:b/>
                <w:bCs/>
                <w:szCs w:val="21"/>
              </w:rPr>
              <w:t>)</w:t>
            </w:r>
          </w:p>
        </w:tc>
        <w:tc>
          <w:tcPr>
            <w:tcW w:w="1291" w:type="dxa"/>
            <w:vMerge w:val="restart"/>
          </w:tcPr>
          <w:p w14:paraId="287B94EA" w14:textId="77777777" w:rsidR="00526CF8" w:rsidRPr="004321FE" w:rsidRDefault="00526CF8" w:rsidP="000C20C5">
            <w:pPr>
              <w:jc w:val="center"/>
              <w:rPr>
                <w:b/>
                <w:bCs/>
                <w:sz w:val="28"/>
                <w:szCs w:val="28"/>
              </w:rPr>
            </w:pPr>
            <w:r w:rsidRPr="004321FE">
              <w:rPr>
                <w:b/>
                <w:bCs/>
                <w:szCs w:val="21"/>
              </w:rPr>
              <w:t>References</w:t>
            </w:r>
          </w:p>
        </w:tc>
      </w:tr>
      <w:tr w:rsidR="00526CF8" w:rsidRPr="004321FE" w14:paraId="78498D15" w14:textId="77777777" w:rsidTr="000C20C5">
        <w:trPr>
          <w:trHeight w:val="29"/>
        </w:trPr>
        <w:tc>
          <w:tcPr>
            <w:tcW w:w="1862" w:type="dxa"/>
            <w:vMerge/>
            <w:tcBorders>
              <w:bottom w:val="single" w:sz="12" w:space="0" w:color="auto"/>
            </w:tcBorders>
          </w:tcPr>
          <w:p w14:paraId="0666717F" w14:textId="77777777" w:rsidR="00526CF8" w:rsidRPr="004321FE" w:rsidRDefault="00526CF8" w:rsidP="000C20C5">
            <w:pPr>
              <w:jc w:val="center"/>
              <w:rPr>
                <w:b/>
                <w:bCs/>
                <w:sz w:val="28"/>
                <w:szCs w:val="28"/>
              </w:rPr>
            </w:pPr>
          </w:p>
        </w:tc>
        <w:tc>
          <w:tcPr>
            <w:tcW w:w="919" w:type="dxa"/>
            <w:vMerge/>
            <w:tcBorders>
              <w:bottom w:val="single" w:sz="12" w:space="0" w:color="auto"/>
            </w:tcBorders>
          </w:tcPr>
          <w:p w14:paraId="231CBD86" w14:textId="77777777" w:rsidR="00526CF8" w:rsidRPr="004321FE" w:rsidRDefault="00526CF8" w:rsidP="000C20C5">
            <w:pPr>
              <w:jc w:val="center"/>
              <w:rPr>
                <w:b/>
                <w:bCs/>
                <w:sz w:val="28"/>
                <w:szCs w:val="28"/>
              </w:rPr>
            </w:pPr>
          </w:p>
        </w:tc>
        <w:tc>
          <w:tcPr>
            <w:tcW w:w="545" w:type="dxa"/>
            <w:tcBorders>
              <w:top w:val="single" w:sz="4" w:space="0" w:color="auto"/>
              <w:bottom w:val="single" w:sz="12" w:space="0" w:color="auto"/>
            </w:tcBorders>
          </w:tcPr>
          <w:p w14:paraId="209F93D9" w14:textId="77777777" w:rsidR="00526CF8" w:rsidRPr="004321FE" w:rsidRDefault="00526CF8" w:rsidP="000C20C5">
            <w:pPr>
              <w:ind w:left="420" w:hangingChars="200" w:hanging="420"/>
              <w:jc w:val="center"/>
              <w:rPr>
                <w:b/>
                <w:bCs/>
                <w:sz w:val="28"/>
                <w:szCs w:val="28"/>
              </w:rPr>
            </w:pPr>
            <w:r w:rsidRPr="004321FE">
              <w:rPr>
                <w:rFonts w:eastAsia="等线"/>
                <w:szCs w:val="21"/>
              </w:rPr>
              <w:t>CA</w:t>
            </w:r>
          </w:p>
        </w:tc>
        <w:tc>
          <w:tcPr>
            <w:tcW w:w="539" w:type="dxa"/>
            <w:tcBorders>
              <w:top w:val="single" w:sz="4" w:space="0" w:color="auto"/>
              <w:bottom w:val="single" w:sz="12" w:space="0" w:color="auto"/>
            </w:tcBorders>
          </w:tcPr>
          <w:p w14:paraId="24F7C154" w14:textId="77777777" w:rsidR="00526CF8" w:rsidRPr="004321FE" w:rsidRDefault="00526CF8" w:rsidP="000C20C5">
            <w:pPr>
              <w:ind w:left="420" w:hangingChars="200" w:hanging="420"/>
              <w:jc w:val="center"/>
              <w:rPr>
                <w:rFonts w:eastAsia="等线"/>
                <w:szCs w:val="21"/>
              </w:rPr>
            </w:pPr>
            <w:r w:rsidRPr="004321FE">
              <w:rPr>
                <w:rFonts w:eastAsia="等线"/>
                <w:szCs w:val="21"/>
              </w:rPr>
              <w:t>SY</w:t>
            </w:r>
          </w:p>
        </w:tc>
        <w:tc>
          <w:tcPr>
            <w:tcW w:w="1276" w:type="dxa"/>
            <w:tcBorders>
              <w:top w:val="single" w:sz="4" w:space="0" w:color="auto"/>
              <w:bottom w:val="single" w:sz="12" w:space="0" w:color="auto"/>
            </w:tcBorders>
          </w:tcPr>
          <w:p w14:paraId="4FC070A8" w14:textId="77777777" w:rsidR="00526CF8" w:rsidRPr="004321FE" w:rsidRDefault="00526CF8" w:rsidP="000C20C5">
            <w:pPr>
              <w:ind w:left="420" w:hangingChars="200" w:hanging="420"/>
              <w:jc w:val="center"/>
              <w:rPr>
                <w:rFonts w:eastAsia="等线"/>
                <w:szCs w:val="21"/>
              </w:rPr>
            </w:pPr>
            <w:r w:rsidRPr="004321FE">
              <w:rPr>
                <w:rFonts w:eastAsia="等线"/>
                <w:szCs w:val="21"/>
              </w:rPr>
              <w:t>CA</w:t>
            </w:r>
          </w:p>
        </w:tc>
        <w:tc>
          <w:tcPr>
            <w:tcW w:w="871" w:type="dxa"/>
            <w:tcBorders>
              <w:top w:val="single" w:sz="4" w:space="0" w:color="auto"/>
              <w:bottom w:val="single" w:sz="12" w:space="0" w:color="auto"/>
            </w:tcBorders>
          </w:tcPr>
          <w:p w14:paraId="24AEBF44" w14:textId="77777777" w:rsidR="00526CF8" w:rsidRPr="004321FE" w:rsidRDefault="00526CF8" w:rsidP="000C20C5">
            <w:pPr>
              <w:ind w:left="420" w:hangingChars="200" w:hanging="420"/>
              <w:jc w:val="center"/>
              <w:rPr>
                <w:rFonts w:eastAsia="等线"/>
                <w:szCs w:val="21"/>
              </w:rPr>
            </w:pPr>
            <w:r w:rsidRPr="004321FE">
              <w:rPr>
                <w:rFonts w:eastAsia="等线"/>
                <w:szCs w:val="21"/>
              </w:rPr>
              <w:t>SY</w:t>
            </w:r>
          </w:p>
        </w:tc>
        <w:tc>
          <w:tcPr>
            <w:tcW w:w="791" w:type="dxa"/>
            <w:tcBorders>
              <w:top w:val="single" w:sz="4" w:space="0" w:color="auto"/>
              <w:bottom w:val="single" w:sz="12" w:space="0" w:color="auto"/>
            </w:tcBorders>
          </w:tcPr>
          <w:p w14:paraId="5EEC4C33" w14:textId="77777777" w:rsidR="00526CF8" w:rsidRPr="004321FE" w:rsidRDefault="00526CF8" w:rsidP="000C20C5">
            <w:pPr>
              <w:ind w:left="420" w:hangingChars="200" w:hanging="420"/>
              <w:jc w:val="center"/>
              <w:rPr>
                <w:rFonts w:eastAsia="等线"/>
                <w:szCs w:val="21"/>
              </w:rPr>
            </w:pPr>
            <w:r w:rsidRPr="004321FE">
              <w:rPr>
                <w:rFonts w:eastAsia="等线"/>
                <w:szCs w:val="21"/>
              </w:rPr>
              <w:t>CA</w:t>
            </w:r>
          </w:p>
        </w:tc>
        <w:tc>
          <w:tcPr>
            <w:tcW w:w="757" w:type="dxa"/>
            <w:tcBorders>
              <w:top w:val="single" w:sz="4" w:space="0" w:color="auto"/>
              <w:bottom w:val="single" w:sz="12" w:space="0" w:color="auto"/>
            </w:tcBorders>
          </w:tcPr>
          <w:p w14:paraId="2A3418B8" w14:textId="77777777" w:rsidR="00526CF8" w:rsidRPr="004321FE" w:rsidRDefault="00526CF8" w:rsidP="000C20C5">
            <w:pPr>
              <w:jc w:val="center"/>
              <w:rPr>
                <w:rFonts w:eastAsia="等线"/>
                <w:szCs w:val="21"/>
              </w:rPr>
            </w:pPr>
            <w:r w:rsidRPr="004321FE">
              <w:rPr>
                <w:rFonts w:eastAsia="等线"/>
                <w:szCs w:val="21"/>
              </w:rPr>
              <w:t>SY</w:t>
            </w:r>
          </w:p>
        </w:tc>
        <w:tc>
          <w:tcPr>
            <w:tcW w:w="1291" w:type="dxa"/>
            <w:vMerge/>
            <w:tcBorders>
              <w:bottom w:val="single" w:sz="12" w:space="0" w:color="auto"/>
            </w:tcBorders>
          </w:tcPr>
          <w:p w14:paraId="2BA51CAB" w14:textId="77777777" w:rsidR="00526CF8" w:rsidRPr="004321FE" w:rsidRDefault="00526CF8" w:rsidP="000C20C5">
            <w:pPr>
              <w:jc w:val="center"/>
              <w:rPr>
                <w:b/>
                <w:bCs/>
                <w:sz w:val="28"/>
                <w:szCs w:val="28"/>
              </w:rPr>
            </w:pPr>
          </w:p>
        </w:tc>
      </w:tr>
      <w:tr w:rsidR="00526CF8" w:rsidRPr="004321FE" w14:paraId="36201013" w14:textId="77777777" w:rsidTr="000C20C5">
        <w:trPr>
          <w:trHeight w:val="588"/>
        </w:trPr>
        <w:tc>
          <w:tcPr>
            <w:tcW w:w="1862" w:type="dxa"/>
            <w:tcBorders>
              <w:top w:val="single" w:sz="12" w:space="0" w:color="auto"/>
            </w:tcBorders>
          </w:tcPr>
          <w:p w14:paraId="38B64AFA" w14:textId="77777777" w:rsidR="00526CF8" w:rsidRPr="004321FE" w:rsidRDefault="00526CF8" w:rsidP="000C20C5">
            <w:pPr>
              <w:jc w:val="left"/>
              <w:rPr>
                <w:szCs w:val="21"/>
              </w:rPr>
            </w:pPr>
            <w:bookmarkStart w:id="5" w:name="_Hlk110451111"/>
            <w:r w:rsidRPr="004321FE">
              <w:rPr>
                <w:szCs w:val="21"/>
              </w:rPr>
              <w:t>N-Gr/GCE</w:t>
            </w:r>
          </w:p>
        </w:tc>
        <w:tc>
          <w:tcPr>
            <w:tcW w:w="919" w:type="dxa"/>
            <w:tcBorders>
              <w:top w:val="single" w:sz="12" w:space="0" w:color="auto"/>
            </w:tcBorders>
          </w:tcPr>
          <w:p w14:paraId="44672579" w14:textId="77777777" w:rsidR="00526CF8" w:rsidRPr="004321FE" w:rsidRDefault="00526CF8" w:rsidP="000C20C5">
            <w:pPr>
              <w:jc w:val="center"/>
              <w:rPr>
                <w:szCs w:val="21"/>
              </w:rPr>
            </w:pPr>
            <w:r w:rsidRPr="004321FE">
              <w:rPr>
                <w:szCs w:val="21"/>
              </w:rPr>
              <w:t>DPV</w:t>
            </w:r>
          </w:p>
        </w:tc>
        <w:tc>
          <w:tcPr>
            <w:tcW w:w="545" w:type="dxa"/>
            <w:tcBorders>
              <w:top w:val="single" w:sz="12" w:space="0" w:color="auto"/>
            </w:tcBorders>
          </w:tcPr>
          <w:p w14:paraId="441565D4" w14:textId="77777777" w:rsidR="00526CF8" w:rsidRPr="004321FE" w:rsidRDefault="00526CF8" w:rsidP="000C20C5">
            <w:pPr>
              <w:jc w:val="center"/>
              <w:rPr>
                <w:b/>
                <w:bCs/>
                <w:szCs w:val="21"/>
              </w:rPr>
            </w:pPr>
            <w:r w:rsidRPr="004321FE">
              <w:rPr>
                <w:b/>
                <w:bCs/>
                <w:szCs w:val="21"/>
              </w:rPr>
              <w:t>√</w:t>
            </w:r>
          </w:p>
        </w:tc>
        <w:tc>
          <w:tcPr>
            <w:tcW w:w="539" w:type="dxa"/>
            <w:tcBorders>
              <w:top w:val="single" w:sz="12" w:space="0" w:color="auto"/>
            </w:tcBorders>
          </w:tcPr>
          <w:p w14:paraId="03F04BD0" w14:textId="77777777" w:rsidR="00526CF8" w:rsidRPr="004321FE" w:rsidRDefault="00526CF8" w:rsidP="000C20C5">
            <w:pPr>
              <w:jc w:val="center"/>
              <w:rPr>
                <w:b/>
                <w:bCs/>
                <w:szCs w:val="21"/>
              </w:rPr>
            </w:pPr>
            <w:r w:rsidRPr="004321FE">
              <w:rPr>
                <w:b/>
                <w:bCs/>
                <w:szCs w:val="21"/>
              </w:rPr>
              <w:t>/</w:t>
            </w:r>
          </w:p>
        </w:tc>
        <w:tc>
          <w:tcPr>
            <w:tcW w:w="1276" w:type="dxa"/>
            <w:tcBorders>
              <w:top w:val="single" w:sz="12" w:space="0" w:color="auto"/>
            </w:tcBorders>
          </w:tcPr>
          <w:p w14:paraId="34991D37" w14:textId="77777777" w:rsidR="00526CF8" w:rsidRPr="004321FE" w:rsidRDefault="00526CF8" w:rsidP="000C20C5">
            <w:pPr>
              <w:jc w:val="center"/>
              <w:rPr>
                <w:szCs w:val="21"/>
              </w:rPr>
            </w:pPr>
            <w:r w:rsidRPr="004321FE">
              <w:rPr>
                <w:szCs w:val="21"/>
              </w:rPr>
              <w:t>1–10, 10–30</w:t>
            </w:r>
          </w:p>
        </w:tc>
        <w:tc>
          <w:tcPr>
            <w:tcW w:w="871" w:type="dxa"/>
            <w:tcBorders>
              <w:top w:val="single" w:sz="12" w:space="0" w:color="auto"/>
            </w:tcBorders>
          </w:tcPr>
          <w:p w14:paraId="710298B9" w14:textId="77777777" w:rsidR="00526CF8" w:rsidRPr="004321FE" w:rsidRDefault="00526CF8" w:rsidP="000C20C5">
            <w:pPr>
              <w:jc w:val="center"/>
              <w:rPr>
                <w:b/>
                <w:bCs/>
                <w:szCs w:val="21"/>
              </w:rPr>
            </w:pPr>
            <w:r w:rsidRPr="004321FE">
              <w:rPr>
                <w:b/>
                <w:bCs/>
                <w:szCs w:val="21"/>
              </w:rPr>
              <w:t>/</w:t>
            </w:r>
          </w:p>
        </w:tc>
        <w:tc>
          <w:tcPr>
            <w:tcW w:w="791" w:type="dxa"/>
            <w:tcBorders>
              <w:top w:val="single" w:sz="12" w:space="0" w:color="auto"/>
            </w:tcBorders>
          </w:tcPr>
          <w:p w14:paraId="0BA9F7EE" w14:textId="77777777" w:rsidR="00526CF8" w:rsidRPr="004321FE" w:rsidRDefault="00526CF8" w:rsidP="000C20C5">
            <w:pPr>
              <w:jc w:val="center"/>
              <w:rPr>
                <w:szCs w:val="21"/>
              </w:rPr>
            </w:pPr>
            <w:r w:rsidRPr="004321FE">
              <w:rPr>
                <w:szCs w:val="21"/>
              </w:rPr>
              <w:t>0.088</w:t>
            </w:r>
          </w:p>
        </w:tc>
        <w:tc>
          <w:tcPr>
            <w:tcW w:w="757" w:type="dxa"/>
            <w:tcBorders>
              <w:top w:val="single" w:sz="12" w:space="0" w:color="auto"/>
            </w:tcBorders>
          </w:tcPr>
          <w:p w14:paraId="12992FB8" w14:textId="77777777" w:rsidR="00526CF8" w:rsidRPr="004321FE" w:rsidRDefault="00526CF8" w:rsidP="000C20C5">
            <w:pPr>
              <w:jc w:val="center"/>
              <w:rPr>
                <w:szCs w:val="21"/>
              </w:rPr>
            </w:pPr>
            <w:r w:rsidRPr="004321FE">
              <w:rPr>
                <w:b/>
                <w:bCs/>
                <w:szCs w:val="21"/>
              </w:rPr>
              <w:t>/</w:t>
            </w:r>
          </w:p>
        </w:tc>
        <w:tc>
          <w:tcPr>
            <w:tcW w:w="1291" w:type="dxa"/>
            <w:tcBorders>
              <w:top w:val="single" w:sz="12" w:space="0" w:color="auto"/>
            </w:tcBorders>
          </w:tcPr>
          <w:p w14:paraId="19C8598C" w14:textId="5A18AEFB" w:rsidR="00526CF8" w:rsidRPr="004321FE" w:rsidRDefault="00526CF8" w:rsidP="000C20C5">
            <w:pPr>
              <w:jc w:val="center"/>
              <w:rPr>
                <w:b/>
                <w:bCs/>
                <w:sz w:val="28"/>
                <w:szCs w:val="28"/>
              </w:rPr>
            </w:pPr>
            <w:r w:rsidRPr="004321FE">
              <w:rPr>
                <w:szCs w:val="21"/>
              </w:rPr>
              <w:fldChar w:fldCharType="begin"/>
            </w:r>
            <w:r w:rsidR="00E24D11">
              <w:rPr>
                <w:szCs w:val="21"/>
              </w:rPr>
              <w:instrText xml:space="preserve"> ADDIN EN.CITE &lt;EndNote&gt;&lt;Cite&gt;&lt;Author&gt;Pang&lt;/Author&gt;&lt;Year&gt;2017&lt;/Year&gt;&lt;RecNum&gt;53&lt;/RecNum&gt;&lt;DisplayText&gt;(Pang et al., 2017)&lt;/DisplayText&gt;&lt;record&gt;&lt;rec-number&gt;53&lt;/rec-number&gt;&lt;foreign-keys&gt;&lt;key app="EN" db-id="t2pt52td8zt59qe2w2qxrvpl2perdrs2wf9a" timestamp="1651910087"&gt;53&lt;/key&gt;&lt;/foreign-keys&gt;&lt;ref-type name="Journal Article"&gt;17&lt;/ref-type&gt;&lt;contributors&gt;&lt;authors&gt;&lt;author&gt;Pang, Jian&lt;/author&gt;&lt;author&gt;Wu, Xiujuan&lt;/author&gt;&lt;author&gt;Li, Anna&lt;/author&gt;&lt;author&gt;Liu, Xiaowang&lt;/author&gt;&lt;author&gt;Li, Maoguo&lt;/author&gt;&lt;/authors&gt;&lt;/contributors&gt;&lt;titles&gt;&lt;title&gt;Detection of catechin in Chinese green teas at N-doped carbon-modified electrode&lt;/title&gt;&lt;secondary-title&gt;Ionics&lt;/secondary-title&gt;&lt;/titles&gt;&lt;periodical&gt;&lt;full-title&gt;Ionics&lt;/full-title&gt;&lt;/periodical&gt;&lt;pages&gt;1889-1895&lt;/pages&gt;&lt;volume&gt;23&lt;/volume&gt;&lt;number&gt;7&lt;/number&gt;&lt;dates&gt;&lt;year&gt;2017&lt;/year&gt;&lt;pub-dates&gt;&lt;date&gt;Jul&lt;/date&gt;&lt;/pub-dates&gt;&lt;/dates&gt;&lt;isbn&gt;0947-7047&lt;/isbn&gt;&lt;accession-num&gt;WOS:000403677000027&lt;/accession-num&gt;&lt;urls&gt;&lt;related-urls&gt;&lt;url&gt;&amp;lt;Go to ISI&amp;gt;://WOS:000403677000027&lt;/url&gt;&lt;/related-urls&gt;&lt;/urls&gt;&lt;electronic-resource-num&gt;10.1007/s11581-017-2006-0&lt;/electronic-resource-num&gt;&lt;/record&gt;&lt;/Cite&gt;&lt;/EndNote&gt;</w:instrText>
            </w:r>
            <w:r w:rsidRPr="004321FE">
              <w:rPr>
                <w:szCs w:val="21"/>
              </w:rPr>
              <w:fldChar w:fldCharType="separate"/>
            </w:r>
            <w:r w:rsidR="00E24D11">
              <w:rPr>
                <w:noProof/>
                <w:szCs w:val="21"/>
              </w:rPr>
              <w:t>(Pang et al., 2017)</w:t>
            </w:r>
            <w:r w:rsidRPr="004321FE">
              <w:rPr>
                <w:szCs w:val="21"/>
              </w:rPr>
              <w:fldChar w:fldCharType="end"/>
            </w:r>
          </w:p>
        </w:tc>
      </w:tr>
      <w:tr w:rsidR="00526CF8" w:rsidRPr="004321FE" w14:paraId="4CA819CE" w14:textId="77777777" w:rsidTr="000C20C5">
        <w:trPr>
          <w:trHeight w:val="475"/>
        </w:trPr>
        <w:tc>
          <w:tcPr>
            <w:tcW w:w="1862" w:type="dxa"/>
          </w:tcPr>
          <w:p w14:paraId="071575EF" w14:textId="77777777" w:rsidR="00526CF8" w:rsidRPr="004321FE" w:rsidRDefault="00526CF8" w:rsidP="000C20C5">
            <w:pPr>
              <w:jc w:val="left"/>
              <w:rPr>
                <w:szCs w:val="21"/>
              </w:rPr>
            </w:pPr>
            <w:r w:rsidRPr="004321FE">
              <w:rPr>
                <w:szCs w:val="21"/>
              </w:rPr>
              <w:t>CS/GCE</w:t>
            </w:r>
          </w:p>
        </w:tc>
        <w:tc>
          <w:tcPr>
            <w:tcW w:w="919" w:type="dxa"/>
          </w:tcPr>
          <w:p w14:paraId="5D59FACF" w14:textId="77777777" w:rsidR="00526CF8" w:rsidRPr="004321FE" w:rsidRDefault="00526CF8" w:rsidP="000C20C5">
            <w:pPr>
              <w:jc w:val="center"/>
              <w:rPr>
                <w:szCs w:val="21"/>
              </w:rPr>
            </w:pPr>
            <w:r w:rsidRPr="004321FE">
              <w:rPr>
                <w:szCs w:val="21"/>
              </w:rPr>
              <w:t>DPV</w:t>
            </w:r>
          </w:p>
        </w:tc>
        <w:tc>
          <w:tcPr>
            <w:tcW w:w="545" w:type="dxa"/>
          </w:tcPr>
          <w:p w14:paraId="5FF7BEC0" w14:textId="77777777" w:rsidR="00526CF8" w:rsidRPr="004321FE" w:rsidRDefault="00526CF8" w:rsidP="000C20C5">
            <w:pPr>
              <w:jc w:val="center"/>
              <w:rPr>
                <w:b/>
                <w:bCs/>
                <w:szCs w:val="21"/>
              </w:rPr>
            </w:pPr>
            <w:r w:rsidRPr="004321FE">
              <w:rPr>
                <w:b/>
                <w:bCs/>
                <w:szCs w:val="21"/>
              </w:rPr>
              <w:t>√</w:t>
            </w:r>
          </w:p>
        </w:tc>
        <w:tc>
          <w:tcPr>
            <w:tcW w:w="539" w:type="dxa"/>
          </w:tcPr>
          <w:p w14:paraId="3E5DA6A3" w14:textId="77777777" w:rsidR="00526CF8" w:rsidRPr="004321FE" w:rsidRDefault="00526CF8" w:rsidP="000C20C5">
            <w:pPr>
              <w:jc w:val="center"/>
              <w:rPr>
                <w:b/>
                <w:bCs/>
                <w:szCs w:val="21"/>
              </w:rPr>
            </w:pPr>
            <w:r w:rsidRPr="004321FE">
              <w:rPr>
                <w:b/>
                <w:bCs/>
                <w:szCs w:val="21"/>
              </w:rPr>
              <w:t>/</w:t>
            </w:r>
          </w:p>
        </w:tc>
        <w:tc>
          <w:tcPr>
            <w:tcW w:w="1276" w:type="dxa"/>
          </w:tcPr>
          <w:p w14:paraId="29CEA1B8" w14:textId="77777777" w:rsidR="00526CF8" w:rsidRPr="004321FE" w:rsidRDefault="00526CF8" w:rsidP="000C20C5">
            <w:pPr>
              <w:jc w:val="center"/>
              <w:rPr>
                <w:szCs w:val="21"/>
              </w:rPr>
            </w:pPr>
            <w:r w:rsidRPr="004321FE">
              <w:rPr>
                <w:szCs w:val="21"/>
              </w:rPr>
              <w:t>0.1–1.5</w:t>
            </w:r>
          </w:p>
        </w:tc>
        <w:tc>
          <w:tcPr>
            <w:tcW w:w="871" w:type="dxa"/>
          </w:tcPr>
          <w:p w14:paraId="771ED5E6" w14:textId="77777777" w:rsidR="00526CF8" w:rsidRPr="004321FE" w:rsidRDefault="00526CF8" w:rsidP="000C20C5">
            <w:pPr>
              <w:jc w:val="center"/>
              <w:rPr>
                <w:b/>
                <w:bCs/>
                <w:szCs w:val="21"/>
              </w:rPr>
            </w:pPr>
            <w:r w:rsidRPr="004321FE">
              <w:rPr>
                <w:b/>
                <w:bCs/>
                <w:szCs w:val="21"/>
              </w:rPr>
              <w:t>/</w:t>
            </w:r>
          </w:p>
        </w:tc>
        <w:tc>
          <w:tcPr>
            <w:tcW w:w="791" w:type="dxa"/>
          </w:tcPr>
          <w:p w14:paraId="7500D263" w14:textId="77777777" w:rsidR="00526CF8" w:rsidRPr="004321FE" w:rsidRDefault="00526CF8" w:rsidP="000C20C5">
            <w:pPr>
              <w:jc w:val="center"/>
              <w:rPr>
                <w:szCs w:val="21"/>
              </w:rPr>
            </w:pPr>
            <w:r w:rsidRPr="004321FE">
              <w:rPr>
                <w:szCs w:val="21"/>
              </w:rPr>
              <w:t>0.013</w:t>
            </w:r>
          </w:p>
        </w:tc>
        <w:tc>
          <w:tcPr>
            <w:tcW w:w="757" w:type="dxa"/>
          </w:tcPr>
          <w:p w14:paraId="3B94074B" w14:textId="77777777" w:rsidR="00526CF8" w:rsidRPr="004321FE" w:rsidRDefault="00526CF8" w:rsidP="000C20C5">
            <w:pPr>
              <w:jc w:val="center"/>
              <w:rPr>
                <w:szCs w:val="21"/>
              </w:rPr>
            </w:pPr>
            <w:r w:rsidRPr="004321FE">
              <w:rPr>
                <w:b/>
                <w:bCs/>
                <w:szCs w:val="21"/>
              </w:rPr>
              <w:t>/</w:t>
            </w:r>
          </w:p>
        </w:tc>
        <w:tc>
          <w:tcPr>
            <w:tcW w:w="1291" w:type="dxa"/>
          </w:tcPr>
          <w:p w14:paraId="38E88E4E" w14:textId="03E8A294" w:rsidR="00526CF8" w:rsidRPr="004321FE" w:rsidRDefault="00526CF8" w:rsidP="000C20C5">
            <w:pPr>
              <w:jc w:val="center"/>
              <w:rPr>
                <w:b/>
                <w:bCs/>
                <w:sz w:val="28"/>
                <w:szCs w:val="28"/>
              </w:rPr>
            </w:pPr>
            <w:r w:rsidRPr="004321FE">
              <w:rPr>
                <w:szCs w:val="21"/>
              </w:rPr>
              <w:fldChar w:fldCharType="begin"/>
            </w:r>
            <w:r w:rsidR="00E24D11">
              <w:rPr>
                <w:szCs w:val="21"/>
              </w:rPr>
              <w:instrText xml:space="preserve"> ADDIN EN.CITE &lt;EndNote&gt;&lt;Cite&gt;&lt;Author&gt;Senocak&lt;/Author&gt;&lt;Year&gt;2019&lt;/Year&gt;&lt;RecNum&gt;54&lt;/RecNum&gt;&lt;DisplayText&gt;(Senocak et al., 2019)&lt;/DisplayText&gt;&lt;record&gt;&lt;rec-number&gt;54&lt;/rec-number&gt;&lt;foreign-keys&gt;&lt;key app="EN" db-id="t2pt52td8zt59qe2w2qxrvpl2perdrs2wf9a" timestamp="1651910125"&gt;54&lt;/key&gt;&lt;/foreign-keys&gt;&lt;ref-type name="Journal Article"&gt;17&lt;/ref-type&gt;&lt;contributors&gt;&lt;authors&gt;&lt;author&gt;Senocak, Ahmet&lt;/author&gt;&lt;author&gt;Basova, Tamara&lt;/author&gt;&lt;author&gt;Demirbas, Erhan&lt;/author&gt;&lt;author&gt;Durmus, Mahmut&lt;/author&gt;&lt;/authors&gt;&lt;/contributors&gt;&lt;titles&gt;&lt;title&gt;Direct and Fast Electrochemical Determination of Catechin in Tea Extracts using SWCNT-Subphthalocyanine Hybrid Material&lt;/title&gt;&lt;secondary-title&gt;Electroanalysis&lt;/secondary-title&gt;&lt;/titles&gt;&lt;periodical&gt;&lt;full-title&gt;Electroanalysis&lt;/full-title&gt;&lt;/periodical&gt;&lt;pages&gt;1697-1707&lt;/pages&gt;&lt;volume&gt;31&lt;/volume&gt;&lt;number&gt;9&lt;/number&gt;&lt;dates&gt;&lt;year&gt;2019&lt;/year&gt;&lt;pub-dates&gt;&lt;date&gt;Sep&lt;/date&gt;&lt;/pub-dates&gt;&lt;/dates&gt;&lt;isbn&gt;1040-0397&lt;/isbn&gt;&lt;accession-num&gt;WOS:000485000600011&lt;/accession-num&gt;&lt;urls&gt;&lt;related-urls&gt;&lt;url&gt;&amp;lt;Go to ISI&amp;gt;://WOS:000485000600011&lt;/url&gt;&lt;/related-urls&gt;&lt;/urls&gt;&lt;electronic-resource-num&gt;10.1002/elan.201900214&lt;/electronic-resource-num&gt;&lt;/record&gt;&lt;/Cite&gt;&lt;/EndNote&gt;</w:instrText>
            </w:r>
            <w:r w:rsidRPr="004321FE">
              <w:rPr>
                <w:szCs w:val="21"/>
              </w:rPr>
              <w:fldChar w:fldCharType="separate"/>
            </w:r>
            <w:r w:rsidR="00E24D11">
              <w:rPr>
                <w:noProof/>
                <w:szCs w:val="21"/>
              </w:rPr>
              <w:t>(Senocak et al., 2019)</w:t>
            </w:r>
            <w:r w:rsidRPr="004321FE">
              <w:rPr>
                <w:szCs w:val="21"/>
              </w:rPr>
              <w:fldChar w:fldCharType="end"/>
            </w:r>
          </w:p>
        </w:tc>
      </w:tr>
      <w:tr w:rsidR="00526CF8" w:rsidRPr="004321FE" w14:paraId="2E2515AA" w14:textId="77777777" w:rsidTr="000C20C5">
        <w:trPr>
          <w:trHeight w:val="968"/>
        </w:trPr>
        <w:tc>
          <w:tcPr>
            <w:tcW w:w="1862" w:type="dxa"/>
          </w:tcPr>
          <w:p w14:paraId="67F2DB03" w14:textId="77777777" w:rsidR="00526CF8" w:rsidRPr="004321FE" w:rsidRDefault="00526CF8" w:rsidP="000C20C5">
            <w:pPr>
              <w:jc w:val="left"/>
              <w:rPr>
                <w:szCs w:val="21"/>
              </w:rPr>
            </w:pPr>
            <w:r w:rsidRPr="004321FE">
              <w:rPr>
                <w:szCs w:val="21"/>
              </w:rPr>
              <w:t>diode array detector (DAD)</w:t>
            </w:r>
          </w:p>
        </w:tc>
        <w:tc>
          <w:tcPr>
            <w:tcW w:w="919" w:type="dxa"/>
          </w:tcPr>
          <w:p w14:paraId="6AC8E07F" w14:textId="77777777" w:rsidR="00526CF8" w:rsidRPr="004321FE" w:rsidRDefault="00526CF8" w:rsidP="000C20C5">
            <w:pPr>
              <w:jc w:val="center"/>
              <w:rPr>
                <w:szCs w:val="21"/>
              </w:rPr>
            </w:pPr>
            <w:r w:rsidRPr="004321FE">
              <w:rPr>
                <w:szCs w:val="21"/>
              </w:rPr>
              <w:t>HPLC</w:t>
            </w:r>
          </w:p>
        </w:tc>
        <w:tc>
          <w:tcPr>
            <w:tcW w:w="545" w:type="dxa"/>
          </w:tcPr>
          <w:p w14:paraId="3759633F" w14:textId="77777777" w:rsidR="00526CF8" w:rsidRPr="004321FE" w:rsidRDefault="00526CF8" w:rsidP="000C20C5">
            <w:pPr>
              <w:jc w:val="center"/>
              <w:rPr>
                <w:b/>
                <w:bCs/>
                <w:szCs w:val="21"/>
              </w:rPr>
            </w:pPr>
            <w:r w:rsidRPr="004321FE">
              <w:rPr>
                <w:b/>
                <w:bCs/>
                <w:szCs w:val="21"/>
              </w:rPr>
              <w:t>√</w:t>
            </w:r>
          </w:p>
        </w:tc>
        <w:tc>
          <w:tcPr>
            <w:tcW w:w="539" w:type="dxa"/>
          </w:tcPr>
          <w:p w14:paraId="7B412C25" w14:textId="77777777" w:rsidR="00526CF8" w:rsidRPr="004321FE" w:rsidRDefault="00526CF8" w:rsidP="000C20C5">
            <w:pPr>
              <w:jc w:val="center"/>
              <w:rPr>
                <w:b/>
                <w:bCs/>
                <w:szCs w:val="21"/>
              </w:rPr>
            </w:pPr>
            <w:r w:rsidRPr="004321FE">
              <w:rPr>
                <w:b/>
                <w:bCs/>
                <w:szCs w:val="21"/>
              </w:rPr>
              <w:t>/</w:t>
            </w:r>
          </w:p>
        </w:tc>
        <w:tc>
          <w:tcPr>
            <w:tcW w:w="1276" w:type="dxa"/>
          </w:tcPr>
          <w:p w14:paraId="0E47737E" w14:textId="77777777" w:rsidR="00526CF8" w:rsidRPr="004321FE" w:rsidRDefault="00526CF8" w:rsidP="000C20C5">
            <w:pPr>
              <w:jc w:val="center"/>
              <w:rPr>
                <w:szCs w:val="21"/>
              </w:rPr>
            </w:pPr>
            <w:r w:rsidRPr="004321FE">
              <w:rPr>
                <w:szCs w:val="21"/>
              </w:rPr>
              <w:t>6.9–34.45</w:t>
            </w:r>
          </w:p>
        </w:tc>
        <w:tc>
          <w:tcPr>
            <w:tcW w:w="871" w:type="dxa"/>
          </w:tcPr>
          <w:p w14:paraId="6626598D" w14:textId="77777777" w:rsidR="00526CF8" w:rsidRPr="004321FE" w:rsidRDefault="00526CF8" w:rsidP="000C20C5">
            <w:pPr>
              <w:jc w:val="center"/>
              <w:rPr>
                <w:b/>
                <w:bCs/>
                <w:szCs w:val="21"/>
              </w:rPr>
            </w:pPr>
            <w:r w:rsidRPr="004321FE">
              <w:rPr>
                <w:b/>
                <w:bCs/>
                <w:szCs w:val="21"/>
              </w:rPr>
              <w:t>/</w:t>
            </w:r>
          </w:p>
        </w:tc>
        <w:tc>
          <w:tcPr>
            <w:tcW w:w="791" w:type="dxa"/>
          </w:tcPr>
          <w:p w14:paraId="68465993" w14:textId="77777777" w:rsidR="00526CF8" w:rsidRPr="004321FE" w:rsidRDefault="00526CF8" w:rsidP="000C20C5">
            <w:pPr>
              <w:jc w:val="center"/>
              <w:rPr>
                <w:szCs w:val="21"/>
              </w:rPr>
            </w:pPr>
            <w:r w:rsidRPr="004321FE">
              <w:rPr>
                <w:szCs w:val="21"/>
              </w:rPr>
              <w:t>0.18</w:t>
            </w:r>
          </w:p>
        </w:tc>
        <w:tc>
          <w:tcPr>
            <w:tcW w:w="757" w:type="dxa"/>
          </w:tcPr>
          <w:p w14:paraId="6DE7570F" w14:textId="77777777" w:rsidR="00526CF8" w:rsidRPr="004321FE" w:rsidRDefault="00526CF8" w:rsidP="000C20C5">
            <w:pPr>
              <w:jc w:val="center"/>
              <w:rPr>
                <w:szCs w:val="21"/>
              </w:rPr>
            </w:pPr>
            <w:r w:rsidRPr="004321FE">
              <w:rPr>
                <w:b/>
                <w:bCs/>
                <w:szCs w:val="21"/>
              </w:rPr>
              <w:t>/</w:t>
            </w:r>
          </w:p>
        </w:tc>
        <w:tc>
          <w:tcPr>
            <w:tcW w:w="1291" w:type="dxa"/>
          </w:tcPr>
          <w:p w14:paraId="5F03C18D" w14:textId="23A5BA57" w:rsidR="00526CF8" w:rsidRPr="004321FE" w:rsidRDefault="00526CF8" w:rsidP="000C20C5">
            <w:pPr>
              <w:jc w:val="center"/>
              <w:rPr>
                <w:b/>
                <w:bCs/>
                <w:sz w:val="28"/>
                <w:szCs w:val="28"/>
              </w:rPr>
            </w:pPr>
            <w:r w:rsidRPr="004321FE">
              <w:rPr>
                <w:szCs w:val="21"/>
              </w:rPr>
              <w:fldChar w:fldCharType="begin"/>
            </w:r>
            <w:r w:rsidR="00E24D11">
              <w:rPr>
                <w:szCs w:val="21"/>
              </w:rPr>
              <w:instrText xml:space="preserve"> ADDIN EN.CITE &lt;EndNote&gt;&lt;Cite&gt;&lt;Author&gt;Sheikh&lt;/Author&gt;&lt;Year&gt;2016&lt;/Year&gt;&lt;RecNum&gt;55&lt;/RecNum&gt;&lt;DisplayText&gt;(Sheikh et al., 2016)&lt;/DisplayText&gt;&lt;record&gt;&lt;rec-number&gt;55&lt;/rec-number&gt;&lt;foreign-keys&gt;&lt;key app="EN" db-id="t2pt52td8zt59qe2w2qxrvpl2perdrs2wf9a" timestamp="1651910188"&gt;55&lt;/key&gt;&lt;/foreign-keys&gt;&lt;ref-type name="Journal Article"&gt;17&lt;/ref-type&gt;&lt;contributors&gt;&lt;authors&gt;&lt;author&gt;Sheikh, Zeeshan A.&lt;/author&gt;&lt;author&gt;Siddiqui, Zafar A.&lt;/author&gt;&lt;author&gt;Naveed, Safila&lt;/author&gt;&lt;author&gt;Usmanghani, Khan&lt;/author&gt;&lt;/authors&gt;&lt;/contributors&gt;&lt;titles&gt;&lt;title&gt;Quantitative Determination of Catechin as Chemical Marker in Pediatric Polyherbal Syrup by HPLC/DAD&lt;/title&gt;&lt;secondary-title&gt;Journal of Chromatographic Science&lt;/secondary-title&gt;&lt;/titles&gt;&lt;periodical&gt;&lt;full-title&gt;Journal of Chromatographic Science&lt;/full-title&gt;&lt;/periodical&gt;&lt;pages&gt;1324-1327&lt;/pages&gt;&lt;volume&gt;54&lt;/volume&gt;&lt;number&gt;8&lt;/number&gt;&lt;dates&gt;&lt;year&gt;2016&lt;/year&gt;&lt;pub-dates&gt;&lt;date&gt;Sep&lt;/date&gt;&lt;/pub-dates&gt;&lt;/dates&gt;&lt;isbn&gt;0021-9665&lt;/isbn&gt;&lt;accession-num&gt;WOS:000389139100007&lt;/accession-num&gt;&lt;urls&gt;&lt;related-urls&gt;&lt;url&gt;&amp;lt;Go to ISI&amp;gt;://WOS:000389139100007&lt;/url&gt;&lt;/related-urls&gt;&lt;/urls&gt;&lt;electronic-resource-num&gt;10.1093/chromsci/bmw078&lt;/electronic-resource-num&gt;&lt;/record&gt;&lt;/Cite&gt;&lt;/EndNote&gt;</w:instrText>
            </w:r>
            <w:r w:rsidRPr="004321FE">
              <w:rPr>
                <w:szCs w:val="21"/>
              </w:rPr>
              <w:fldChar w:fldCharType="separate"/>
            </w:r>
            <w:r w:rsidR="00E24D11">
              <w:rPr>
                <w:noProof/>
                <w:szCs w:val="21"/>
              </w:rPr>
              <w:t>(Sheikh et al., 2016)</w:t>
            </w:r>
            <w:r w:rsidRPr="004321FE">
              <w:rPr>
                <w:szCs w:val="21"/>
              </w:rPr>
              <w:fldChar w:fldCharType="end"/>
            </w:r>
          </w:p>
        </w:tc>
      </w:tr>
      <w:tr w:rsidR="00526CF8" w:rsidRPr="004321FE" w14:paraId="6007E7F0" w14:textId="77777777" w:rsidTr="000C20C5">
        <w:trPr>
          <w:trHeight w:val="891"/>
        </w:trPr>
        <w:tc>
          <w:tcPr>
            <w:tcW w:w="1862" w:type="dxa"/>
            <w:tcBorders>
              <w:bottom w:val="single" w:sz="4" w:space="0" w:color="auto"/>
            </w:tcBorders>
          </w:tcPr>
          <w:p w14:paraId="5FBCF39F" w14:textId="77777777" w:rsidR="00526CF8" w:rsidRPr="004321FE" w:rsidRDefault="00526CF8" w:rsidP="000C20C5">
            <w:pPr>
              <w:jc w:val="left"/>
              <w:rPr>
                <w:szCs w:val="21"/>
              </w:rPr>
            </w:pPr>
            <w:proofErr w:type="gramStart"/>
            <w:r w:rsidRPr="004321FE">
              <w:rPr>
                <w:szCs w:val="21"/>
              </w:rPr>
              <w:t>Ni(</w:t>
            </w:r>
            <w:proofErr w:type="gramEnd"/>
            <w:r w:rsidRPr="004321FE">
              <w:rPr>
                <w:szCs w:val="21"/>
              </w:rPr>
              <w:t xml:space="preserve">II) complex–SAM-Au </w:t>
            </w:r>
            <w:proofErr w:type="spellStart"/>
            <w:r w:rsidRPr="004321FE">
              <w:rPr>
                <w:szCs w:val="21"/>
              </w:rPr>
              <w:t>electrod</w:t>
            </w:r>
            <w:proofErr w:type="spellEnd"/>
          </w:p>
        </w:tc>
        <w:tc>
          <w:tcPr>
            <w:tcW w:w="919" w:type="dxa"/>
            <w:tcBorders>
              <w:bottom w:val="single" w:sz="4" w:space="0" w:color="auto"/>
            </w:tcBorders>
          </w:tcPr>
          <w:p w14:paraId="6EDB04EF" w14:textId="77777777" w:rsidR="00526CF8" w:rsidRPr="004321FE" w:rsidRDefault="00526CF8" w:rsidP="000C20C5">
            <w:pPr>
              <w:jc w:val="center"/>
              <w:rPr>
                <w:szCs w:val="21"/>
              </w:rPr>
            </w:pPr>
            <w:r w:rsidRPr="004321FE">
              <w:rPr>
                <w:szCs w:val="21"/>
              </w:rPr>
              <w:t>SWV</w:t>
            </w:r>
          </w:p>
        </w:tc>
        <w:tc>
          <w:tcPr>
            <w:tcW w:w="545" w:type="dxa"/>
            <w:tcBorders>
              <w:bottom w:val="single" w:sz="4" w:space="0" w:color="auto"/>
            </w:tcBorders>
          </w:tcPr>
          <w:p w14:paraId="63592D6C" w14:textId="77777777" w:rsidR="00526CF8" w:rsidRPr="004321FE" w:rsidRDefault="00526CF8" w:rsidP="000C20C5">
            <w:pPr>
              <w:jc w:val="center"/>
              <w:rPr>
                <w:b/>
                <w:bCs/>
                <w:szCs w:val="21"/>
              </w:rPr>
            </w:pPr>
            <w:r w:rsidRPr="004321FE">
              <w:rPr>
                <w:b/>
                <w:bCs/>
                <w:szCs w:val="21"/>
              </w:rPr>
              <w:t>√</w:t>
            </w:r>
          </w:p>
        </w:tc>
        <w:tc>
          <w:tcPr>
            <w:tcW w:w="539" w:type="dxa"/>
            <w:tcBorders>
              <w:bottom w:val="single" w:sz="4" w:space="0" w:color="auto"/>
            </w:tcBorders>
          </w:tcPr>
          <w:p w14:paraId="6F3077F3" w14:textId="77777777" w:rsidR="00526CF8" w:rsidRPr="004321FE" w:rsidRDefault="00526CF8" w:rsidP="000C20C5">
            <w:pPr>
              <w:jc w:val="center"/>
              <w:rPr>
                <w:b/>
                <w:bCs/>
                <w:szCs w:val="21"/>
              </w:rPr>
            </w:pPr>
            <w:r w:rsidRPr="004321FE">
              <w:rPr>
                <w:b/>
                <w:bCs/>
                <w:szCs w:val="21"/>
              </w:rPr>
              <w:t>/</w:t>
            </w:r>
          </w:p>
        </w:tc>
        <w:tc>
          <w:tcPr>
            <w:tcW w:w="1276" w:type="dxa"/>
            <w:tcBorders>
              <w:bottom w:val="single" w:sz="4" w:space="0" w:color="auto"/>
            </w:tcBorders>
          </w:tcPr>
          <w:p w14:paraId="31769ED0" w14:textId="77777777" w:rsidR="00526CF8" w:rsidRPr="004321FE" w:rsidRDefault="00526CF8" w:rsidP="000C20C5">
            <w:pPr>
              <w:jc w:val="center"/>
              <w:rPr>
                <w:szCs w:val="21"/>
              </w:rPr>
            </w:pPr>
            <w:r w:rsidRPr="004321FE">
              <w:rPr>
                <w:szCs w:val="21"/>
              </w:rPr>
              <w:t>3.31–25.1</w:t>
            </w:r>
          </w:p>
        </w:tc>
        <w:tc>
          <w:tcPr>
            <w:tcW w:w="871" w:type="dxa"/>
            <w:tcBorders>
              <w:bottom w:val="single" w:sz="4" w:space="0" w:color="auto"/>
            </w:tcBorders>
          </w:tcPr>
          <w:p w14:paraId="2EB75D04" w14:textId="77777777" w:rsidR="00526CF8" w:rsidRPr="004321FE" w:rsidRDefault="00526CF8" w:rsidP="000C20C5">
            <w:pPr>
              <w:jc w:val="center"/>
              <w:rPr>
                <w:b/>
                <w:bCs/>
                <w:szCs w:val="21"/>
              </w:rPr>
            </w:pPr>
            <w:r w:rsidRPr="004321FE">
              <w:rPr>
                <w:b/>
                <w:bCs/>
                <w:szCs w:val="21"/>
              </w:rPr>
              <w:t>/</w:t>
            </w:r>
          </w:p>
        </w:tc>
        <w:tc>
          <w:tcPr>
            <w:tcW w:w="791" w:type="dxa"/>
            <w:tcBorders>
              <w:bottom w:val="single" w:sz="4" w:space="0" w:color="auto"/>
            </w:tcBorders>
          </w:tcPr>
          <w:p w14:paraId="4B7838EC" w14:textId="77777777" w:rsidR="00526CF8" w:rsidRPr="004321FE" w:rsidRDefault="00526CF8" w:rsidP="000C20C5">
            <w:pPr>
              <w:jc w:val="center"/>
              <w:rPr>
                <w:szCs w:val="21"/>
              </w:rPr>
            </w:pPr>
            <w:r w:rsidRPr="004321FE">
              <w:rPr>
                <w:szCs w:val="21"/>
              </w:rPr>
              <w:t>0.826</w:t>
            </w:r>
          </w:p>
        </w:tc>
        <w:tc>
          <w:tcPr>
            <w:tcW w:w="757" w:type="dxa"/>
            <w:tcBorders>
              <w:bottom w:val="single" w:sz="4" w:space="0" w:color="auto"/>
            </w:tcBorders>
          </w:tcPr>
          <w:p w14:paraId="5E2C80BC" w14:textId="77777777" w:rsidR="00526CF8" w:rsidRPr="004321FE" w:rsidRDefault="00526CF8" w:rsidP="000C20C5">
            <w:pPr>
              <w:jc w:val="center"/>
              <w:rPr>
                <w:szCs w:val="21"/>
              </w:rPr>
            </w:pPr>
            <w:r w:rsidRPr="004321FE">
              <w:rPr>
                <w:b/>
                <w:bCs/>
                <w:szCs w:val="21"/>
              </w:rPr>
              <w:t>/</w:t>
            </w:r>
          </w:p>
        </w:tc>
        <w:tc>
          <w:tcPr>
            <w:tcW w:w="1291" w:type="dxa"/>
            <w:tcBorders>
              <w:bottom w:val="single" w:sz="4" w:space="0" w:color="auto"/>
            </w:tcBorders>
          </w:tcPr>
          <w:p w14:paraId="6C53A5AE" w14:textId="71A66E92" w:rsidR="00526CF8" w:rsidRPr="004321FE" w:rsidRDefault="00526CF8" w:rsidP="000C20C5">
            <w:pPr>
              <w:jc w:val="center"/>
              <w:rPr>
                <w:b/>
                <w:bCs/>
                <w:sz w:val="28"/>
                <w:szCs w:val="28"/>
              </w:rPr>
            </w:pPr>
            <w:r w:rsidRPr="004321FE">
              <w:rPr>
                <w:szCs w:val="21"/>
              </w:rPr>
              <w:fldChar w:fldCharType="begin"/>
            </w:r>
            <w:r w:rsidR="00E24D11">
              <w:rPr>
                <w:szCs w:val="21"/>
              </w:rPr>
              <w:instrText xml:space="preserve"> ADDIN EN.CITE &lt;EndNote&gt;&lt;Cite&gt;&lt;Author&gt;Moccelini&lt;/Author&gt;&lt;Year&gt;2009&lt;/Year&gt;&lt;RecNum&gt;70&lt;/RecNum&gt;&lt;DisplayText&gt;(Moccelini et al., 2009)&lt;/DisplayText&gt;&lt;record&gt;&lt;rec-number&gt;70&lt;/rec-number&gt;&lt;foreign-keys&gt;&lt;key app="EN" db-id="t2pt52td8zt59qe2w2qxrvpl2perdrs2wf9a" timestamp="1656117381"&gt;70&lt;/key&gt;&lt;/foreign-keys&gt;&lt;ref-type name="Journal Article"&gt;17&lt;/ref-type&gt;&lt;contributors&gt;&lt;authors&gt;&lt;author&gt;Moccelini, Sally Kaduce&lt;/author&gt;&lt;author&gt;Fernandes, Suellen Cadorin&lt;/author&gt;&lt;author&gt;de Camargo, Tiago Pacheco&lt;/author&gt;&lt;author&gt;Neves, Ademir&lt;/author&gt;&lt;author&gt;Vieira, Iolanda Cruz&lt;/author&gt;&lt;/authors&gt;&lt;/contributors&gt;&lt;titles&gt;&lt;title&gt;Self-assembled monolayer of nickel(II) complex and thiol on gold electrode for the determination of catechin&lt;/title&gt;&lt;secondary-title&gt;Talanta&lt;/secondary-title&gt;&lt;/titles&gt;&lt;periodical&gt;&lt;full-title&gt;Talanta&lt;/full-title&gt;&lt;/periodical&gt;&lt;pages&gt;1063-1068&lt;/pages&gt;&lt;volume&gt;78&lt;/volume&gt;&lt;number&gt;3&lt;/number&gt;&lt;dates&gt;&lt;year&gt;2009&lt;/year&gt;&lt;pub-dates&gt;&lt;date&gt;May 15&lt;/date&gt;&lt;/pub-dates&gt;&lt;/dates&gt;&lt;isbn&gt;0039-9140&lt;/isbn&gt;&lt;accession-num&gt;WOS:000264976600068&lt;/accession-num&gt;&lt;urls&gt;&lt;related-urls&gt;&lt;url&gt;&amp;lt;Go to ISI&amp;gt;://WOS:000264976600068&lt;/url&gt;&lt;/related-urls&gt;&lt;/urls&gt;&lt;electronic-resource-num&gt;10.1016/j.talanta.2009.01.038&lt;/electronic-resource-num&gt;&lt;/record&gt;&lt;/Cite&gt;&lt;/EndNote&gt;</w:instrText>
            </w:r>
            <w:r w:rsidRPr="004321FE">
              <w:rPr>
                <w:szCs w:val="21"/>
              </w:rPr>
              <w:fldChar w:fldCharType="separate"/>
            </w:r>
            <w:r w:rsidR="00E24D11">
              <w:rPr>
                <w:noProof/>
                <w:szCs w:val="21"/>
              </w:rPr>
              <w:t>(Moccelini et al., 2009)</w:t>
            </w:r>
            <w:r w:rsidRPr="004321FE">
              <w:rPr>
                <w:szCs w:val="21"/>
              </w:rPr>
              <w:fldChar w:fldCharType="end"/>
            </w:r>
          </w:p>
        </w:tc>
      </w:tr>
      <w:bookmarkEnd w:id="5"/>
      <w:tr w:rsidR="00526CF8" w:rsidRPr="004321FE" w14:paraId="34B16675" w14:textId="77777777" w:rsidTr="000C20C5">
        <w:trPr>
          <w:trHeight w:val="968"/>
        </w:trPr>
        <w:tc>
          <w:tcPr>
            <w:tcW w:w="1862" w:type="dxa"/>
            <w:tcBorders>
              <w:top w:val="single" w:sz="4" w:space="0" w:color="auto"/>
            </w:tcBorders>
          </w:tcPr>
          <w:p w14:paraId="2A59D966" w14:textId="77777777" w:rsidR="00526CF8" w:rsidRPr="004321FE" w:rsidRDefault="00526CF8" w:rsidP="000C20C5">
            <w:pPr>
              <w:jc w:val="left"/>
              <w:rPr>
                <w:szCs w:val="21"/>
              </w:rPr>
            </w:pPr>
            <w:r w:rsidRPr="004321FE">
              <w:rPr>
                <w:szCs w:val="21"/>
              </w:rPr>
              <w:t>CHIT/</w:t>
            </w:r>
            <w:proofErr w:type="spellStart"/>
            <w:r w:rsidRPr="004321FE">
              <w:rPr>
                <w:szCs w:val="21"/>
              </w:rPr>
              <w:t>CaONPs</w:t>
            </w:r>
            <w:proofErr w:type="spellEnd"/>
            <w:r w:rsidRPr="004321FE">
              <w:rPr>
                <w:szCs w:val="21"/>
              </w:rPr>
              <w:t>/MWCNTs/</w:t>
            </w:r>
            <w:proofErr w:type="spellStart"/>
            <w:r w:rsidRPr="004321FE">
              <w:rPr>
                <w:szCs w:val="21"/>
              </w:rPr>
              <w:t>AuE</w:t>
            </w:r>
            <w:proofErr w:type="spellEnd"/>
          </w:p>
        </w:tc>
        <w:tc>
          <w:tcPr>
            <w:tcW w:w="919" w:type="dxa"/>
            <w:tcBorders>
              <w:top w:val="single" w:sz="4" w:space="0" w:color="auto"/>
            </w:tcBorders>
          </w:tcPr>
          <w:p w14:paraId="53F5F785" w14:textId="77777777" w:rsidR="00526CF8" w:rsidRPr="004321FE" w:rsidRDefault="00526CF8" w:rsidP="000C20C5">
            <w:pPr>
              <w:jc w:val="center"/>
              <w:rPr>
                <w:szCs w:val="21"/>
              </w:rPr>
            </w:pPr>
            <w:r w:rsidRPr="004321FE">
              <w:rPr>
                <w:szCs w:val="21"/>
              </w:rPr>
              <w:t>DPV</w:t>
            </w:r>
          </w:p>
        </w:tc>
        <w:tc>
          <w:tcPr>
            <w:tcW w:w="545" w:type="dxa"/>
            <w:tcBorders>
              <w:top w:val="single" w:sz="4" w:space="0" w:color="auto"/>
            </w:tcBorders>
          </w:tcPr>
          <w:p w14:paraId="1E257E83" w14:textId="77777777" w:rsidR="00526CF8" w:rsidRPr="004321FE" w:rsidRDefault="00526CF8" w:rsidP="000C20C5">
            <w:pPr>
              <w:jc w:val="center"/>
              <w:rPr>
                <w:b/>
                <w:bCs/>
                <w:szCs w:val="21"/>
              </w:rPr>
            </w:pPr>
            <w:r w:rsidRPr="004321FE">
              <w:rPr>
                <w:b/>
                <w:bCs/>
                <w:szCs w:val="21"/>
              </w:rPr>
              <w:t>/</w:t>
            </w:r>
          </w:p>
        </w:tc>
        <w:tc>
          <w:tcPr>
            <w:tcW w:w="539" w:type="dxa"/>
            <w:tcBorders>
              <w:top w:val="single" w:sz="4" w:space="0" w:color="auto"/>
            </w:tcBorders>
          </w:tcPr>
          <w:p w14:paraId="1F732F39" w14:textId="77777777" w:rsidR="00526CF8" w:rsidRPr="004321FE" w:rsidRDefault="00526CF8" w:rsidP="000C20C5">
            <w:pPr>
              <w:jc w:val="center"/>
              <w:rPr>
                <w:b/>
                <w:bCs/>
                <w:szCs w:val="21"/>
              </w:rPr>
            </w:pPr>
            <w:r w:rsidRPr="004321FE">
              <w:rPr>
                <w:b/>
                <w:bCs/>
                <w:szCs w:val="21"/>
              </w:rPr>
              <w:t>√</w:t>
            </w:r>
          </w:p>
        </w:tc>
        <w:tc>
          <w:tcPr>
            <w:tcW w:w="1276" w:type="dxa"/>
            <w:tcBorders>
              <w:top w:val="single" w:sz="4" w:space="0" w:color="auto"/>
            </w:tcBorders>
          </w:tcPr>
          <w:p w14:paraId="20E76A10" w14:textId="77777777" w:rsidR="00526CF8" w:rsidRPr="004321FE" w:rsidRDefault="00526CF8" w:rsidP="000C20C5">
            <w:pPr>
              <w:jc w:val="center"/>
              <w:rPr>
                <w:b/>
                <w:bCs/>
                <w:szCs w:val="21"/>
              </w:rPr>
            </w:pPr>
            <w:r w:rsidRPr="004321FE">
              <w:rPr>
                <w:b/>
                <w:bCs/>
                <w:szCs w:val="21"/>
              </w:rPr>
              <w:t>/</w:t>
            </w:r>
          </w:p>
        </w:tc>
        <w:tc>
          <w:tcPr>
            <w:tcW w:w="871" w:type="dxa"/>
            <w:tcBorders>
              <w:top w:val="single" w:sz="4" w:space="0" w:color="auto"/>
            </w:tcBorders>
          </w:tcPr>
          <w:p w14:paraId="68DC9ECF" w14:textId="77777777" w:rsidR="00526CF8" w:rsidRPr="004321FE" w:rsidRDefault="00526CF8" w:rsidP="000C20C5">
            <w:pPr>
              <w:jc w:val="center"/>
              <w:rPr>
                <w:szCs w:val="21"/>
              </w:rPr>
            </w:pPr>
            <w:r w:rsidRPr="004321FE">
              <w:rPr>
                <w:szCs w:val="21"/>
              </w:rPr>
              <w:t>1.99–22.11</w:t>
            </w:r>
          </w:p>
        </w:tc>
        <w:tc>
          <w:tcPr>
            <w:tcW w:w="791" w:type="dxa"/>
            <w:tcBorders>
              <w:top w:val="single" w:sz="4" w:space="0" w:color="auto"/>
            </w:tcBorders>
          </w:tcPr>
          <w:p w14:paraId="72C55179" w14:textId="77777777" w:rsidR="00526CF8" w:rsidRPr="004321FE" w:rsidRDefault="00526CF8" w:rsidP="000C20C5">
            <w:pPr>
              <w:jc w:val="center"/>
              <w:rPr>
                <w:szCs w:val="21"/>
              </w:rPr>
            </w:pPr>
            <w:r w:rsidRPr="004321FE">
              <w:rPr>
                <w:b/>
                <w:bCs/>
                <w:szCs w:val="21"/>
              </w:rPr>
              <w:t>/</w:t>
            </w:r>
          </w:p>
        </w:tc>
        <w:tc>
          <w:tcPr>
            <w:tcW w:w="757" w:type="dxa"/>
            <w:tcBorders>
              <w:top w:val="single" w:sz="4" w:space="0" w:color="auto"/>
            </w:tcBorders>
          </w:tcPr>
          <w:p w14:paraId="16D38CD7" w14:textId="77777777" w:rsidR="00526CF8" w:rsidRPr="004321FE" w:rsidRDefault="00526CF8" w:rsidP="000C20C5">
            <w:pPr>
              <w:jc w:val="center"/>
              <w:rPr>
                <w:szCs w:val="21"/>
              </w:rPr>
            </w:pPr>
            <w:r w:rsidRPr="004321FE">
              <w:rPr>
                <w:szCs w:val="21"/>
              </w:rPr>
              <w:t>1.77</w:t>
            </w:r>
          </w:p>
        </w:tc>
        <w:tc>
          <w:tcPr>
            <w:tcW w:w="1291" w:type="dxa"/>
            <w:tcBorders>
              <w:top w:val="single" w:sz="4" w:space="0" w:color="auto"/>
            </w:tcBorders>
          </w:tcPr>
          <w:p w14:paraId="4CCECD93" w14:textId="3E215AED" w:rsidR="00526CF8" w:rsidRPr="004321FE" w:rsidRDefault="00526CF8" w:rsidP="000C20C5">
            <w:pPr>
              <w:jc w:val="center"/>
              <w:rPr>
                <w:b/>
                <w:bCs/>
                <w:sz w:val="28"/>
                <w:szCs w:val="28"/>
              </w:rPr>
            </w:pPr>
            <w:r w:rsidRPr="004321FE">
              <w:rPr>
                <w:szCs w:val="21"/>
              </w:rPr>
              <w:fldChar w:fldCharType="begin"/>
            </w:r>
            <w:r w:rsidR="00E24D11">
              <w:rPr>
                <w:szCs w:val="21"/>
              </w:rPr>
              <w:instrText xml:space="preserve"> ADDIN EN.CITE &lt;EndNote&gt;&lt;Cite&gt;&lt;Author&gt;Rovina&lt;/Author&gt;&lt;Year&gt;2016&lt;/Year&gt;&lt;RecNum&gt;71&lt;/RecNum&gt;&lt;DisplayText&gt;(Rovina et al., 2016)&lt;/DisplayText&gt;&lt;record&gt;&lt;rec-number&gt;71&lt;/rec-number&gt;&lt;foreign-keys&gt;&lt;key app="EN" db-id="t2pt52td8zt59qe2w2qxrvpl2perdrs2wf9a" timestamp="1656120143"&gt;71&lt;/key&gt;&lt;/foreign-keys&gt;&lt;ref-type name="Journal Article"&gt;17&lt;/ref-type&gt;&lt;contributors&gt;&lt;authors&gt;&lt;author&gt;Rovina, K.&lt;/author&gt;&lt;author&gt;Siddiquee, S.&lt;/author&gt;&lt;author&gt;Shaarani, S. M.&lt;/author&gt;&lt;/authors&gt;&lt;/contributors&gt;&lt;titles&gt;&lt;title&gt;Highly sensitive determination of sunset yellow FCF (E110) in food products based on Chitosan/Nanoparticles/MWCNTs with modified gold electrode&lt;/title&gt;&lt;secondary-title&gt;IOP Conference Series: Earth and Environmental Science&lt;/secondary-title&gt;&lt;/titles&gt;&lt;periodical&gt;&lt;full-title&gt;IOP Conference Series: Earth and Environmental Science&lt;/full-title&gt;&lt;/periodical&gt;&lt;dates&gt;&lt;year&gt;2016&lt;/year&gt;&lt;pub-dates&gt;&lt;date&gt;2016/06/01&lt;/date&gt;&lt;/pub-dates&gt;&lt;/dates&gt;&lt;urls&gt;&lt;related-urls&gt;&lt;url&gt;http://dx.doi.org/10.1088/1755-1315/36/1/012023&lt;/url&gt;&lt;/related-urls&gt;&lt;/urls&gt;&lt;electronic-resource-num&gt;10.1088/1755-1315/36/1/012023&lt;/electronic-resource-num&gt;&lt;/record&gt;&lt;/Cite&gt;&lt;/EndNote&gt;</w:instrText>
            </w:r>
            <w:r w:rsidRPr="004321FE">
              <w:rPr>
                <w:szCs w:val="21"/>
              </w:rPr>
              <w:fldChar w:fldCharType="separate"/>
            </w:r>
            <w:r w:rsidR="00E24D11">
              <w:rPr>
                <w:noProof/>
                <w:szCs w:val="21"/>
              </w:rPr>
              <w:t>(Rovina et al., 2016)</w:t>
            </w:r>
            <w:r w:rsidRPr="004321FE">
              <w:rPr>
                <w:szCs w:val="21"/>
              </w:rPr>
              <w:fldChar w:fldCharType="end"/>
            </w:r>
          </w:p>
        </w:tc>
      </w:tr>
      <w:tr w:rsidR="00526CF8" w:rsidRPr="004321FE" w14:paraId="352CABA3" w14:textId="77777777" w:rsidTr="000C20C5">
        <w:trPr>
          <w:trHeight w:val="670"/>
        </w:trPr>
        <w:tc>
          <w:tcPr>
            <w:tcW w:w="1862" w:type="dxa"/>
          </w:tcPr>
          <w:p w14:paraId="14B4591E" w14:textId="77777777" w:rsidR="00526CF8" w:rsidRPr="004321FE" w:rsidRDefault="00526CF8" w:rsidP="000C20C5">
            <w:pPr>
              <w:jc w:val="left"/>
              <w:rPr>
                <w:szCs w:val="21"/>
              </w:rPr>
            </w:pPr>
            <w:r w:rsidRPr="004321FE">
              <w:rPr>
                <w:szCs w:val="21"/>
              </w:rPr>
              <w:t>BDDE</w:t>
            </w:r>
          </w:p>
        </w:tc>
        <w:tc>
          <w:tcPr>
            <w:tcW w:w="919" w:type="dxa"/>
          </w:tcPr>
          <w:p w14:paraId="65CB99BB" w14:textId="77777777" w:rsidR="00526CF8" w:rsidRPr="004321FE" w:rsidRDefault="00526CF8" w:rsidP="000C20C5">
            <w:pPr>
              <w:jc w:val="center"/>
              <w:rPr>
                <w:szCs w:val="21"/>
              </w:rPr>
            </w:pPr>
            <w:r w:rsidRPr="004321FE">
              <w:rPr>
                <w:szCs w:val="21"/>
              </w:rPr>
              <w:t>MPA–FIA</w:t>
            </w:r>
          </w:p>
        </w:tc>
        <w:tc>
          <w:tcPr>
            <w:tcW w:w="545" w:type="dxa"/>
          </w:tcPr>
          <w:p w14:paraId="4ED57FDD" w14:textId="77777777" w:rsidR="00526CF8" w:rsidRPr="004321FE" w:rsidRDefault="00526CF8" w:rsidP="000C20C5">
            <w:pPr>
              <w:jc w:val="center"/>
              <w:rPr>
                <w:b/>
                <w:bCs/>
                <w:szCs w:val="21"/>
              </w:rPr>
            </w:pPr>
            <w:r w:rsidRPr="004321FE">
              <w:rPr>
                <w:b/>
                <w:bCs/>
                <w:szCs w:val="21"/>
              </w:rPr>
              <w:t>/</w:t>
            </w:r>
          </w:p>
        </w:tc>
        <w:tc>
          <w:tcPr>
            <w:tcW w:w="539" w:type="dxa"/>
          </w:tcPr>
          <w:p w14:paraId="6F970E75" w14:textId="77777777" w:rsidR="00526CF8" w:rsidRPr="004321FE" w:rsidRDefault="00526CF8" w:rsidP="000C20C5">
            <w:pPr>
              <w:jc w:val="center"/>
              <w:rPr>
                <w:b/>
                <w:bCs/>
                <w:szCs w:val="21"/>
              </w:rPr>
            </w:pPr>
            <w:r w:rsidRPr="004321FE">
              <w:rPr>
                <w:b/>
                <w:bCs/>
                <w:szCs w:val="21"/>
              </w:rPr>
              <w:t>√</w:t>
            </w:r>
          </w:p>
        </w:tc>
        <w:tc>
          <w:tcPr>
            <w:tcW w:w="1276" w:type="dxa"/>
          </w:tcPr>
          <w:p w14:paraId="1112A228" w14:textId="77777777" w:rsidR="00526CF8" w:rsidRPr="004321FE" w:rsidRDefault="00526CF8" w:rsidP="000C20C5">
            <w:pPr>
              <w:jc w:val="center"/>
              <w:rPr>
                <w:b/>
                <w:bCs/>
                <w:szCs w:val="21"/>
              </w:rPr>
            </w:pPr>
            <w:r w:rsidRPr="004321FE">
              <w:rPr>
                <w:b/>
                <w:bCs/>
                <w:szCs w:val="21"/>
              </w:rPr>
              <w:t>/</w:t>
            </w:r>
          </w:p>
        </w:tc>
        <w:tc>
          <w:tcPr>
            <w:tcW w:w="871" w:type="dxa"/>
          </w:tcPr>
          <w:p w14:paraId="12E3918E" w14:textId="77777777" w:rsidR="00526CF8" w:rsidRPr="004321FE" w:rsidRDefault="00526CF8" w:rsidP="000C20C5">
            <w:pPr>
              <w:jc w:val="center"/>
              <w:rPr>
                <w:szCs w:val="21"/>
              </w:rPr>
            </w:pPr>
            <w:r w:rsidRPr="004321FE">
              <w:rPr>
                <w:szCs w:val="21"/>
              </w:rPr>
              <w:t>1–50</w:t>
            </w:r>
          </w:p>
        </w:tc>
        <w:tc>
          <w:tcPr>
            <w:tcW w:w="791" w:type="dxa"/>
          </w:tcPr>
          <w:p w14:paraId="3F53B0D4" w14:textId="77777777" w:rsidR="00526CF8" w:rsidRPr="004321FE" w:rsidRDefault="00526CF8" w:rsidP="000C20C5">
            <w:pPr>
              <w:jc w:val="center"/>
              <w:rPr>
                <w:szCs w:val="21"/>
              </w:rPr>
            </w:pPr>
            <w:r w:rsidRPr="004321FE">
              <w:rPr>
                <w:b/>
                <w:bCs/>
                <w:szCs w:val="21"/>
              </w:rPr>
              <w:t>/</w:t>
            </w:r>
          </w:p>
        </w:tc>
        <w:tc>
          <w:tcPr>
            <w:tcW w:w="757" w:type="dxa"/>
          </w:tcPr>
          <w:p w14:paraId="08B3905B" w14:textId="77777777" w:rsidR="00526CF8" w:rsidRPr="004321FE" w:rsidRDefault="00526CF8" w:rsidP="000C20C5">
            <w:pPr>
              <w:jc w:val="center"/>
              <w:rPr>
                <w:szCs w:val="21"/>
              </w:rPr>
            </w:pPr>
            <w:r w:rsidRPr="004321FE">
              <w:rPr>
                <w:szCs w:val="21"/>
              </w:rPr>
              <w:t>0.8</w:t>
            </w:r>
          </w:p>
        </w:tc>
        <w:tc>
          <w:tcPr>
            <w:tcW w:w="1291" w:type="dxa"/>
          </w:tcPr>
          <w:p w14:paraId="6BB5B6A4" w14:textId="312AEE39" w:rsidR="00526CF8" w:rsidRPr="004321FE" w:rsidRDefault="00526CF8" w:rsidP="000C20C5">
            <w:pPr>
              <w:jc w:val="center"/>
              <w:rPr>
                <w:b/>
                <w:bCs/>
                <w:sz w:val="28"/>
                <w:szCs w:val="28"/>
              </w:rPr>
            </w:pPr>
            <w:r w:rsidRPr="004321FE">
              <w:rPr>
                <w:szCs w:val="21"/>
              </w:rPr>
              <w:fldChar w:fldCharType="begin"/>
            </w:r>
            <w:r w:rsidR="00E24D11">
              <w:rPr>
                <w:szCs w:val="21"/>
              </w:rPr>
              <w:instrText xml:space="preserve"> ADDIN EN.CITE &lt;EndNote&gt;&lt;Cite&gt;&lt;Author&gt;Medeiros&lt;/Author&gt;&lt;Year&gt;2012&lt;/Year&gt;&lt;RecNum&gt;73&lt;/RecNum&gt;&lt;DisplayText&gt;(Medeiros et al., 2012)&lt;/DisplayText&gt;&lt;record&gt;&lt;rec-number&gt;73&lt;/rec-number&gt;&lt;foreign-keys&gt;&lt;key app="EN" db-id="t2pt52td8zt59qe2w2qxrvpl2perdrs2wf9a" timestamp="1656123793"&gt;73&lt;/key&gt;&lt;/foreign-keys&gt;&lt;ref-type name="Journal Article"&gt;17&lt;/ref-type&gt;&lt;contributors&gt;&lt;authors&gt;&lt;author&gt;Medeiros, Roberta A.&lt;/author&gt;&lt;author&gt;Lourencao, Bruna C.&lt;/author&gt;&lt;author&gt;Rocha-Filho, Romeu C.&lt;/author&gt;&lt;author&gt;Fatibello-Filho, Orlando&lt;/author&gt;&lt;/authors&gt;&lt;/contributors&gt;&lt;titles&gt;&lt;title&gt;Flow injection simultaneous determination of synthetic colorants in food using multiple pulse amperometric detection with a boron-doped diamond electrode&lt;/title&gt;&lt;secondary-title&gt;Talanta&lt;/secondary-title&gt;&lt;/titles&gt;&lt;periodical&gt;&lt;full-title&gt;Talanta&lt;/full-title&gt;&lt;/periodical&gt;&lt;pages&gt;883-889&lt;/pages&gt;&lt;volume&gt;99&lt;/volume&gt;&lt;dates&gt;&lt;year&gt;2012&lt;/year&gt;&lt;pub-dates&gt;&lt;date&gt;Sep 15&lt;/date&gt;&lt;/pub-dates&gt;&lt;/dates&gt;&lt;isbn&gt;0039-9140&lt;/isbn&gt;&lt;accession-num&gt;WOS:000309785300125&lt;/accession-num&gt;&lt;urls&gt;&lt;related-urls&gt;&lt;url&gt;&amp;lt;Go to ISI&amp;gt;://WOS:000309785300125&lt;/url&gt;&lt;/related-urls&gt;&lt;/urls&gt;&lt;electronic-resource-num&gt;10.1016/j.talanta.2012.07.051&lt;/electronic-resource-num&gt;&lt;/record&gt;&lt;/Cite&gt;&lt;/EndNote&gt;</w:instrText>
            </w:r>
            <w:r w:rsidRPr="004321FE">
              <w:rPr>
                <w:szCs w:val="21"/>
              </w:rPr>
              <w:fldChar w:fldCharType="separate"/>
            </w:r>
            <w:r w:rsidR="00E24D11">
              <w:rPr>
                <w:noProof/>
                <w:szCs w:val="21"/>
              </w:rPr>
              <w:t>(Medeiros et al., 2012)</w:t>
            </w:r>
            <w:r w:rsidRPr="004321FE">
              <w:rPr>
                <w:szCs w:val="21"/>
              </w:rPr>
              <w:fldChar w:fldCharType="end"/>
            </w:r>
          </w:p>
        </w:tc>
      </w:tr>
      <w:tr w:rsidR="00526CF8" w:rsidRPr="004321FE" w14:paraId="34E257D7" w14:textId="77777777" w:rsidTr="000C20C5">
        <w:trPr>
          <w:trHeight w:val="647"/>
        </w:trPr>
        <w:tc>
          <w:tcPr>
            <w:tcW w:w="1862" w:type="dxa"/>
          </w:tcPr>
          <w:p w14:paraId="0DC16203" w14:textId="77777777" w:rsidR="00526CF8" w:rsidRPr="004321FE" w:rsidRDefault="00526CF8" w:rsidP="000C20C5">
            <w:pPr>
              <w:jc w:val="left"/>
              <w:rPr>
                <w:szCs w:val="21"/>
              </w:rPr>
            </w:pPr>
            <w:r w:rsidRPr="004321FE">
              <w:rPr>
                <w:szCs w:val="21"/>
              </w:rPr>
              <w:t>CoC/CPE</w:t>
            </w:r>
          </w:p>
        </w:tc>
        <w:tc>
          <w:tcPr>
            <w:tcW w:w="919" w:type="dxa"/>
          </w:tcPr>
          <w:p w14:paraId="4ED9BFBE" w14:textId="77777777" w:rsidR="00526CF8" w:rsidRPr="004321FE" w:rsidRDefault="00526CF8" w:rsidP="000C20C5">
            <w:pPr>
              <w:jc w:val="center"/>
              <w:rPr>
                <w:szCs w:val="21"/>
              </w:rPr>
            </w:pPr>
            <w:r w:rsidRPr="004321FE">
              <w:rPr>
                <w:szCs w:val="21"/>
              </w:rPr>
              <w:t>DPV</w:t>
            </w:r>
          </w:p>
        </w:tc>
        <w:tc>
          <w:tcPr>
            <w:tcW w:w="545" w:type="dxa"/>
          </w:tcPr>
          <w:p w14:paraId="129DADC6" w14:textId="77777777" w:rsidR="00526CF8" w:rsidRPr="004321FE" w:rsidRDefault="00526CF8" w:rsidP="000C20C5">
            <w:pPr>
              <w:jc w:val="center"/>
              <w:rPr>
                <w:b/>
                <w:bCs/>
                <w:szCs w:val="21"/>
              </w:rPr>
            </w:pPr>
            <w:r w:rsidRPr="004321FE">
              <w:rPr>
                <w:b/>
                <w:bCs/>
                <w:szCs w:val="21"/>
              </w:rPr>
              <w:t>/</w:t>
            </w:r>
          </w:p>
        </w:tc>
        <w:tc>
          <w:tcPr>
            <w:tcW w:w="539" w:type="dxa"/>
          </w:tcPr>
          <w:p w14:paraId="46203EED" w14:textId="77777777" w:rsidR="00526CF8" w:rsidRPr="004321FE" w:rsidRDefault="00526CF8" w:rsidP="000C20C5">
            <w:pPr>
              <w:jc w:val="center"/>
              <w:rPr>
                <w:b/>
                <w:bCs/>
                <w:szCs w:val="21"/>
              </w:rPr>
            </w:pPr>
            <w:r w:rsidRPr="004321FE">
              <w:rPr>
                <w:b/>
                <w:bCs/>
                <w:szCs w:val="21"/>
              </w:rPr>
              <w:t>√</w:t>
            </w:r>
          </w:p>
        </w:tc>
        <w:tc>
          <w:tcPr>
            <w:tcW w:w="1276" w:type="dxa"/>
          </w:tcPr>
          <w:p w14:paraId="5E1AD433" w14:textId="77777777" w:rsidR="00526CF8" w:rsidRPr="004321FE" w:rsidRDefault="00526CF8" w:rsidP="000C20C5">
            <w:pPr>
              <w:jc w:val="center"/>
              <w:rPr>
                <w:b/>
                <w:bCs/>
                <w:szCs w:val="21"/>
              </w:rPr>
            </w:pPr>
            <w:r w:rsidRPr="004321FE">
              <w:rPr>
                <w:b/>
                <w:bCs/>
                <w:szCs w:val="21"/>
              </w:rPr>
              <w:t>/</w:t>
            </w:r>
          </w:p>
        </w:tc>
        <w:tc>
          <w:tcPr>
            <w:tcW w:w="871" w:type="dxa"/>
          </w:tcPr>
          <w:p w14:paraId="464B9B05" w14:textId="77777777" w:rsidR="00526CF8" w:rsidRPr="004321FE" w:rsidRDefault="00526CF8" w:rsidP="000C20C5">
            <w:pPr>
              <w:jc w:val="center"/>
              <w:rPr>
                <w:szCs w:val="21"/>
              </w:rPr>
            </w:pPr>
            <w:r w:rsidRPr="004321FE">
              <w:rPr>
                <w:szCs w:val="21"/>
              </w:rPr>
              <w:t>0.12−3</w:t>
            </w:r>
          </w:p>
        </w:tc>
        <w:tc>
          <w:tcPr>
            <w:tcW w:w="791" w:type="dxa"/>
          </w:tcPr>
          <w:p w14:paraId="5D86D745" w14:textId="77777777" w:rsidR="00526CF8" w:rsidRPr="004321FE" w:rsidRDefault="00526CF8" w:rsidP="000C20C5">
            <w:pPr>
              <w:jc w:val="center"/>
              <w:rPr>
                <w:szCs w:val="21"/>
              </w:rPr>
            </w:pPr>
            <w:r w:rsidRPr="004321FE">
              <w:rPr>
                <w:b/>
                <w:bCs/>
                <w:szCs w:val="21"/>
              </w:rPr>
              <w:t>/</w:t>
            </w:r>
          </w:p>
        </w:tc>
        <w:tc>
          <w:tcPr>
            <w:tcW w:w="757" w:type="dxa"/>
          </w:tcPr>
          <w:p w14:paraId="18FD64B6" w14:textId="77777777" w:rsidR="00526CF8" w:rsidRPr="004321FE" w:rsidRDefault="00526CF8" w:rsidP="000C20C5">
            <w:pPr>
              <w:jc w:val="center"/>
              <w:rPr>
                <w:szCs w:val="21"/>
              </w:rPr>
            </w:pPr>
            <w:r w:rsidRPr="004321FE">
              <w:rPr>
                <w:szCs w:val="21"/>
              </w:rPr>
              <w:t>0.9</w:t>
            </w:r>
          </w:p>
        </w:tc>
        <w:tc>
          <w:tcPr>
            <w:tcW w:w="1291" w:type="dxa"/>
          </w:tcPr>
          <w:p w14:paraId="4C0D4A25" w14:textId="1FDA2007" w:rsidR="00526CF8" w:rsidRPr="004321FE" w:rsidRDefault="00526CF8" w:rsidP="000C20C5">
            <w:pPr>
              <w:jc w:val="center"/>
              <w:rPr>
                <w:b/>
                <w:bCs/>
                <w:sz w:val="28"/>
                <w:szCs w:val="28"/>
              </w:rPr>
            </w:pPr>
            <w:r w:rsidRPr="004321FE">
              <w:rPr>
                <w:szCs w:val="21"/>
              </w:rPr>
              <w:fldChar w:fldCharType="begin"/>
            </w:r>
            <w:r w:rsidR="00E24D11">
              <w:rPr>
                <w:szCs w:val="21"/>
              </w:rPr>
              <w:instrText xml:space="preserve"> ADDIN EN.CITE &lt;EndNote&gt;&lt;Cite&gt;&lt;Author&gt;Penagos-Llanos&lt;/Author&gt;&lt;Year&gt;2019&lt;/Year&gt;&lt;RecNum&gt;78&lt;/RecNum&gt;&lt;DisplayText&gt;(Penagos-Llanos et al., 2019)&lt;/DisplayText&gt;&lt;record&gt;&lt;rec-number&gt;78&lt;/rec-number&gt;&lt;foreign-keys&gt;&lt;key app="EN" db-id="t2pt52td8zt59qe2w2qxrvpl2perdrs2wf9a" timestamp="1656127600"&gt;78&lt;/key&gt;&lt;/foreign-keys&gt;&lt;ref-type name="Journal Article"&gt;17&lt;/ref-type&gt;&lt;contributors&gt;&lt;authors&gt;&lt;author&gt;Penagos-Llanos, Johisner&lt;/author&gt;&lt;author&gt;Garcia-Beltran, Olimpo&lt;/author&gt;&lt;author&gt;Calderon, Jorge A.&lt;/author&gt;&lt;author&gt;Hurtado-Murillo, John J.&lt;/author&gt;&lt;author&gt;Nagles, Edgar&lt;/author&gt;&lt;author&gt;Hurtado, John J.&lt;/author&gt;&lt;/authors&gt;&lt;/contributors&gt;&lt;titles&gt;&lt;title&gt;Simultaneous determination of tartrazine, sunset yellow and allura red in foods using a new cobalt-decorated carbon paste electrode&lt;/title&gt;&lt;secondary-title&gt;Journal of Electroanalytical Chemistry&lt;/secondary-title&gt;&lt;/titles&gt;&lt;periodical&gt;&lt;full-title&gt;Journal of Electroanalytical Chemistry&lt;/full-title&gt;&lt;/periodical&gt;&lt;volume&gt;852&lt;/volume&gt;&lt;dates&gt;&lt;year&gt;2019&lt;/year&gt;&lt;pub-dates&gt;&lt;date&gt;Nov 1&lt;/date&gt;&lt;/pub-dates&gt;&lt;/dates&gt;&lt;isbn&gt;1572-6657&lt;/isbn&gt;&lt;accession-num&gt;WOS:000500386400007&lt;/accession-num&gt;&lt;urls&gt;&lt;related-urls&gt;&lt;url&gt;&amp;lt;Go to ISI&amp;gt;://WOS:000500386400007&lt;/url&gt;&lt;/related-urls&gt;&lt;/urls&gt;&lt;custom7&gt;113517&lt;/custom7&gt;&lt;electronic-resource-num&gt;10.1016/j.jelechem.2019.113517&lt;/electronic-resource-num&gt;&lt;/record&gt;&lt;/Cite&gt;&lt;/EndNote&gt;</w:instrText>
            </w:r>
            <w:r w:rsidRPr="004321FE">
              <w:rPr>
                <w:szCs w:val="21"/>
              </w:rPr>
              <w:fldChar w:fldCharType="separate"/>
            </w:r>
            <w:r w:rsidR="00E24D11">
              <w:rPr>
                <w:noProof/>
                <w:szCs w:val="21"/>
              </w:rPr>
              <w:t>(Penagos-Llanos et al., 2019)</w:t>
            </w:r>
            <w:r w:rsidRPr="004321FE">
              <w:rPr>
                <w:szCs w:val="21"/>
              </w:rPr>
              <w:fldChar w:fldCharType="end"/>
            </w:r>
          </w:p>
        </w:tc>
      </w:tr>
      <w:tr w:rsidR="00526CF8" w:rsidRPr="004321FE" w14:paraId="792FB5B9" w14:textId="77777777" w:rsidTr="000C20C5">
        <w:trPr>
          <w:trHeight w:val="567"/>
        </w:trPr>
        <w:tc>
          <w:tcPr>
            <w:tcW w:w="1862" w:type="dxa"/>
            <w:tcBorders>
              <w:bottom w:val="single" w:sz="4" w:space="0" w:color="auto"/>
            </w:tcBorders>
          </w:tcPr>
          <w:p w14:paraId="6A50AA3F" w14:textId="77777777" w:rsidR="00526CF8" w:rsidRPr="004321FE" w:rsidRDefault="00526CF8" w:rsidP="000C20C5">
            <w:pPr>
              <w:jc w:val="left"/>
              <w:rPr>
                <w:szCs w:val="21"/>
              </w:rPr>
            </w:pPr>
            <w:r w:rsidRPr="004321FE">
              <w:rPr>
                <w:szCs w:val="21"/>
              </w:rPr>
              <w:t>GC/WS2/DNPs/GCE</w:t>
            </w:r>
          </w:p>
        </w:tc>
        <w:tc>
          <w:tcPr>
            <w:tcW w:w="919" w:type="dxa"/>
            <w:tcBorders>
              <w:bottom w:val="single" w:sz="4" w:space="0" w:color="auto"/>
            </w:tcBorders>
          </w:tcPr>
          <w:p w14:paraId="33A0163E" w14:textId="77777777" w:rsidR="00526CF8" w:rsidRPr="004321FE" w:rsidRDefault="00526CF8" w:rsidP="000C20C5">
            <w:pPr>
              <w:jc w:val="center"/>
              <w:rPr>
                <w:szCs w:val="21"/>
              </w:rPr>
            </w:pPr>
            <w:r w:rsidRPr="004321FE">
              <w:rPr>
                <w:szCs w:val="21"/>
              </w:rPr>
              <w:t>DPV</w:t>
            </w:r>
          </w:p>
        </w:tc>
        <w:tc>
          <w:tcPr>
            <w:tcW w:w="545" w:type="dxa"/>
            <w:tcBorders>
              <w:bottom w:val="single" w:sz="4" w:space="0" w:color="auto"/>
            </w:tcBorders>
          </w:tcPr>
          <w:p w14:paraId="1F821CD2" w14:textId="77777777" w:rsidR="00526CF8" w:rsidRPr="004321FE" w:rsidRDefault="00526CF8" w:rsidP="000C20C5">
            <w:pPr>
              <w:jc w:val="center"/>
              <w:rPr>
                <w:b/>
                <w:bCs/>
                <w:szCs w:val="21"/>
              </w:rPr>
            </w:pPr>
            <w:r w:rsidRPr="004321FE">
              <w:rPr>
                <w:b/>
                <w:bCs/>
                <w:szCs w:val="21"/>
              </w:rPr>
              <w:t>/</w:t>
            </w:r>
          </w:p>
        </w:tc>
        <w:tc>
          <w:tcPr>
            <w:tcW w:w="539" w:type="dxa"/>
            <w:tcBorders>
              <w:bottom w:val="single" w:sz="4" w:space="0" w:color="auto"/>
            </w:tcBorders>
          </w:tcPr>
          <w:p w14:paraId="5D986507" w14:textId="77777777" w:rsidR="00526CF8" w:rsidRPr="004321FE" w:rsidRDefault="00526CF8" w:rsidP="000C20C5">
            <w:pPr>
              <w:jc w:val="center"/>
              <w:rPr>
                <w:b/>
                <w:bCs/>
                <w:szCs w:val="21"/>
              </w:rPr>
            </w:pPr>
            <w:r w:rsidRPr="004321FE">
              <w:rPr>
                <w:b/>
                <w:bCs/>
                <w:szCs w:val="21"/>
              </w:rPr>
              <w:t>√</w:t>
            </w:r>
          </w:p>
        </w:tc>
        <w:tc>
          <w:tcPr>
            <w:tcW w:w="1276" w:type="dxa"/>
            <w:tcBorders>
              <w:bottom w:val="single" w:sz="4" w:space="0" w:color="auto"/>
            </w:tcBorders>
          </w:tcPr>
          <w:p w14:paraId="3A6894FC" w14:textId="77777777" w:rsidR="00526CF8" w:rsidRPr="004321FE" w:rsidRDefault="00526CF8" w:rsidP="000C20C5">
            <w:pPr>
              <w:jc w:val="center"/>
              <w:rPr>
                <w:b/>
                <w:bCs/>
                <w:szCs w:val="21"/>
              </w:rPr>
            </w:pPr>
            <w:r w:rsidRPr="004321FE">
              <w:rPr>
                <w:b/>
                <w:bCs/>
                <w:szCs w:val="21"/>
              </w:rPr>
              <w:t>/</w:t>
            </w:r>
          </w:p>
        </w:tc>
        <w:tc>
          <w:tcPr>
            <w:tcW w:w="871" w:type="dxa"/>
            <w:tcBorders>
              <w:bottom w:val="single" w:sz="4" w:space="0" w:color="auto"/>
            </w:tcBorders>
          </w:tcPr>
          <w:p w14:paraId="59286069" w14:textId="77777777" w:rsidR="00526CF8" w:rsidRPr="004321FE" w:rsidRDefault="00526CF8" w:rsidP="000C20C5">
            <w:pPr>
              <w:jc w:val="center"/>
              <w:rPr>
                <w:szCs w:val="21"/>
              </w:rPr>
            </w:pPr>
            <w:r w:rsidRPr="004321FE">
              <w:rPr>
                <w:szCs w:val="21"/>
              </w:rPr>
              <w:t>0.3−3.0</w:t>
            </w:r>
          </w:p>
        </w:tc>
        <w:tc>
          <w:tcPr>
            <w:tcW w:w="791" w:type="dxa"/>
            <w:tcBorders>
              <w:bottom w:val="single" w:sz="4" w:space="0" w:color="auto"/>
            </w:tcBorders>
          </w:tcPr>
          <w:p w14:paraId="7D078651" w14:textId="77777777" w:rsidR="00526CF8" w:rsidRPr="004321FE" w:rsidRDefault="00526CF8" w:rsidP="000C20C5">
            <w:pPr>
              <w:jc w:val="center"/>
              <w:rPr>
                <w:szCs w:val="21"/>
              </w:rPr>
            </w:pPr>
            <w:r w:rsidRPr="004321FE">
              <w:rPr>
                <w:b/>
                <w:bCs/>
                <w:szCs w:val="21"/>
              </w:rPr>
              <w:t>/</w:t>
            </w:r>
          </w:p>
        </w:tc>
        <w:tc>
          <w:tcPr>
            <w:tcW w:w="757" w:type="dxa"/>
            <w:tcBorders>
              <w:bottom w:val="single" w:sz="4" w:space="0" w:color="auto"/>
            </w:tcBorders>
          </w:tcPr>
          <w:p w14:paraId="24B8BA07" w14:textId="77777777" w:rsidR="00526CF8" w:rsidRPr="004321FE" w:rsidRDefault="00526CF8" w:rsidP="000C20C5">
            <w:pPr>
              <w:jc w:val="center"/>
              <w:rPr>
                <w:szCs w:val="21"/>
              </w:rPr>
            </w:pPr>
            <w:r w:rsidRPr="004321FE">
              <w:rPr>
                <w:szCs w:val="21"/>
              </w:rPr>
              <w:t>0.86</w:t>
            </w:r>
          </w:p>
        </w:tc>
        <w:tc>
          <w:tcPr>
            <w:tcW w:w="1291" w:type="dxa"/>
            <w:tcBorders>
              <w:bottom w:val="single" w:sz="4" w:space="0" w:color="auto"/>
            </w:tcBorders>
          </w:tcPr>
          <w:p w14:paraId="5DC567E5" w14:textId="157731E4" w:rsidR="00526CF8" w:rsidRPr="004321FE" w:rsidRDefault="00526CF8" w:rsidP="000C20C5">
            <w:pPr>
              <w:jc w:val="center"/>
              <w:rPr>
                <w:b/>
                <w:bCs/>
                <w:sz w:val="28"/>
                <w:szCs w:val="28"/>
              </w:rPr>
            </w:pPr>
            <w:r w:rsidRPr="004321FE">
              <w:rPr>
                <w:szCs w:val="21"/>
              </w:rPr>
              <w:fldChar w:fldCharType="begin"/>
            </w:r>
            <w:r w:rsidR="00E24D11">
              <w:rPr>
                <w:szCs w:val="21"/>
              </w:rPr>
              <w:instrText xml:space="preserve"> ADDIN EN.CITE &lt;EndNote&gt;&lt;Cite&gt;&lt;Author&gt;Blanco&lt;/Author&gt;&lt;Year&gt;2020&lt;/Year&gt;&lt;RecNum&gt;14&lt;/RecNum&gt;&lt;DisplayText&gt;(Blanco et al., 2020)&lt;/DisplayText&gt;&lt;record&gt;&lt;rec-number&gt;14&lt;/rec-number&gt;&lt;foreign-keys&gt;&lt;key app="EN" db-id="t2pt52td8zt59qe2w2qxrvpl2perdrs2wf9a" timestamp="1650509438"&gt;14&lt;/key&gt;&lt;/foreign-keys&gt;&lt;ref-type name="Journal Article"&gt;17&lt;/ref-type&gt;&lt;contributors&gt;&lt;authors&gt;&lt;author&gt;Blanco, Elias&lt;/author&gt;&lt;author&gt;Hristova, Lina&lt;/author&gt;&lt;author&gt;Martinez-Moro, Rut&lt;/author&gt;&lt;author&gt;Vazquez, Luis&lt;/author&gt;&lt;author&gt;Ellis, Gary J.&lt;/author&gt;&lt;author&gt;Sanchez, Lorenzo&lt;/author&gt;&lt;author&gt;del Pozo, Maria&lt;/author&gt;&lt;author&gt;Petit-Dominguez, Maria Dolores&lt;/author&gt;&lt;author&gt;Casero, Elena&lt;/author&gt;&lt;author&gt;Quintana, Carmen&lt;/author&gt;&lt;/authors&gt;&lt;/contributors&gt;&lt;titles&gt;&lt;title&gt;A 2D tungsten disulphide/diamond nanoparticles hybrid for an electrochemical sensor development towards the simultaneous determination of sunset yellow and quinoline yellow&lt;/title&gt;&lt;secondary-title&gt;Sensors and Actuators B-Chemical&lt;/secondary-title&gt;&lt;/titles&gt;&lt;periodical&gt;&lt;full-title&gt;Sensors and Actuators B-Chemical&lt;/full-title&gt;&lt;/periodical&gt;&lt;volume&gt;324&lt;/volume&gt;&lt;dates&gt;&lt;year&gt;2020&lt;/year&gt;&lt;pub-dates&gt;&lt;date&gt;Dec 1&lt;/date&gt;&lt;/pub-dates&gt;&lt;/dates&gt;&lt;accession-num&gt;WOS:000581622600031&lt;/accession-num&gt;&lt;urls&gt;&lt;related-urls&gt;&lt;url&gt;&amp;lt;Go to ISI&amp;gt;://WOS:000581622600031&lt;/url&gt;&lt;/related-urls&gt;&lt;/urls&gt;&lt;custom7&gt;128731&lt;/custom7&gt;&lt;electronic-resource-num&gt;10.1016/j.snb.2020.128731&lt;/electronic-resource-num&gt;&lt;/record&gt;&lt;/Cite&gt;&lt;/EndNote&gt;</w:instrText>
            </w:r>
            <w:r w:rsidRPr="004321FE">
              <w:rPr>
                <w:szCs w:val="21"/>
              </w:rPr>
              <w:fldChar w:fldCharType="separate"/>
            </w:r>
            <w:r w:rsidR="00E24D11">
              <w:rPr>
                <w:noProof/>
                <w:szCs w:val="21"/>
              </w:rPr>
              <w:t>(Blanco et al., 2020)</w:t>
            </w:r>
            <w:r w:rsidRPr="004321FE">
              <w:rPr>
                <w:szCs w:val="21"/>
              </w:rPr>
              <w:fldChar w:fldCharType="end"/>
            </w:r>
          </w:p>
        </w:tc>
      </w:tr>
      <w:tr w:rsidR="00526CF8" w:rsidRPr="004321FE" w14:paraId="276FF8FC" w14:textId="77777777" w:rsidTr="000C20C5">
        <w:trPr>
          <w:trHeight w:val="664"/>
        </w:trPr>
        <w:tc>
          <w:tcPr>
            <w:tcW w:w="1862" w:type="dxa"/>
            <w:tcBorders>
              <w:top w:val="single" w:sz="4" w:space="0" w:color="auto"/>
            </w:tcBorders>
          </w:tcPr>
          <w:p w14:paraId="365B6BE0" w14:textId="77777777" w:rsidR="00526CF8" w:rsidRPr="004321FE" w:rsidRDefault="00526CF8" w:rsidP="000C20C5">
            <w:pPr>
              <w:jc w:val="left"/>
              <w:rPr>
                <w:szCs w:val="21"/>
              </w:rPr>
            </w:pPr>
            <w:r w:rsidRPr="004321FE">
              <w:rPr>
                <w:szCs w:val="21"/>
              </w:rPr>
              <w:t>Au/PEDOT/</w:t>
            </w:r>
          </w:p>
          <w:p w14:paraId="6C4638FA" w14:textId="77777777" w:rsidR="00526CF8" w:rsidRPr="004321FE" w:rsidRDefault="00526CF8" w:rsidP="000C20C5">
            <w:pPr>
              <w:rPr>
                <w:szCs w:val="21"/>
              </w:rPr>
            </w:pPr>
            <w:r w:rsidRPr="004321FE">
              <w:rPr>
                <w:szCs w:val="21"/>
              </w:rPr>
              <w:t>ZIF-8/GCE</w:t>
            </w:r>
          </w:p>
        </w:tc>
        <w:tc>
          <w:tcPr>
            <w:tcW w:w="919" w:type="dxa"/>
            <w:tcBorders>
              <w:top w:val="single" w:sz="4" w:space="0" w:color="auto"/>
            </w:tcBorders>
          </w:tcPr>
          <w:p w14:paraId="5D04CF65" w14:textId="77777777" w:rsidR="00526CF8" w:rsidRPr="004321FE" w:rsidRDefault="00526CF8" w:rsidP="000C20C5">
            <w:pPr>
              <w:jc w:val="center"/>
              <w:rPr>
                <w:szCs w:val="21"/>
              </w:rPr>
            </w:pPr>
            <w:r w:rsidRPr="004321FE">
              <w:rPr>
                <w:szCs w:val="21"/>
              </w:rPr>
              <w:t>DPV</w:t>
            </w:r>
          </w:p>
        </w:tc>
        <w:tc>
          <w:tcPr>
            <w:tcW w:w="545" w:type="dxa"/>
            <w:tcBorders>
              <w:top w:val="single" w:sz="4" w:space="0" w:color="auto"/>
            </w:tcBorders>
          </w:tcPr>
          <w:p w14:paraId="1C954A35" w14:textId="77777777" w:rsidR="00526CF8" w:rsidRPr="004321FE" w:rsidRDefault="00526CF8" w:rsidP="000C20C5">
            <w:pPr>
              <w:jc w:val="center"/>
              <w:rPr>
                <w:b/>
                <w:bCs/>
                <w:szCs w:val="21"/>
              </w:rPr>
            </w:pPr>
            <w:r w:rsidRPr="004321FE">
              <w:rPr>
                <w:b/>
                <w:bCs/>
                <w:szCs w:val="21"/>
              </w:rPr>
              <w:t>√</w:t>
            </w:r>
          </w:p>
        </w:tc>
        <w:tc>
          <w:tcPr>
            <w:tcW w:w="539" w:type="dxa"/>
            <w:tcBorders>
              <w:top w:val="single" w:sz="4" w:space="0" w:color="auto"/>
            </w:tcBorders>
          </w:tcPr>
          <w:p w14:paraId="264C980A" w14:textId="77777777" w:rsidR="00526CF8" w:rsidRPr="004321FE" w:rsidRDefault="00526CF8" w:rsidP="000C20C5">
            <w:pPr>
              <w:jc w:val="center"/>
              <w:rPr>
                <w:b/>
                <w:bCs/>
                <w:szCs w:val="21"/>
              </w:rPr>
            </w:pPr>
            <w:r w:rsidRPr="004321FE">
              <w:rPr>
                <w:b/>
                <w:bCs/>
                <w:szCs w:val="21"/>
              </w:rPr>
              <w:t>√</w:t>
            </w:r>
          </w:p>
        </w:tc>
        <w:tc>
          <w:tcPr>
            <w:tcW w:w="1276" w:type="dxa"/>
            <w:tcBorders>
              <w:top w:val="single" w:sz="4" w:space="0" w:color="auto"/>
            </w:tcBorders>
          </w:tcPr>
          <w:p w14:paraId="637187BB" w14:textId="77777777" w:rsidR="00526CF8" w:rsidRPr="004321FE" w:rsidRDefault="00526CF8" w:rsidP="000C20C5">
            <w:pPr>
              <w:jc w:val="center"/>
              <w:rPr>
                <w:szCs w:val="21"/>
              </w:rPr>
            </w:pPr>
            <w:r w:rsidRPr="004321FE">
              <w:rPr>
                <w:szCs w:val="21"/>
              </w:rPr>
              <w:t>0.3-1.0</w:t>
            </w:r>
          </w:p>
          <w:p w14:paraId="1570F172" w14:textId="77777777" w:rsidR="00526CF8" w:rsidRPr="004321FE" w:rsidRDefault="00526CF8" w:rsidP="000C20C5">
            <w:pPr>
              <w:jc w:val="center"/>
              <w:rPr>
                <w:szCs w:val="21"/>
              </w:rPr>
            </w:pPr>
            <w:r w:rsidRPr="004321FE">
              <w:rPr>
                <w:szCs w:val="21"/>
              </w:rPr>
              <w:t>1.0-50.0</w:t>
            </w:r>
          </w:p>
        </w:tc>
        <w:tc>
          <w:tcPr>
            <w:tcW w:w="871" w:type="dxa"/>
            <w:tcBorders>
              <w:top w:val="single" w:sz="4" w:space="0" w:color="auto"/>
            </w:tcBorders>
          </w:tcPr>
          <w:p w14:paraId="28EB5418" w14:textId="77777777" w:rsidR="00526CF8" w:rsidRPr="004321FE" w:rsidRDefault="00526CF8" w:rsidP="000C20C5">
            <w:pPr>
              <w:jc w:val="center"/>
              <w:rPr>
                <w:szCs w:val="21"/>
              </w:rPr>
            </w:pPr>
            <w:r w:rsidRPr="004321FE">
              <w:rPr>
                <w:szCs w:val="21"/>
              </w:rPr>
              <w:t>3.0-25.0</w:t>
            </w:r>
          </w:p>
        </w:tc>
        <w:tc>
          <w:tcPr>
            <w:tcW w:w="791" w:type="dxa"/>
            <w:tcBorders>
              <w:top w:val="single" w:sz="4" w:space="0" w:color="auto"/>
            </w:tcBorders>
          </w:tcPr>
          <w:p w14:paraId="6705E09A" w14:textId="77777777" w:rsidR="00526CF8" w:rsidRPr="004321FE" w:rsidRDefault="00526CF8" w:rsidP="000C20C5">
            <w:pPr>
              <w:jc w:val="center"/>
              <w:rPr>
                <w:szCs w:val="21"/>
              </w:rPr>
            </w:pPr>
            <w:r w:rsidRPr="004321FE">
              <w:rPr>
                <w:szCs w:val="21"/>
              </w:rPr>
              <w:t>0.1</w:t>
            </w:r>
          </w:p>
        </w:tc>
        <w:tc>
          <w:tcPr>
            <w:tcW w:w="757" w:type="dxa"/>
            <w:tcBorders>
              <w:top w:val="single" w:sz="4" w:space="0" w:color="auto"/>
            </w:tcBorders>
          </w:tcPr>
          <w:p w14:paraId="67866383" w14:textId="77777777" w:rsidR="00526CF8" w:rsidRPr="004321FE" w:rsidRDefault="00526CF8" w:rsidP="000C20C5">
            <w:pPr>
              <w:jc w:val="center"/>
              <w:rPr>
                <w:szCs w:val="21"/>
              </w:rPr>
            </w:pPr>
            <w:r w:rsidRPr="004321FE">
              <w:rPr>
                <w:szCs w:val="21"/>
              </w:rPr>
              <w:t>1</w:t>
            </w:r>
          </w:p>
        </w:tc>
        <w:tc>
          <w:tcPr>
            <w:tcW w:w="1291" w:type="dxa"/>
            <w:tcBorders>
              <w:top w:val="single" w:sz="4" w:space="0" w:color="auto"/>
            </w:tcBorders>
          </w:tcPr>
          <w:p w14:paraId="29A48430" w14:textId="77777777" w:rsidR="00526CF8" w:rsidRPr="004321FE" w:rsidRDefault="00526CF8" w:rsidP="000C20C5">
            <w:pPr>
              <w:jc w:val="center"/>
              <w:rPr>
                <w:b/>
                <w:bCs/>
                <w:sz w:val="28"/>
                <w:szCs w:val="28"/>
              </w:rPr>
            </w:pPr>
            <w:r w:rsidRPr="004321FE">
              <w:rPr>
                <w:szCs w:val="21"/>
              </w:rPr>
              <w:t>This work</w:t>
            </w:r>
          </w:p>
        </w:tc>
      </w:tr>
    </w:tbl>
    <w:p w14:paraId="0DAFA355" w14:textId="77777777" w:rsidR="00386EB8" w:rsidRDefault="00386EB8">
      <w:pPr>
        <w:spacing w:line="360" w:lineRule="auto"/>
        <w:rPr>
          <w:b/>
          <w:bCs/>
          <w:sz w:val="28"/>
          <w:szCs w:val="28"/>
        </w:rPr>
      </w:pPr>
    </w:p>
    <w:p w14:paraId="2619A7CE" w14:textId="77777777" w:rsidR="00386EB8" w:rsidRDefault="00386EB8">
      <w:pPr>
        <w:spacing w:line="360" w:lineRule="auto"/>
        <w:rPr>
          <w:b/>
          <w:bCs/>
          <w:sz w:val="28"/>
          <w:szCs w:val="28"/>
        </w:rPr>
      </w:pPr>
    </w:p>
    <w:p w14:paraId="41475EF4" w14:textId="77777777" w:rsidR="00386EB8" w:rsidRDefault="00000000">
      <w:pPr>
        <w:spacing w:line="360" w:lineRule="auto"/>
        <w:rPr>
          <w:b/>
          <w:bCs/>
          <w:sz w:val="28"/>
          <w:szCs w:val="28"/>
        </w:rPr>
      </w:pPr>
      <w:r>
        <w:rPr>
          <w:b/>
          <w:bCs/>
          <w:sz w:val="28"/>
          <w:szCs w:val="28"/>
        </w:rPr>
        <w:t>References</w:t>
      </w:r>
    </w:p>
    <w:p w14:paraId="7A78CCF0" w14:textId="72CA3591" w:rsidR="00E24D11" w:rsidRPr="00E24D11" w:rsidRDefault="00000000" w:rsidP="00E24D11">
      <w:pPr>
        <w:pStyle w:val="EndNoteBibliography"/>
        <w:ind w:left="720" w:hanging="720"/>
        <w:rPr>
          <w:noProof/>
        </w:rPr>
      </w:pPr>
      <w:r>
        <w:rPr>
          <w:sz w:val="21"/>
          <w:szCs w:val="21"/>
        </w:rPr>
        <w:fldChar w:fldCharType="begin"/>
      </w:r>
      <w:r>
        <w:rPr>
          <w:sz w:val="21"/>
          <w:szCs w:val="21"/>
        </w:rPr>
        <w:instrText xml:space="preserve"> ADDIN EN.REFLIST </w:instrText>
      </w:r>
      <w:r>
        <w:rPr>
          <w:sz w:val="21"/>
          <w:szCs w:val="21"/>
        </w:rPr>
        <w:fldChar w:fldCharType="separate"/>
      </w:r>
      <w:r w:rsidR="00E24D11" w:rsidRPr="00E24D11">
        <w:rPr>
          <w:noProof/>
        </w:rPr>
        <w:t xml:space="preserve">Aikens, D. A. (1983). Electrochemical methods, fundamentals and applications. </w:t>
      </w:r>
      <w:r w:rsidR="00E24D11" w:rsidRPr="00E24D11">
        <w:rPr>
          <w:i/>
          <w:noProof/>
        </w:rPr>
        <w:t>Journal of Chemical Education</w:t>
      </w:r>
      <w:r w:rsidR="00E24D11" w:rsidRPr="00E24D11">
        <w:rPr>
          <w:noProof/>
        </w:rPr>
        <w:t>,</w:t>
      </w:r>
      <w:r w:rsidR="00E24D11" w:rsidRPr="00E24D11">
        <w:rPr>
          <w:i/>
          <w:noProof/>
        </w:rPr>
        <w:t xml:space="preserve"> 60</w:t>
      </w:r>
      <w:r w:rsidR="00E24D11" w:rsidRPr="00E24D11">
        <w:rPr>
          <w:noProof/>
        </w:rPr>
        <w:t xml:space="preserve">(1), A25. </w:t>
      </w:r>
      <w:hyperlink r:id="rId34" w:history="1">
        <w:r w:rsidR="00E24D11" w:rsidRPr="00E24D11">
          <w:rPr>
            <w:rStyle w:val="aa"/>
            <w:noProof/>
          </w:rPr>
          <w:t>https://doi.org/10.1021/ed060pA25.1</w:t>
        </w:r>
      </w:hyperlink>
      <w:r w:rsidR="00E24D11" w:rsidRPr="00E24D11">
        <w:rPr>
          <w:noProof/>
        </w:rPr>
        <w:t xml:space="preserve"> </w:t>
      </w:r>
    </w:p>
    <w:p w14:paraId="4885BD38" w14:textId="77777777" w:rsidR="00E24D11" w:rsidRPr="00E24D11" w:rsidRDefault="00E24D11" w:rsidP="00E24D11">
      <w:pPr>
        <w:pStyle w:val="EndNoteBibliography"/>
        <w:ind w:left="720" w:hanging="720"/>
        <w:rPr>
          <w:noProof/>
        </w:rPr>
      </w:pPr>
      <w:r w:rsidRPr="00E24D11">
        <w:rPr>
          <w:noProof/>
        </w:rPr>
        <w:t xml:space="preserve">Bard, A. J. F. L. R. (1980). </w:t>
      </w:r>
      <w:r w:rsidRPr="00E24D11">
        <w:rPr>
          <w:i/>
          <w:noProof/>
        </w:rPr>
        <w:t>Electrochemical methods : fundamentals and applications</w:t>
      </w:r>
      <w:r w:rsidRPr="00E24D11">
        <w:rPr>
          <w:noProof/>
        </w:rPr>
        <w:t xml:space="preserve">. Wiley. </w:t>
      </w:r>
    </w:p>
    <w:p w14:paraId="2CA710AE" w14:textId="11B34DB4" w:rsidR="00E24D11" w:rsidRPr="00E24D11" w:rsidRDefault="00E24D11" w:rsidP="00E24D11">
      <w:pPr>
        <w:pStyle w:val="EndNoteBibliography"/>
        <w:ind w:left="720" w:hanging="720"/>
        <w:rPr>
          <w:noProof/>
        </w:rPr>
      </w:pPr>
      <w:r w:rsidRPr="00E24D11">
        <w:rPr>
          <w:noProof/>
        </w:rPr>
        <w:t xml:space="preserve">Blanco, E., Hristova, L., Martinez-Moro, R., Vazquez, L., Ellis, G. J., Sanchez, L., del Pozo, M., Petit-Dominguez, M. D., Casero, E., &amp; Quintana, C. (2020). A 2D tungsten disulphide/diamond nanoparticles hybrid for an electrochemical sensor development towards the simultaneous determination of sunset yellow and quinoline yellow. </w:t>
      </w:r>
      <w:r w:rsidRPr="00E24D11">
        <w:rPr>
          <w:i/>
          <w:noProof/>
        </w:rPr>
        <w:t>Sensors and Actuators B-Chemical</w:t>
      </w:r>
      <w:r w:rsidRPr="00E24D11">
        <w:rPr>
          <w:noProof/>
        </w:rPr>
        <w:t>,</w:t>
      </w:r>
      <w:r w:rsidRPr="00E24D11">
        <w:rPr>
          <w:i/>
          <w:noProof/>
        </w:rPr>
        <w:t xml:space="preserve"> 324</w:t>
      </w:r>
      <w:r w:rsidRPr="00E24D11">
        <w:rPr>
          <w:noProof/>
        </w:rPr>
        <w:t xml:space="preserve">, Article 128731. </w:t>
      </w:r>
      <w:hyperlink r:id="rId35" w:history="1">
        <w:r w:rsidRPr="00E24D11">
          <w:rPr>
            <w:rStyle w:val="aa"/>
            <w:noProof/>
          </w:rPr>
          <w:t>https://doi.org/10.1016/j.snb.2020.128731</w:t>
        </w:r>
      </w:hyperlink>
      <w:r w:rsidRPr="00E24D11">
        <w:rPr>
          <w:noProof/>
        </w:rPr>
        <w:t xml:space="preserve"> </w:t>
      </w:r>
    </w:p>
    <w:p w14:paraId="27972B31" w14:textId="103F5C1B" w:rsidR="00E24D11" w:rsidRPr="00E24D11" w:rsidRDefault="00E24D11" w:rsidP="00E24D11">
      <w:pPr>
        <w:pStyle w:val="EndNoteBibliography"/>
        <w:ind w:left="720" w:hanging="720"/>
        <w:rPr>
          <w:noProof/>
        </w:rPr>
      </w:pPr>
      <w:r w:rsidRPr="00E24D11">
        <w:rPr>
          <w:noProof/>
        </w:rPr>
        <w:lastRenderedPageBreak/>
        <w:t xml:space="preserve">Gligor, D. M., &amp; Ungureşan, M. L. (2010). Numerical modelling and simulation of Laviron treatment for poly-phenothiazine derivative-modified glassy carbon electrodes. </w:t>
      </w:r>
      <w:r w:rsidRPr="00E24D11">
        <w:rPr>
          <w:i/>
          <w:noProof/>
        </w:rPr>
        <w:t>Journal of Mathematical Chemistry</w:t>
      </w:r>
      <w:r w:rsidRPr="00E24D11">
        <w:rPr>
          <w:noProof/>
        </w:rPr>
        <w:t>,</w:t>
      </w:r>
      <w:r w:rsidRPr="00E24D11">
        <w:rPr>
          <w:i/>
          <w:noProof/>
        </w:rPr>
        <w:t xml:space="preserve"> 47</w:t>
      </w:r>
      <w:r w:rsidRPr="00E24D11">
        <w:rPr>
          <w:noProof/>
        </w:rPr>
        <w:t xml:space="preserve">(4), 1476-1482. </w:t>
      </w:r>
      <w:hyperlink r:id="rId36" w:history="1">
        <w:r w:rsidRPr="00E24D11">
          <w:rPr>
            <w:rStyle w:val="aa"/>
            <w:noProof/>
          </w:rPr>
          <w:t>https://doi.org/10.1007/s10910-009-9629-y</w:t>
        </w:r>
      </w:hyperlink>
      <w:r w:rsidRPr="00E24D11">
        <w:rPr>
          <w:noProof/>
        </w:rPr>
        <w:t xml:space="preserve"> </w:t>
      </w:r>
    </w:p>
    <w:p w14:paraId="233B4349" w14:textId="518EB551" w:rsidR="00E24D11" w:rsidRPr="00E24D11" w:rsidRDefault="00E24D11" w:rsidP="00E24D11">
      <w:pPr>
        <w:pStyle w:val="EndNoteBibliography"/>
        <w:ind w:left="720" w:hanging="720"/>
        <w:rPr>
          <w:noProof/>
        </w:rPr>
      </w:pPr>
      <w:r w:rsidRPr="00E24D11">
        <w:rPr>
          <w:noProof/>
        </w:rPr>
        <w:t xml:space="preserve">Laviron, E. (1979). General expression of the linear potential sweep voltammogram in the case of diffusionless electrochemical systems. </w:t>
      </w:r>
      <w:r w:rsidRPr="00E24D11">
        <w:rPr>
          <w:i/>
          <w:noProof/>
        </w:rPr>
        <w:t>Journal of Electroanalytical Chemistry and Interfacial Electrochemistry</w:t>
      </w:r>
      <w:r w:rsidRPr="00E24D11">
        <w:rPr>
          <w:noProof/>
        </w:rPr>
        <w:t>,</w:t>
      </w:r>
      <w:r w:rsidRPr="00E24D11">
        <w:rPr>
          <w:i/>
          <w:noProof/>
        </w:rPr>
        <w:t xml:space="preserve"> 101</w:t>
      </w:r>
      <w:r w:rsidRPr="00E24D11">
        <w:rPr>
          <w:noProof/>
        </w:rPr>
        <w:t xml:space="preserve">(1), 19-28. </w:t>
      </w:r>
      <w:hyperlink r:id="rId37" w:history="1">
        <w:r w:rsidRPr="00E24D11">
          <w:rPr>
            <w:rStyle w:val="aa"/>
            <w:noProof/>
          </w:rPr>
          <w:t>https://doi.org/https://doi.org/10.1016/S0022-0728(79)80075-3</w:t>
        </w:r>
      </w:hyperlink>
      <w:r w:rsidRPr="00E24D11">
        <w:rPr>
          <w:noProof/>
        </w:rPr>
        <w:t xml:space="preserve"> </w:t>
      </w:r>
    </w:p>
    <w:p w14:paraId="394A3E49" w14:textId="3BAB55FC" w:rsidR="00E24D11" w:rsidRPr="00E24D11" w:rsidRDefault="00E24D11" w:rsidP="00E24D11">
      <w:pPr>
        <w:pStyle w:val="EndNoteBibliography"/>
        <w:ind w:left="720" w:hanging="720"/>
        <w:rPr>
          <w:noProof/>
        </w:rPr>
      </w:pPr>
      <w:r w:rsidRPr="00E24D11">
        <w:rPr>
          <w:noProof/>
        </w:rPr>
        <w:t xml:space="preserve">Medeiros, R. A., Lourencao, B. C., Rocha-Filho, R. C., &amp; Fatibello-Filho, O. (2012). Flow injection simultaneous determination of synthetic colorants in food using multiple pulse amperometric detection with a boron-doped diamond electrode. </w:t>
      </w:r>
      <w:r w:rsidRPr="00E24D11">
        <w:rPr>
          <w:i/>
          <w:noProof/>
        </w:rPr>
        <w:t>Talanta</w:t>
      </w:r>
      <w:r w:rsidRPr="00E24D11">
        <w:rPr>
          <w:noProof/>
        </w:rPr>
        <w:t>,</w:t>
      </w:r>
      <w:r w:rsidRPr="00E24D11">
        <w:rPr>
          <w:i/>
          <w:noProof/>
        </w:rPr>
        <w:t xml:space="preserve"> 99</w:t>
      </w:r>
      <w:r w:rsidRPr="00E24D11">
        <w:rPr>
          <w:noProof/>
        </w:rPr>
        <w:t xml:space="preserve">, 883-889. </w:t>
      </w:r>
      <w:hyperlink r:id="rId38" w:history="1">
        <w:r w:rsidRPr="00E24D11">
          <w:rPr>
            <w:rStyle w:val="aa"/>
            <w:noProof/>
          </w:rPr>
          <w:t>https://doi.org/10.1016/j.talanta.2012.07.051</w:t>
        </w:r>
      </w:hyperlink>
      <w:r w:rsidRPr="00E24D11">
        <w:rPr>
          <w:noProof/>
        </w:rPr>
        <w:t xml:space="preserve"> </w:t>
      </w:r>
    </w:p>
    <w:p w14:paraId="23578C94" w14:textId="7303EC53" w:rsidR="00E24D11" w:rsidRPr="00E24D11" w:rsidRDefault="00E24D11" w:rsidP="00E24D11">
      <w:pPr>
        <w:pStyle w:val="EndNoteBibliography"/>
        <w:ind w:left="720" w:hanging="720"/>
        <w:rPr>
          <w:noProof/>
        </w:rPr>
      </w:pPr>
      <w:r w:rsidRPr="00E24D11">
        <w:rPr>
          <w:noProof/>
        </w:rPr>
        <w:t xml:space="preserve">Moccelini, S. K., Fernandes, S. C., de Camargo, T. P., Neves, A., &amp; Vieira, I. C. (2009). Self-assembled monolayer of nickel(II) complex and thiol on gold electrode for the determination of catechin. </w:t>
      </w:r>
      <w:r w:rsidRPr="00E24D11">
        <w:rPr>
          <w:i/>
          <w:noProof/>
        </w:rPr>
        <w:t>Talanta</w:t>
      </w:r>
      <w:r w:rsidRPr="00E24D11">
        <w:rPr>
          <w:noProof/>
        </w:rPr>
        <w:t>,</w:t>
      </w:r>
      <w:r w:rsidRPr="00E24D11">
        <w:rPr>
          <w:i/>
          <w:noProof/>
        </w:rPr>
        <w:t xml:space="preserve"> 78</w:t>
      </w:r>
      <w:r w:rsidRPr="00E24D11">
        <w:rPr>
          <w:noProof/>
        </w:rPr>
        <w:t xml:space="preserve">(3), 1063-1068. </w:t>
      </w:r>
      <w:hyperlink r:id="rId39" w:history="1">
        <w:r w:rsidRPr="00E24D11">
          <w:rPr>
            <w:rStyle w:val="aa"/>
            <w:noProof/>
          </w:rPr>
          <w:t>https://doi.org/10.1016/j.talanta.2009.01.038</w:t>
        </w:r>
      </w:hyperlink>
      <w:r w:rsidRPr="00E24D11">
        <w:rPr>
          <w:noProof/>
        </w:rPr>
        <w:t xml:space="preserve"> </w:t>
      </w:r>
    </w:p>
    <w:p w14:paraId="7B5D5864" w14:textId="1C072F16" w:rsidR="00E24D11" w:rsidRPr="00E24D11" w:rsidRDefault="00E24D11" w:rsidP="00E24D11">
      <w:pPr>
        <w:pStyle w:val="EndNoteBibliography"/>
        <w:ind w:left="720" w:hanging="720"/>
        <w:rPr>
          <w:noProof/>
        </w:rPr>
      </w:pPr>
      <w:r w:rsidRPr="00E24D11">
        <w:rPr>
          <w:noProof/>
        </w:rPr>
        <w:t xml:space="preserve">Pang, J., Wu, X., Li, A., Liu, X., &amp; Li, M. (2017). Detection of catechin in Chinese green teas at N-doped carbon-modified electrode. </w:t>
      </w:r>
      <w:r w:rsidRPr="00E24D11">
        <w:rPr>
          <w:i/>
          <w:noProof/>
        </w:rPr>
        <w:t>Ionics</w:t>
      </w:r>
      <w:r w:rsidRPr="00E24D11">
        <w:rPr>
          <w:noProof/>
        </w:rPr>
        <w:t>,</w:t>
      </w:r>
      <w:r w:rsidRPr="00E24D11">
        <w:rPr>
          <w:i/>
          <w:noProof/>
        </w:rPr>
        <w:t xml:space="preserve"> 23</w:t>
      </w:r>
      <w:r w:rsidRPr="00E24D11">
        <w:rPr>
          <w:noProof/>
        </w:rPr>
        <w:t xml:space="preserve">(7), 1889-1895. </w:t>
      </w:r>
      <w:hyperlink r:id="rId40" w:history="1">
        <w:r w:rsidRPr="00E24D11">
          <w:rPr>
            <w:rStyle w:val="aa"/>
            <w:noProof/>
          </w:rPr>
          <w:t>https://doi.org/10.1007/s11581-017-2006-0</w:t>
        </w:r>
      </w:hyperlink>
      <w:r w:rsidRPr="00E24D11">
        <w:rPr>
          <w:noProof/>
        </w:rPr>
        <w:t xml:space="preserve"> </w:t>
      </w:r>
    </w:p>
    <w:p w14:paraId="329F493C" w14:textId="55D2BD52" w:rsidR="00E24D11" w:rsidRPr="00E24D11" w:rsidRDefault="00E24D11" w:rsidP="00E24D11">
      <w:pPr>
        <w:pStyle w:val="EndNoteBibliography"/>
        <w:ind w:left="720" w:hanging="720"/>
        <w:rPr>
          <w:noProof/>
        </w:rPr>
      </w:pPr>
      <w:r w:rsidRPr="00E24D11">
        <w:rPr>
          <w:noProof/>
        </w:rPr>
        <w:t xml:space="preserve">Penagos-Llanos, J., Garcia-Beltran, O., Calderon, J. A., Hurtado-Murillo, J. J., Nagles, E., &amp; Hurtado, J. J. (2019). Simultaneous determination of tartrazine, sunset yellow and allura red in foods using a new cobalt-decorated carbon paste electrode. </w:t>
      </w:r>
      <w:r w:rsidRPr="00E24D11">
        <w:rPr>
          <w:i/>
          <w:noProof/>
        </w:rPr>
        <w:t>Journal of Electroanalytical Chemistry</w:t>
      </w:r>
      <w:r w:rsidRPr="00E24D11">
        <w:rPr>
          <w:noProof/>
        </w:rPr>
        <w:t>,</w:t>
      </w:r>
      <w:r w:rsidRPr="00E24D11">
        <w:rPr>
          <w:i/>
          <w:noProof/>
        </w:rPr>
        <w:t xml:space="preserve"> 852</w:t>
      </w:r>
      <w:r w:rsidRPr="00E24D11">
        <w:rPr>
          <w:noProof/>
        </w:rPr>
        <w:t xml:space="preserve">, Article 113517. </w:t>
      </w:r>
      <w:hyperlink r:id="rId41" w:history="1">
        <w:r w:rsidRPr="00E24D11">
          <w:rPr>
            <w:rStyle w:val="aa"/>
            <w:noProof/>
          </w:rPr>
          <w:t>https://doi.org/10.1016/j.jelechem.2019.113517</w:t>
        </w:r>
      </w:hyperlink>
      <w:r w:rsidRPr="00E24D11">
        <w:rPr>
          <w:noProof/>
        </w:rPr>
        <w:t xml:space="preserve"> </w:t>
      </w:r>
    </w:p>
    <w:p w14:paraId="2DDBF977" w14:textId="6758AAE9" w:rsidR="00E24D11" w:rsidRPr="00E24D11" w:rsidRDefault="00E24D11" w:rsidP="00E24D11">
      <w:pPr>
        <w:pStyle w:val="EndNoteBibliography"/>
        <w:ind w:left="720" w:hanging="720"/>
        <w:rPr>
          <w:noProof/>
        </w:rPr>
      </w:pPr>
      <w:r w:rsidRPr="00E24D11">
        <w:rPr>
          <w:noProof/>
        </w:rPr>
        <w:t xml:space="preserve">Rovina, K., Siddiquee, S., &amp; Shaarani, S. M. (2016). Highly sensitive determination of sunset yellow FCF (E110) in food products based on Chitosan/Nanoparticles/MWCNTs with modified gold electrode. </w:t>
      </w:r>
      <w:r w:rsidRPr="00E24D11">
        <w:rPr>
          <w:i/>
          <w:noProof/>
        </w:rPr>
        <w:t>IOP Conference Series: Earth and Environmental Science</w:t>
      </w:r>
      <w:r w:rsidRPr="00E24D11">
        <w:rPr>
          <w:noProof/>
        </w:rPr>
        <w:t xml:space="preserve">. </w:t>
      </w:r>
      <w:hyperlink r:id="rId42" w:history="1">
        <w:r w:rsidRPr="00E24D11">
          <w:rPr>
            <w:rStyle w:val="aa"/>
            <w:noProof/>
          </w:rPr>
          <w:t>https://doi.org/10.1088/1755-1315/36/1/012023</w:t>
        </w:r>
      </w:hyperlink>
      <w:r w:rsidRPr="00E24D11">
        <w:rPr>
          <w:noProof/>
        </w:rPr>
        <w:t xml:space="preserve"> </w:t>
      </w:r>
    </w:p>
    <w:p w14:paraId="6369CC24" w14:textId="6E47146F" w:rsidR="00E24D11" w:rsidRPr="00E24D11" w:rsidRDefault="00E24D11" w:rsidP="00E24D11">
      <w:pPr>
        <w:pStyle w:val="EndNoteBibliography"/>
        <w:ind w:left="720" w:hanging="720"/>
        <w:rPr>
          <w:noProof/>
        </w:rPr>
      </w:pPr>
      <w:r w:rsidRPr="00E24D11">
        <w:rPr>
          <w:noProof/>
        </w:rPr>
        <w:t xml:space="preserve">Senocak, A., Basova, T., Demirbas, E., &amp; Durmus, M. (2019). Direct and Fast Electrochemical Determination of Catechin in Tea Extracts using SWCNT-Subphthalocyanine Hybrid Material. </w:t>
      </w:r>
      <w:r w:rsidRPr="00E24D11">
        <w:rPr>
          <w:i/>
          <w:noProof/>
        </w:rPr>
        <w:t>Electroanalysis</w:t>
      </w:r>
      <w:r w:rsidRPr="00E24D11">
        <w:rPr>
          <w:noProof/>
        </w:rPr>
        <w:t>,</w:t>
      </w:r>
      <w:r w:rsidRPr="00E24D11">
        <w:rPr>
          <w:i/>
          <w:noProof/>
        </w:rPr>
        <w:t xml:space="preserve"> 31</w:t>
      </w:r>
      <w:r w:rsidRPr="00E24D11">
        <w:rPr>
          <w:noProof/>
        </w:rPr>
        <w:t xml:space="preserve">(9), 1697-1707. </w:t>
      </w:r>
      <w:hyperlink r:id="rId43" w:history="1">
        <w:r w:rsidRPr="00E24D11">
          <w:rPr>
            <w:rStyle w:val="aa"/>
            <w:noProof/>
          </w:rPr>
          <w:t>https://doi.org/10.1002/elan.201900214</w:t>
        </w:r>
      </w:hyperlink>
      <w:r w:rsidRPr="00E24D11">
        <w:rPr>
          <w:noProof/>
        </w:rPr>
        <w:t xml:space="preserve"> </w:t>
      </w:r>
    </w:p>
    <w:p w14:paraId="2A219017" w14:textId="1DF721B6" w:rsidR="00E24D11" w:rsidRPr="00E24D11" w:rsidRDefault="00E24D11" w:rsidP="00E24D11">
      <w:pPr>
        <w:pStyle w:val="EndNoteBibliography"/>
        <w:ind w:left="720" w:hanging="720"/>
        <w:rPr>
          <w:noProof/>
        </w:rPr>
      </w:pPr>
      <w:r w:rsidRPr="00E24D11">
        <w:rPr>
          <w:noProof/>
        </w:rPr>
        <w:t xml:space="preserve">Sheikh, Z. A., Siddiqui, Z. A., Naveed, S., &amp; Usmanghani, K. (2016). Quantitative Determination of Catechin as Chemical Marker in Pediatric Polyherbal Syrup by HPLC/DAD. </w:t>
      </w:r>
      <w:r w:rsidRPr="00E24D11">
        <w:rPr>
          <w:i/>
          <w:noProof/>
        </w:rPr>
        <w:t>Journal of Chromatographic Science</w:t>
      </w:r>
      <w:r w:rsidRPr="00E24D11">
        <w:rPr>
          <w:noProof/>
        </w:rPr>
        <w:t>,</w:t>
      </w:r>
      <w:r w:rsidRPr="00E24D11">
        <w:rPr>
          <w:i/>
          <w:noProof/>
        </w:rPr>
        <w:t xml:space="preserve"> 54</w:t>
      </w:r>
      <w:r w:rsidRPr="00E24D11">
        <w:rPr>
          <w:noProof/>
        </w:rPr>
        <w:t xml:space="preserve">(8), 1324-1327. </w:t>
      </w:r>
      <w:hyperlink r:id="rId44" w:history="1">
        <w:r w:rsidRPr="00E24D11">
          <w:rPr>
            <w:rStyle w:val="aa"/>
            <w:noProof/>
          </w:rPr>
          <w:t>https://doi.org/10.1093/chromsci/bmw078</w:t>
        </w:r>
      </w:hyperlink>
      <w:r w:rsidRPr="00E24D11">
        <w:rPr>
          <w:noProof/>
        </w:rPr>
        <w:t xml:space="preserve"> </w:t>
      </w:r>
    </w:p>
    <w:p w14:paraId="4BE5AE3F" w14:textId="09129D19" w:rsidR="00386EB8" w:rsidRDefault="00000000">
      <w:pPr>
        <w:pStyle w:val="EndNoteBibliography"/>
        <w:spacing w:line="360" w:lineRule="auto"/>
        <w:rPr>
          <w:szCs w:val="21"/>
        </w:rPr>
      </w:pPr>
      <w:r>
        <w:rPr>
          <w:sz w:val="21"/>
          <w:szCs w:val="21"/>
        </w:rPr>
        <w:fldChar w:fldCharType="end"/>
      </w:r>
    </w:p>
    <w:sectPr w:rsidR="00386EB8">
      <w:footerReference w:type="default" r:id="rId4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389224" w14:textId="77777777" w:rsidR="00341745" w:rsidRDefault="00341745">
      <w:r>
        <w:separator/>
      </w:r>
    </w:p>
  </w:endnote>
  <w:endnote w:type="continuationSeparator" w:id="0">
    <w:p w14:paraId="66B5A508" w14:textId="77777777" w:rsidR="00341745" w:rsidRDefault="003417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7C5E1B" w14:textId="77777777" w:rsidR="00386EB8" w:rsidRDefault="00000000">
    <w:pPr>
      <w:pStyle w:val="a5"/>
    </w:pPr>
    <w:r>
      <w:rPr>
        <w:noProof/>
      </w:rPr>
      <mc:AlternateContent>
        <mc:Choice Requires="wps">
          <w:drawing>
            <wp:anchor distT="0" distB="0" distL="114300" distR="114300" simplePos="0" relativeHeight="251659264" behindDoc="0" locked="0" layoutInCell="1" allowOverlap="1" wp14:anchorId="062B1FBF" wp14:editId="3F6D847B">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7802EF5" w14:textId="77777777" w:rsidR="00386EB8" w:rsidRDefault="00000000">
                          <w:pPr>
                            <w:pStyle w:val="a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062B1FBF" id="_x0000_t202" coordsize="21600,21600" o:spt="202" path="m,l,21600r21600,l21600,xe">
              <v:stroke joinstyle="miter"/>
              <v:path gradientshapeok="t" o:connecttype="rect"/>
            </v:shapetype>
            <v:shape id="文本框 8"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67802EF5" w14:textId="77777777" w:rsidR="00386EB8" w:rsidRDefault="00000000">
                    <w:pPr>
                      <w:pStyle w:val="a5"/>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6CC1B7" w14:textId="77777777" w:rsidR="00341745" w:rsidRDefault="00341745">
      <w:r>
        <w:separator/>
      </w:r>
    </w:p>
  </w:footnote>
  <w:footnote w:type="continuationSeparator" w:id="0">
    <w:p w14:paraId="51FBB00F" w14:textId="77777777" w:rsidR="00341745" w:rsidRDefault="0034174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WQ0ZjhkMDA4ZGE3MDZlY2E2YmVlNzEzYjIxNjE1OGMifQ=="/>
    <w:docVar w:name="EN.InstantFormat" w:val="&lt;ENInstantFormat&gt;&lt;Enabled&gt;1&lt;/Enabled&gt;&lt;ScanUnformatted&gt;1&lt;/ScanUnformatted&gt;&lt;ScanChanges&gt;1&lt;/ScanChanges&gt;&lt;Suspended&gt;1&lt;/Suspended&gt;&lt;/ENInstantFormat&gt;"/>
    <w:docVar w:name="EN.Layout" w:val="&lt;ENLayout&gt;&lt;Style&gt;APA 7th&lt;/Style&gt;&lt;LeftDelim&gt;{&lt;/LeftDelim&gt;&lt;RightDelim&gt;}&lt;/RightDelim&gt;&lt;FontName&gt;Times New Roman&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t2pt52td8zt59qe2w2qxrvpl2perdrs2wf9a&quot;&gt;My EndNote Library 1&lt;record-ids&gt;&lt;item&gt;14&lt;/item&gt;&lt;item&gt;50&lt;/item&gt;&lt;item&gt;51&lt;/item&gt;&lt;item&gt;53&lt;/item&gt;&lt;item&gt;54&lt;/item&gt;&lt;item&gt;55&lt;/item&gt;&lt;item&gt;70&lt;/item&gt;&lt;item&gt;71&lt;/item&gt;&lt;item&gt;73&lt;/item&gt;&lt;item&gt;78&lt;/item&gt;&lt;/record-ids&gt;&lt;/item&gt;&lt;/Libraries&gt;"/>
  </w:docVars>
  <w:rsids>
    <w:rsidRoot w:val="00DB7C58"/>
    <w:rsid w:val="00004174"/>
    <w:rsid w:val="00047083"/>
    <w:rsid w:val="00057286"/>
    <w:rsid w:val="000644A2"/>
    <w:rsid w:val="00072F61"/>
    <w:rsid w:val="000904AB"/>
    <w:rsid w:val="000A752B"/>
    <w:rsid w:val="000E2AB6"/>
    <w:rsid w:val="000F5BAA"/>
    <w:rsid w:val="001373D3"/>
    <w:rsid w:val="001514EA"/>
    <w:rsid w:val="0016727A"/>
    <w:rsid w:val="00172E4C"/>
    <w:rsid w:val="001916C4"/>
    <w:rsid w:val="00192076"/>
    <w:rsid w:val="001A1CD7"/>
    <w:rsid w:val="001C3C6D"/>
    <w:rsid w:val="001E5882"/>
    <w:rsid w:val="001F1B47"/>
    <w:rsid w:val="002021E9"/>
    <w:rsid w:val="00214CE0"/>
    <w:rsid w:val="002316F3"/>
    <w:rsid w:val="002329AF"/>
    <w:rsid w:val="0024166C"/>
    <w:rsid w:val="00244738"/>
    <w:rsid w:val="0028068F"/>
    <w:rsid w:val="00282B67"/>
    <w:rsid w:val="00314B62"/>
    <w:rsid w:val="00341745"/>
    <w:rsid w:val="003726AB"/>
    <w:rsid w:val="00386EB8"/>
    <w:rsid w:val="00397ACD"/>
    <w:rsid w:val="003E1AE8"/>
    <w:rsid w:val="003E7D2A"/>
    <w:rsid w:val="004233D6"/>
    <w:rsid w:val="004522A4"/>
    <w:rsid w:val="00467367"/>
    <w:rsid w:val="004805D2"/>
    <w:rsid w:val="00500247"/>
    <w:rsid w:val="00526CF8"/>
    <w:rsid w:val="00565376"/>
    <w:rsid w:val="0057323A"/>
    <w:rsid w:val="0058441D"/>
    <w:rsid w:val="00591AE6"/>
    <w:rsid w:val="005923C0"/>
    <w:rsid w:val="005941F2"/>
    <w:rsid w:val="005B7C9E"/>
    <w:rsid w:val="005E7EF1"/>
    <w:rsid w:val="005F328D"/>
    <w:rsid w:val="0061557E"/>
    <w:rsid w:val="006A518F"/>
    <w:rsid w:val="006C28CB"/>
    <w:rsid w:val="006E0B53"/>
    <w:rsid w:val="006F7D6B"/>
    <w:rsid w:val="007206A4"/>
    <w:rsid w:val="00742F1E"/>
    <w:rsid w:val="007431B6"/>
    <w:rsid w:val="00743662"/>
    <w:rsid w:val="00754799"/>
    <w:rsid w:val="007B3306"/>
    <w:rsid w:val="007B3504"/>
    <w:rsid w:val="00803F58"/>
    <w:rsid w:val="008064D9"/>
    <w:rsid w:val="008139AA"/>
    <w:rsid w:val="00824222"/>
    <w:rsid w:val="00842C72"/>
    <w:rsid w:val="00846298"/>
    <w:rsid w:val="00846693"/>
    <w:rsid w:val="008673B1"/>
    <w:rsid w:val="008A55A0"/>
    <w:rsid w:val="008D658E"/>
    <w:rsid w:val="008E43C3"/>
    <w:rsid w:val="008E5A73"/>
    <w:rsid w:val="008F4E67"/>
    <w:rsid w:val="00902DC4"/>
    <w:rsid w:val="00954FF5"/>
    <w:rsid w:val="00976639"/>
    <w:rsid w:val="009A58E8"/>
    <w:rsid w:val="009A5C93"/>
    <w:rsid w:val="009C5318"/>
    <w:rsid w:val="009D74AD"/>
    <w:rsid w:val="009E4CF2"/>
    <w:rsid w:val="00A00F23"/>
    <w:rsid w:val="00A14B19"/>
    <w:rsid w:val="00A26338"/>
    <w:rsid w:val="00A56465"/>
    <w:rsid w:val="00A703E2"/>
    <w:rsid w:val="00AA2BE5"/>
    <w:rsid w:val="00AB1A9D"/>
    <w:rsid w:val="00AE7033"/>
    <w:rsid w:val="00AF1F3D"/>
    <w:rsid w:val="00B1651A"/>
    <w:rsid w:val="00B26277"/>
    <w:rsid w:val="00B47901"/>
    <w:rsid w:val="00B73270"/>
    <w:rsid w:val="00BA5C6A"/>
    <w:rsid w:val="00BC17FC"/>
    <w:rsid w:val="00BC4EE4"/>
    <w:rsid w:val="00BE6C87"/>
    <w:rsid w:val="00C12FE0"/>
    <w:rsid w:val="00C63BB4"/>
    <w:rsid w:val="00C83C4D"/>
    <w:rsid w:val="00C92C84"/>
    <w:rsid w:val="00CB2748"/>
    <w:rsid w:val="00CB52A0"/>
    <w:rsid w:val="00CC1ACC"/>
    <w:rsid w:val="00CC2F02"/>
    <w:rsid w:val="00CC3ABA"/>
    <w:rsid w:val="00CD1328"/>
    <w:rsid w:val="00CD65C1"/>
    <w:rsid w:val="00CD7D4E"/>
    <w:rsid w:val="00CF56E9"/>
    <w:rsid w:val="00D04E1E"/>
    <w:rsid w:val="00D1119E"/>
    <w:rsid w:val="00D60D72"/>
    <w:rsid w:val="00D7739F"/>
    <w:rsid w:val="00D80208"/>
    <w:rsid w:val="00D95929"/>
    <w:rsid w:val="00DB203D"/>
    <w:rsid w:val="00DB7C58"/>
    <w:rsid w:val="00DC0063"/>
    <w:rsid w:val="00DC1B56"/>
    <w:rsid w:val="00E2132F"/>
    <w:rsid w:val="00E22224"/>
    <w:rsid w:val="00E24D11"/>
    <w:rsid w:val="00E517BD"/>
    <w:rsid w:val="00E52BE0"/>
    <w:rsid w:val="00E60793"/>
    <w:rsid w:val="00E924C6"/>
    <w:rsid w:val="00EA098E"/>
    <w:rsid w:val="00EB10B5"/>
    <w:rsid w:val="00EF44E7"/>
    <w:rsid w:val="00F038EF"/>
    <w:rsid w:val="00F11434"/>
    <w:rsid w:val="00F25A94"/>
    <w:rsid w:val="00F33FD1"/>
    <w:rsid w:val="00F36174"/>
    <w:rsid w:val="00F61DD7"/>
    <w:rsid w:val="00F62B0A"/>
    <w:rsid w:val="00F8265D"/>
    <w:rsid w:val="00F86D14"/>
    <w:rsid w:val="00F93E28"/>
    <w:rsid w:val="00FA3AC9"/>
    <w:rsid w:val="00FA774F"/>
    <w:rsid w:val="00FB11F6"/>
    <w:rsid w:val="01AF6D20"/>
    <w:rsid w:val="03062D2F"/>
    <w:rsid w:val="076D15CF"/>
    <w:rsid w:val="0902043D"/>
    <w:rsid w:val="0A382368"/>
    <w:rsid w:val="0B7D3A92"/>
    <w:rsid w:val="0C851B79"/>
    <w:rsid w:val="0D3C216F"/>
    <w:rsid w:val="0D913B3D"/>
    <w:rsid w:val="0FA67B3A"/>
    <w:rsid w:val="10AF0EAA"/>
    <w:rsid w:val="1C33473D"/>
    <w:rsid w:val="235A4CA6"/>
    <w:rsid w:val="25ED5E00"/>
    <w:rsid w:val="29A24CB1"/>
    <w:rsid w:val="2D2D51D9"/>
    <w:rsid w:val="2E6D4AF8"/>
    <w:rsid w:val="2EA94D33"/>
    <w:rsid w:val="2F234AE5"/>
    <w:rsid w:val="304545E8"/>
    <w:rsid w:val="37A93D3A"/>
    <w:rsid w:val="384653A1"/>
    <w:rsid w:val="3A80103E"/>
    <w:rsid w:val="40175FA1"/>
    <w:rsid w:val="410A78B3"/>
    <w:rsid w:val="41EF2605"/>
    <w:rsid w:val="449F6565"/>
    <w:rsid w:val="451A05DA"/>
    <w:rsid w:val="4541586E"/>
    <w:rsid w:val="4C1635B0"/>
    <w:rsid w:val="4F073684"/>
    <w:rsid w:val="508058D3"/>
    <w:rsid w:val="51E811FC"/>
    <w:rsid w:val="54ED50CA"/>
    <w:rsid w:val="5B0A0784"/>
    <w:rsid w:val="5C761E49"/>
    <w:rsid w:val="5D543F38"/>
    <w:rsid w:val="5DD45079"/>
    <w:rsid w:val="5F7C32D2"/>
    <w:rsid w:val="61D81A0E"/>
    <w:rsid w:val="61DC274E"/>
    <w:rsid w:val="627E7362"/>
    <w:rsid w:val="65DF5218"/>
    <w:rsid w:val="69CE5072"/>
    <w:rsid w:val="6A301889"/>
    <w:rsid w:val="6E1600FF"/>
    <w:rsid w:val="6F2E3EBD"/>
    <w:rsid w:val="71597917"/>
    <w:rsid w:val="7175468D"/>
    <w:rsid w:val="71864485"/>
    <w:rsid w:val="72DF3E4C"/>
    <w:rsid w:val="76D0242A"/>
    <w:rsid w:val="76E2215D"/>
    <w:rsid w:val="7758241F"/>
    <w:rsid w:val="78342545"/>
    <w:rsid w:val="7D8F021D"/>
    <w:rsid w:val="7FDC1E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C675C4E"/>
  <w15:docId w15:val="{ADF54321-6323-4B5A-B80B-6DBE0CE117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pPr>
      <w:jc w:val="left"/>
    </w:pPr>
  </w:style>
  <w:style w:type="paragraph" w:styleId="a5">
    <w:name w:val="footer"/>
    <w:basedOn w:val="a"/>
    <w:link w:val="a6"/>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table" w:styleId="a9">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Hyperlink"/>
    <w:basedOn w:val="a0"/>
    <w:uiPriority w:val="99"/>
    <w:unhideWhenUsed/>
    <w:qFormat/>
    <w:rPr>
      <w:color w:val="0563C1" w:themeColor="hyperlink"/>
      <w:u w:val="single"/>
    </w:rPr>
  </w:style>
  <w:style w:type="character" w:styleId="ab">
    <w:name w:val="annotation reference"/>
    <w:basedOn w:val="a0"/>
    <w:uiPriority w:val="99"/>
    <w:semiHidden/>
    <w:unhideWhenUsed/>
    <w:qFormat/>
    <w:rPr>
      <w:sz w:val="21"/>
      <w:szCs w:val="21"/>
    </w:rPr>
  </w:style>
  <w:style w:type="table" w:customStyle="1" w:styleId="1">
    <w:name w:val="1"/>
    <w:basedOn w:val="a1"/>
    <w:uiPriority w:val="99"/>
    <w:qFormat/>
    <w:tblPr/>
    <w:tblStylePr w:type="firstRow">
      <w:tblPr/>
      <w:tcPr>
        <w:tcBorders>
          <w:top w:val="single" w:sz="12" w:space="0" w:color="auto"/>
          <w:left w:val="nil"/>
          <w:bottom w:val="single" w:sz="12" w:space="0" w:color="auto"/>
          <w:right w:val="nil"/>
          <w:insideH w:val="nil"/>
          <w:insideV w:val="nil"/>
          <w:tl2br w:val="nil"/>
          <w:tr2bl w:val="nil"/>
        </w:tcBorders>
      </w:tcPr>
    </w:tblStylePr>
  </w:style>
  <w:style w:type="table" w:customStyle="1" w:styleId="10">
    <w:name w:val="样式1"/>
    <w:basedOn w:val="a1"/>
    <w:uiPriority w:val="99"/>
    <w:qFormat/>
    <w:tblPr/>
    <w:tblStylePr w:type="firstRow">
      <w:tblPr/>
      <w:tcPr>
        <w:tcBorders>
          <w:top w:val="single" w:sz="12" w:space="0" w:color="auto"/>
          <w:left w:val="nil"/>
          <w:bottom w:val="single" w:sz="12" w:space="0" w:color="auto"/>
          <w:right w:val="nil"/>
          <w:insideH w:val="nil"/>
          <w:insideV w:val="nil"/>
          <w:tl2br w:val="nil"/>
          <w:tr2bl w:val="nil"/>
        </w:tcBorders>
      </w:tcPr>
    </w:tblStylePr>
  </w:style>
  <w:style w:type="table" w:customStyle="1" w:styleId="ac">
    <w:name w:val="三线表"/>
    <w:basedOn w:val="a1"/>
    <w:uiPriority w:val="99"/>
    <w:qFormat/>
    <w:pPr>
      <w:jc w:val="center"/>
    </w:pPr>
    <w:tblPr>
      <w:tblBorders>
        <w:top w:val="single" w:sz="12" w:space="0" w:color="auto"/>
        <w:bottom w:val="single" w:sz="12" w:space="0" w:color="auto"/>
      </w:tblBorders>
    </w:tblPr>
    <w:tcPr>
      <w:vAlign w:val="center"/>
    </w:tcPr>
    <w:tblStylePr w:type="firstRow">
      <w:tblPr/>
      <w:tcPr>
        <w:tcBorders>
          <w:top w:val="single" w:sz="12" w:space="0" w:color="auto"/>
          <w:left w:val="nil"/>
          <w:bottom w:val="single" w:sz="12" w:space="0" w:color="auto"/>
          <w:right w:val="nil"/>
          <w:insideH w:val="nil"/>
          <w:insideV w:val="nil"/>
          <w:tl2br w:val="nil"/>
          <w:tr2bl w:val="nil"/>
        </w:tcBorders>
      </w:tcPr>
    </w:tblStylePr>
  </w:style>
  <w:style w:type="character" w:customStyle="1" w:styleId="a8">
    <w:name w:val="页眉 字符"/>
    <w:basedOn w:val="a0"/>
    <w:link w:val="a7"/>
    <w:uiPriority w:val="99"/>
    <w:qFormat/>
    <w:rPr>
      <w:sz w:val="18"/>
      <w:szCs w:val="18"/>
    </w:rPr>
  </w:style>
  <w:style w:type="character" w:customStyle="1" w:styleId="a6">
    <w:name w:val="页脚 字符"/>
    <w:basedOn w:val="a0"/>
    <w:link w:val="a5"/>
    <w:uiPriority w:val="99"/>
    <w:qFormat/>
    <w:rPr>
      <w:sz w:val="18"/>
      <w:szCs w:val="18"/>
    </w:rPr>
  </w:style>
  <w:style w:type="paragraph" w:customStyle="1" w:styleId="EndNoteBibliographyTitle">
    <w:name w:val="EndNote Bibliography Title"/>
    <w:basedOn w:val="a"/>
    <w:link w:val="EndNoteBibliographyTitle0"/>
    <w:qFormat/>
    <w:pPr>
      <w:jc w:val="center"/>
    </w:pPr>
    <w:rPr>
      <w:sz w:val="20"/>
    </w:rPr>
  </w:style>
  <w:style w:type="character" w:customStyle="1" w:styleId="EndNoteBibliographyTitle0">
    <w:name w:val="EndNote Bibliography Title 字符"/>
    <w:basedOn w:val="a0"/>
    <w:link w:val="EndNoteBibliographyTitle"/>
    <w:qFormat/>
    <w:rPr>
      <w:rFonts w:ascii="Times New Roman" w:eastAsia="宋体" w:hAnsi="Times New Roman" w:cs="Times New Roman"/>
      <w:kern w:val="2"/>
      <w:szCs w:val="24"/>
    </w:rPr>
  </w:style>
  <w:style w:type="paragraph" w:customStyle="1" w:styleId="EndNoteBibliography">
    <w:name w:val="EndNote Bibliography"/>
    <w:basedOn w:val="a"/>
    <w:link w:val="EndNoteBibliography0"/>
    <w:qFormat/>
    <w:rPr>
      <w:sz w:val="20"/>
    </w:rPr>
  </w:style>
  <w:style w:type="character" w:customStyle="1" w:styleId="EndNoteBibliography0">
    <w:name w:val="EndNote Bibliography 字符"/>
    <w:basedOn w:val="a0"/>
    <w:link w:val="EndNoteBibliography"/>
    <w:qFormat/>
    <w:rPr>
      <w:rFonts w:ascii="Times New Roman" w:eastAsia="宋体" w:hAnsi="Times New Roman" w:cs="Times New Roman"/>
      <w:kern w:val="2"/>
      <w:szCs w:val="24"/>
    </w:rPr>
  </w:style>
  <w:style w:type="character" w:customStyle="1" w:styleId="11">
    <w:name w:val="未处理的提及1"/>
    <w:basedOn w:val="a0"/>
    <w:uiPriority w:val="99"/>
    <w:semiHidden/>
    <w:unhideWhenUsed/>
    <w:qFormat/>
    <w:rPr>
      <w:color w:val="605E5C"/>
      <w:shd w:val="clear" w:color="auto" w:fill="E1DFDD"/>
    </w:rPr>
  </w:style>
  <w:style w:type="paragraph" w:styleId="ad">
    <w:name w:val="List Paragraph"/>
    <w:basedOn w:val="a"/>
    <w:link w:val="ae"/>
    <w:uiPriority w:val="34"/>
    <w:qFormat/>
    <w:pPr>
      <w:ind w:firstLineChars="200" w:firstLine="420"/>
    </w:pPr>
  </w:style>
  <w:style w:type="paragraph" w:customStyle="1" w:styleId="12">
    <w:name w:val="修订1"/>
    <w:hidden/>
    <w:uiPriority w:val="99"/>
    <w:semiHidden/>
    <w:qFormat/>
    <w:rPr>
      <w:rFonts w:ascii="Times New Roman" w:eastAsia="宋体" w:hAnsi="Times New Roman" w:cs="Times New Roman"/>
      <w:kern w:val="2"/>
      <w:sz w:val="21"/>
      <w:szCs w:val="24"/>
    </w:rPr>
  </w:style>
  <w:style w:type="character" w:customStyle="1" w:styleId="a4">
    <w:name w:val="批注文字 字符"/>
    <w:basedOn w:val="a0"/>
    <w:link w:val="a3"/>
    <w:uiPriority w:val="99"/>
    <w:semiHidden/>
    <w:qFormat/>
    <w:rPr>
      <w:rFonts w:ascii="Times New Roman" w:eastAsia="宋体" w:hAnsi="Times New Roman" w:cs="Times New Roman"/>
      <w:kern w:val="2"/>
      <w:sz w:val="21"/>
      <w:szCs w:val="24"/>
    </w:rPr>
  </w:style>
  <w:style w:type="character" w:customStyle="1" w:styleId="apple-converted-space">
    <w:name w:val="apple-converted-space"/>
    <w:basedOn w:val="a0"/>
    <w:qFormat/>
  </w:style>
  <w:style w:type="character" w:customStyle="1" w:styleId="tgt">
    <w:name w:val="tgt"/>
    <w:basedOn w:val="a0"/>
    <w:qFormat/>
  </w:style>
  <w:style w:type="character" w:customStyle="1" w:styleId="2">
    <w:name w:val="未处理的提及2"/>
    <w:basedOn w:val="a0"/>
    <w:uiPriority w:val="99"/>
    <w:semiHidden/>
    <w:unhideWhenUsed/>
    <w:qFormat/>
    <w:rPr>
      <w:color w:val="605E5C"/>
      <w:shd w:val="clear" w:color="auto" w:fill="E1DFDD"/>
    </w:rPr>
  </w:style>
  <w:style w:type="character" w:customStyle="1" w:styleId="ae">
    <w:name w:val="列表段落 字符"/>
    <w:link w:val="ad"/>
    <w:uiPriority w:val="34"/>
    <w:qFormat/>
    <w:rPr>
      <w:rFonts w:ascii="Times New Roman" w:eastAsia="宋体" w:hAnsi="Times New Roman" w:cs="Times New Roman"/>
      <w:kern w:val="2"/>
      <w:sz w:val="21"/>
      <w:szCs w:val="24"/>
    </w:rPr>
  </w:style>
  <w:style w:type="paragraph" w:customStyle="1" w:styleId="20">
    <w:name w:val="修订2"/>
    <w:hidden/>
    <w:uiPriority w:val="99"/>
    <w:semiHidden/>
    <w:qFormat/>
    <w:rPr>
      <w:rFonts w:ascii="Times New Roman" w:eastAsia="宋体" w:hAnsi="Times New Roman" w:cs="Times New Roman"/>
      <w:kern w:val="2"/>
      <w:sz w:val="21"/>
      <w:szCs w:val="24"/>
    </w:rPr>
  </w:style>
  <w:style w:type="paragraph" w:styleId="af">
    <w:name w:val="Revision"/>
    <w:hidden/>
    <w:uiPriority w:val="99"/>
    <w:semiHidden/>
    <w:rsid w:val="00467367"/>
    <w:rPr>
      <w:rFonts w:ascii="Times New Roman" w:eastAsia="宋体" w:hAnsi="Times New Roman" w:cs="Times New Roman"/>
      <w:kern w:val="2"/>
      <w:sz w:val="21"/>
      <w:szCs w:val="24"/>
    </w:rPr>
  </w:style>
  <w:style w:type="character" w:styleId="af0">
    <w:name w:val="Unresolved Mention"/>
    <w:basedOn w:val="a0"/>
    <w:uiPriority w:val="99"/>
    <w:semiHidden/>
    <w:unhideWhenUsed/>
    <w:rsid w:val="00E24D1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jpeg"/><Relationship Id="rId18" Type="http://schemas.openxmlformats.org/officeDocument/2006/relationships/hyperlink" Target="javascript:;" TargetMode="External"/><Relationship Id="rId26" Type="http://schemas.openxmlformats.org/officeDocument/2006/relationships/hyperlink" Target="javascript:;" TargetMode="External"/><Relationship Id="rId39" Type="http://schemas.openxmlformats.org/officeDocument/2006/relationships/hyperlink" Target="https://doi.org/10.1016/j.talanta.2009.01.038" TargetMode="External"/><Relationship Id="rId21" Type="http://schemas.openxmlformats.org/officeDocument/2006/relationships/oleObject" Target="embeddings/oleObject2.bin"/><Relationship Id="rId34" Type="http://schemas.openxmlformats.org/officeDocument/2006/relationships/hyperlink" Target="https://doi.org/10.1021/ed060pA25.1" TargetMode="External"/><Relationship Id="rId42" Type="http://schemas.openxmlformats.org/officeDocument/2006/relationships/hyperlink" Target="https://doi.org/10.1088/1755-1315/36/1/012023" TargetMode="External"/><Relationship Id="rId47" Type="http://schemas.openxmlformats.org/officeDocument/2006/relationships/theme" Target="theme/theme1.xml"/><Relationship Id="rId7" Type="http://schemas.openxmlformats.org/officeDocument/2006/relationships/image" Target="media/image1.jpeg"/><Relationship Id="rId2" Type="http://schemas.openxmlformats.org/officeDocument/2006/relationships/styles" Target="styles.xml"/><Relationship Id="rId16" Type="http://schemas.openxmlformats.org/officeDocument/2006/relationships/hyperlink" Target="javascript:;" TargetMode="External"/><Relationship Id="rId29" Type="http://schemas.openxmlformats.org/officeDocument/2006/relationships/image" Target="media/image10.jpe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3.jpeg"/><Relationship Id="rId24" Type="http://schemas.openxmlformats.org/officeDocument/2006/relationships/image" Target="media/image9.png"/><Relationship Id="rId32" Type="http://schemas.openxmlformats.org/officeDocument/2006/relationships/image" Target="media/image13.jpeg"/><Relationship Id="rId37" Type="http://schemas.openxmlformats.org/officeDocument/2006/relationships/hyperlink" Target="https://doi.org/https://doi.org/10.1016/S0022-0728(79)80075-3" TargetMode="External"/><Relationship Id="rId40" Type="http://schemas.openxmlformats.org/officeDocument/2006/relationships/hyperlink" Target="https://doi.org/10.1007/s11581-017-2006-0" TargetMode="External"/><Relationship Id="rId45"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oleObject" Target="embeddings/oleObject1.bin"/><Relationship Id="rId23" Type="http://schemas.openxmlformats.org/officeDocument/2006/relationships/oleObject" Target="embeddings/oleObject3.bin"/><Relationship Id="rId28" Type="http://schemas.openxmlformats.org/officeDocument/2006/relationships/hyperlink" Target="javascript:;" TargetMode="External"/><Relationship Id="rId36" Type="http://schemas.openxmlformats.org/officeDocument/2006/relationships/hyperlink" Target="https://doi.org/10.1007/s10910-009-9629-y" TargetMode="External"/><Relationship Id="rId10" Type="http://schemas.openxmlformats.org/officeDocument/2006/relationships/image" Target="media/image2.jpeg"/><Relationship Id="rId19" Type="http://schemas.openxmlformats.org/officeDocument/2006/relationships/hyperlink" Target="javascript:;" TargetMode="External"/><Relationship Id="rId31" Type="http://schemas.openxmlformats.org/officeDocument/2006/relationships/image" Target="media/image12.jpeg"/><Relationship Id="rId44" Type="http://schemas.openxmlformats.org/officeDocument/2006/relationships/hyperlink" Target="https://doi.org/10.1093/chromsci/bmw078" TargetMode="External"/><Relationship Id="rId4" Type="http://schemas.openxmlformats.org/officeDocument/2006/relationships/webSettings" Target="webSettings.xml"/><Relationship Id="rId9" Type="http://schemas.openxmlformats.org/officeDocument/2006/relationships/hyperlink" Target="javascript:;" TargetMode="External"/><Relationship Id="rId14" Type="http://schemas.openxmlformats.org/officeDocument/2006/relationships/image" Target="media/image6.wmf"/><Relationship Id="rId22" Type="http://schemas.openxmlformats.org/officeDocument/2006/relationships/image" Target="media/image8.wmf"/><Relationship Id="rId27" Type="http://schemas.openxmlformats.org/officeDocument/2006/relationships/hyperlink" Target="javascript:;" TargetMode="External"/><Relationship Id="rId30" Type="http://schemas.openxmlformats.org/officeDocument/2006/relationships/image" Target="media/image11.jpeg"/><Relationship Id="rId35" Type="http://schemas.openxmlformats.org/officeDocument/2006/relationships/hyperlink" Target="https://doi.org/10.1016/j.snb.2020.128731" TargetMode="External"/><Relationship Id="rId43" Type="http://schemas.openxmlformats.org/officeDocument/2006/relationships/hyperlink" Target="https://doi.org/10.1002/elan.201900214" TargetMode="External"/><Relationship Id="rId8" Type="http://schemas.openxmlformats.org/officeDocument/2006/relationships/hyperlink" Target="javascript:;" TargetMode="External"/><Relationship Id="rId3" Type="http://schemas.openxmlformats.org/officeDocument/2006/relationships/settings" Target="settings.xml"/><Relationship Id="rId12" Type="http://schemas.openxmlformats.org/officeDocument/2006/relationships/image" Target="media/image4.jpeg"/><Relationship Id="rId17" Type="http://schemas.openxmlformats.org/officeDocument/2006/relationships/hyperlink" Target="javascript:;" TargetMode="External"/><Relationship Id="rId25" Type="http://schemas.openxmlformats.org/officeDocument/2006/relationships/hyperlink" Target="javascript:;" TargetMode="External"/><Relationship Id="rId33" Type="http://schemas.openxmlformats.org/officeDocument/2006/relationships/image" Target="media/image14.jpeg"/><Relationship Id="rId38" Type="http://schemas.openxmlformats.org/officeDocument/2006/relationships/hyperlink" Target="https://doi.org/10.1016/j.talanta.2012.07.051" TargetMode="External"/><Relationship Id="rId46" Type="http://schemas.openxmlformats.org/officeDocument/2006/relationships/fontTable" Target="fontTable.xml"/><Relationship Id="rId20" Type="http://schemas.openxmlformats.org/officeDocument/2006/relationships/image" Target="media/image7.wmf"/><Relationship Id="rId41" Type="http://schemas.openxmlformats.org/officeDocument/2006/relationships/hyperlink" Target="https://doi.org/10.1016/j.jelechem.2019.113517"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12</Pages>
  <Words>3878</Words>
  <Characters>22110</Characters>
  <Application>Microsoft Office Word</Application>
  <DocSecurity>0</DocSecurity>
  <Lines>184</Lines>
  <Paragraphs>51</Paragraphs>
  <ScaleCrop>false</ScaleCrop>
  <Company/>
  <LinksUpToDate>false</LinksUpToDate>
  <CharactersWithSpaces>25937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jh 李</dc:creator>
  <cp:lastModifiedBy>jh 李</cp:lastModifiedBy>
  <cp:revision>7</cp:revision>
  <dcterms:created xsi:type="dcterms:W3CDTF">2022-09-04T01:21:00Z</dcterms:created>
  <dcterms:modified xsi:type="dcterms:W3CDTF">2022-10-01T00:36:00Z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2052-11.1.0.11753</vt:lpwstr>
  </property>
  <property fmtid="{D5CDD505-2E9C-101B-9397-08002B2CF9AE}" pid="3" name="ICV">
    <vt:lpwstr>D88051EBF1EC4E6B959506F120850B45</vt:lpwstr>
  </property>
  <property fmtid="{D5CDD505-2E9C-101B-9397-08002B2CF9AE}" pid="4" name="GrammarlyDocumentId">
    <vt:lpwstr>715009a330240224f1f79d9e4efb503e3096b9a13459d7db9a976578d4da94b7</vt:lpwstr>
  </property>
</Properties>
</file>