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72BDF" w14:textId="66DEE5EE" w:rsidR="00B16F99" w:rsidRPr="007665DD" w:rsidRDefault="00B16F99" w:rsidP="00B16F99">
      <w:pPr>
        <w:rPr>
          <w:rFonts w:ascii="Arial" w:hAnsi="Arial" w:cs="Arial"/>
          <w:sz w:val="20"/>
        </w:rPr>
      </w:pPr>
      <w:r w:rsidRPr="00DC623A">
        <w:rPr>
          <w:rFonts w:ascii="Arial" w:hAnsi="Arial" w:cs="Arial"/>
          <w:b/>
          <w:sz w:val="28"/>
          <w:szCs w:val="28"/>
        </w:rPr>
        <w:t>Supplementary Information for</w:t>
      </w:r>
    </w:p>
    <w:p w14:paraId="73E04B57" w14:textId="77777777" w:rsidR="00636AF0" w:rsidRDefault="00636AF0" w:rsidP="007B5946">
      <w:pPr>
        <w:rPr>
          <w:rFonts w:ascii="Arial" w:hAnsi="Arial" w:cs="Arial"/>
          <w:sz w:val="28"/>
          <w:szCs w:val="28"/>
        </w:rPr>
      </w:pPr>
    </w:p>
    <w:p w14:paraId="567E1D61" w14:textId="77777777" w:rsidR="00F45AB1" w:rsidRPr="00DB5141" w:rsidRDefault="00F45AB1" w:rsidP="00977C0B">
      <w:pPr>
        <w:rPr>
          <w:rFonts w:ascii="Arial" w:hAnsi="Arial" w:cs="Arial"/>
          <w:szCs w:val="24"/>
        </w:rPr>
      </w:pPr>
      <w:r w:rsidRPr="00AB6E1A">
        <w:rPr>
          <w:rFonts w:ascii="Arial" w:hAnsi="Arial" w:cs="Arial"/>
          <w:sz w:val="28"/>
          <w:szCs w:val="28"/>
        </w:rPr>
        <w:t>Cost-effective climate mitigation via conservation incentives targeting poverty: Bolsa Verde's impact in Brazilian Amazonia settlements</w:t>
      </w:r>
    </w:p>
    <w:p w14:paraId="6985025A" w14:textId="77777777" w:rsidR="00B16F99" w:rsidRPr="00DC623A" w:rsidRDefault="00B16F99" w:rsidP="007B5946">
      <w:pPr>
        <w:rPr>
          <w:rFonts w:ascii="Arial" w:hAnsi="Arial" w:cs="Arial"/>
          <w:sz w:val="20"/>
        </w:rPr>
      </w:pPr>
    </w:p>
    <w:p w14:paraId="55B4EB3F" w14:textId="1EA47367" w:rsidR="00D22F91" w:rsidRPr="00DB5141" w:rsidRDefault="00D22F91" w:rsidP="00D22F91">
      <w:pPr>
        <w:rPr>
          <w:rFonts w:ascii="Arial" w:hAnsi="Arial" w:cs="Arial"/>
          <w:sz w:val="20"/>
          <w:vertAlign w:val="superscript"/>
        </w:rPr>
      </w:pPr>
      <w:r w:rsidRPr="00DB5141">
        <w:rPr>
          <w:rFonts w:ascii="Arial" w:hAnsi="Arial" w:cs="Arial"/>
          <w:sz w:val="20"/>
        </w:rPr>
        <w:t>Sébastien Costedoat</w:t>
      </w:r>
      <w:r w:rsidR="009F325A">
        <w:rPr>
          <w:rFonts w:ascii="Arial" w:hAnsi="Arial" w:cs="Arial"/>
          <w:sz w:val="20"/>
        </w:rPr>
        <w:t>*</w:t>
      </w:r>
      <w:r w:rsidRPr="00DB5141">
        <w:rPr>
          <w:rFonts w:ascii="Arial" w:hAnsi="Arial" w:cs="Arial"/>
          <w:sz w:val="20"/>
        </w:rPr>
        <w:t xml:space="preserve">, Alexander </w:t>
      </w:r>
      <w:r w:rsidR="00E847FF" w:rsidRPr="00DB5141">
        <w:rPr>
          <w:rFonts w:ascii="Arial" w:hAnsi="Arial" w:cs="Arial"/>
          <w:sz w:val="20"/>
        </w:rPr>
        <w:t>Pfaff,</w:t>
      </w:r>
      <w:r w:rsidRPr="00DB5141">
        <w:rPr>
          <w:rFonts w:ascii="Arial" w:hAnsi="Arial" w:cs="Arial"/>
          <w:sz w:val="20"/>
        </w:rPr>
        <w:t xml:space="preserve"> Bruno Coutinho, and Michael B. Mascia </w:t>
      </w:r>
    </w:p>
    <w:p w14:paraId="1EBDE992" w14:textId="77777777" w:rsidR="000F0DCE" w:rsidRPr="00DC623A" w:rsidRDefault="000F0DCE" w:rsidP="007B5946">
      <w:pPr>
        <w:rPr>
          <w:rFonts w:ascii="Arial" w:hAnsi="Arial" w:cs="Arial"/>
          <w:sz w:val="20"/>
        </w:rPr>
      </w:pPr>
    </w:p>
    <w:p w14:paraId="48676783" w14:textId="3C76C848" w:rsidR="004779CB" w:rsidRPr="00DC623A" w:rsidRDefault="00602BDF" w:rsidP="007B5946">
      <w:pPr>
        <w:rPr>
          <w:rFonts w:ascii="Arial" w:hAnsi="Arial" w:cs="Arial"/>
          <w:sz w:val="20"/>
        </w:rPr>
      </w:pPr>
      <w:r w:rsidRPr="00DB5141">
        <w:rPr>
          <w:rFonts w:ascii="Arial" w:hAnsi="Arial" w:cs="Arial"/>
          <w:sz w:val="20"/>
        </w:rPr>
        <w:t>To whom correspondence should be addressed</w:t>
      </w:r>
      <w:r>
        <w:rPr>
          <w:rFonts w:ascii="Arial" w:hAnsi="Arial" w:cs="Arial"/>
          <w:sz w:val="20"/>
        </w:rPr>
        <w:t>.</w:t>
      </w:r>
      <w:r w:rsidRPr="00DC623A">
        <w:rPr>
          <w:rFonts w:ascii="Arial" w:hAnsi="Arial" w:cs="Arial"/>
          <w:sz w:val="20"/>
        </w:rPr>
        <w:t xml:space="preserve"> </w:t>
      </w:r>
      <w:r w:rsidR="00943C3C" w:rsidRPr="00DC623A">
        <w:rPr>
          <w:rFonts w:ascii="Arial" w:hAnsi="Arial" w:cs="Arial"/>
          <w:sz w:val="20"/>
        </w:rPr>
        <w:t>Email:</w:t>
      </w:r>
      <w:r w:rsidR="004779CB" w:rsidRPr="00DC623A">
        <w:rPr>
          <w:rFonts w:ascii="Arial" w:hAnsi="Arial" w:cs="Arial"/>
          <w:sz w:val="20"/>
        </w:rPr>
        <w:t xml:space="preserve"> </w:t>
      </w:r>
      <w:hyperlink r:id="rId8" w:history="1">
        <w:r w:rsidR="009F325A" w:rsidRPr="00DB5141">
          <w:rPr>
            <w:rStyle w:val="Hyperlink"/>
            <w:rFonts w:ascii="Arial" w:hAnsi="Arial" w:cs="Arial"/>
            <w:sz w:val="20"/>
          </w:rPr>
          <w:t>scostedoat@conservation.org</w:t>
        </w:r>
      </w:hyperlink>
    </w:p>
    <w:p w14:paraId="41FAE993" w14:textId="77777777" w:rsidR="002C030F" w:rsidRPr="00DC623A" w:rsidRDefault="002C030F">
      <w:pPr>
        <w:rPr>
          <w:rFonts w:ascii="Arial" w:hAnsi="Arial" w:cs="Arial"/>
          <w:sz w:val="20"/>
        </w:rPr>
      </w:pPr>
    </w:p>
    <w:p w14:paraId="51DF9633" w14:textId="77777777" w:rsidR="00015F74" w:rsidRPr="00DC623A" w:rsidRDefault="00015F74">
      <w:pPr>
        <w:rPr>
          <w:rFonts w:ascii="Arial" w:hAnsi="Arial" w:cs="Arial"/>
          <w:b/>
          <w:sz w:val="20"/>
        </w:rPr>
      </w:pPr>
    </w:p>
    <w:p w14:paraId="7702D235" w14:textId="77777777" w:rsidR="002C030F" w:rsidRPr="00DC623A" w:rsidRDefault="002C030F">
      <w:pPr>
        <w:rPr>
          <w:rFonts w:ascii="Arial" w:hAnsi="Arial" w:cs="Arial"/>
          <w:sz w:val="20"/>
        </w:rPr>
      </w:pPr>
    </w:p>
    <w:p w14:paraId="0357822C" w14:textId="516F2F4D" w:rsidR="00943C3C" w:rsidRDefault="00943C3C" w:rsidP="001C0975">
      <w:pPr>
        <w:pStyle w:val="SMHeading"/>
        <w:rPr>
          <w:rFonts w:ascii="Arial" w:hAnsi="Arial" w:cs="Arial"/>
          <w:sz w:val="20"/>
          <w:szCs w:val="20"/>
        </w:rPr>
      </w:pPr>
    </w:p>
    <w:p w14:paraId="31768280" w14:textId="2A794710" w:rsidR="00DA64F6" w:rsidRDefault="00DA64F6" w:rsidP="001C0975">
      <w:pPr>
        <w:pStyle w:val="SMHeading"/>
        <w:rPr>
          <w:rFonts w:ascii="Arial" w:hAnsi="Arial" w:cs="Arial"/>
          <w:sz w:val="20"/>
          <w:szCs w:val="20"/>
        </w:rPr>
      </w:pPr>
    </w:p>
    <w:p w14:paraId="09A7ED22" w14:textId="0A40ED4C" w:rsidR="00DA64F6" w:rsidRDefault="00DA64F6" w:rsidP="001C0975">
      <w:pPr>
        <w:pStyle w:val="SMHeading"/>
        <w:rPr>
          <w:rFonts w:ascii="Arial" w:hAnsi="Arial" w:cs="Arial"/>
          <w:sz w:val="20"/>
          <w:szCs w:val="20"/>
        </w:rPr>
      </w:pPr>
    </w:p>
    <w:p w14:paraId="77DC3C12" w14:textId="77777777" w:rsidR="00DA64F6" w:rsidRPr="00DC623A" w:rsidRDefault="00DA64F6" w:rsidP="001C0975">
      <w:pPr>
        <w:pStyle w:val="SMHeading"/>
        <w:rPr>
          <w:rFonts w:ascii="Arial" w:hAnsi="Arial" w:cs="Arial"/>
          <w:sz w:val="20"/>
          <w:szCs w:val="20"/>
        </w:rPr>
      </w:pPr>
    </w:p>
    <w:p w14:paraId="4F297BDE" w14:textId="77777777" w:rsidR="00943C3C" w:rsidRPr="00DC623A" w:rsidRDefault="00943C3C" w:rsidP="001C0975">
      <w:pPr>
        <w:pStyle w:val="SMHeading"/>
        <w:rPr>
          <w:rFonts w:ascii="Arial" w:hAnsi="Arial" w:cs="Arial"/>
          <w:sz w:val="20"/>
          <w:szCs w:val="20"/>
        </w:rPr>
      </w:pPr>
    </w:p>
    <w:p w14:paraId="62CB8284" w14:textId="5534E68C" w:rsidR="00355362" w:rsidRPr="00DC623A" w:rsidRDefault="00355362" w:rsidP="00D269AB">
      <w:pPr>
        <w:pStyle w:val="SMHeading"/>
        <w:rPr>
          <w:rFonts w:ascii="Arial" w:hAnsi="Arial" w:cs="Arial"/>
          <w:sz w:val="20"/>
          <w:szCs w:val="20"/>
        </w:rPr>
      </w:pPr>
      <w:bookmarkStart w:id="0" w:name="Tables"/>
      <w:bookmarkStart w:id="1" w:name="MaterialsMethods"/>
      <w:bookmarkEnd w:id="0"/>
      <w:bookmarkEnd w:id="1"/>
    </w:p>
    <w:p w14:paraId="697D767A" w14:textId="67612659" w:rsidR="007665DD" w:rsidRDefault="007665DD" w:rsidP="00D269AB">
      <w:pPr>
        <w:pStyle w:val="SMHeading"/>
        <w:rPr>
          <w:rFonts w:ascii="Arial" w:hAnsi="Arial" w:cs="Arial"/>
          <w:sz w:val="20"/>
          <w:szCs w:val="20"/>
        </w:rPr>
      </w:pPr>
      <w:r>
        <w:rPr>
          <w:rFonts w:ascii="Arial" w:hAnsi="Arial" w:cs="Arial"/>
          <w:sz w:val="20"/>
          <w:szCs w:val="20"/>
        </w:rPr>
        <w:br w:type="page"/>
      </w:r>
    </w:p>
    <w:p w14:paraId="1F410ECE" w14:textId="77777777" w:rsidR="00015F74" w:rsidRPr="00DC623A" w:rsidRDefault="00BB2D2A" w:rsidP="00B9440A">
      <w:pPr>
        <w:pStyle w:val="SMHeading"/>
        <w:rPr>
          <w:rFonts w:ascii="Arial" w:hAnsi="Arial" w:cs="Arial"/>
          <w:sz w:val="20"/>
          <w:szCs w:val="20"/>
        </w:rPr>
      </w:pPr>
      <w:r w:rsidRPr="00DC623A">
        <w:rPr>
          <w:rFonts w:ascii="Arial" w:hAnsi="Arial" w:cs="Arial"/>
          <w:sz w:val="20"/>
          <w:szCs w:val="20"/>
        </w:rPr>
        <w:lastRenderedPageBreak/>
        <w:t>Supplementary</w:t>
      </w:r>
      <w:r w:rsidR="00015F74" w:rsidRPr="00DC623A">
        <w:rPr>
          <w:rFonts w:ascii="Arial" w:hAnsi="Arial" w:cs="Arial"/>
          <w:sz w:val="20"/>
          <w:szCs w:val="20"/>
        </w:rPr>
        <w:t xml:space="preserve"> </w:t>
      </w:r>
      <w:r w:rsidR="001C0975" w:rsidRPr="00DC623A">
        <w:rPr>
          <w:rFonts w:ascii="Arial" w:hAnsi="Arial" w:cs="Arial"/>
          <w:sz w:val="20"/>
          <w:szCs w:val="20"/>
        </w:rPr>
        <w:t>Information Text</w:t>
      </w:r>
    </w:p>
    <w:p w14:paraId="767DB85F" w14:textId="77777777" w:rsidR="00C57B72" w:rsidRDefault="00C57B72" w:rsidP="00820484">
      <w:pPr>
        <w:pStyle w:val="SMSubheading"/>
        <w:rPr>
          <w:rFonts w:ascii="Arial" w:hAnsi="Arial" w:cs="Arial"/>
          <w:b/>
          <w:sz w:val="20"/>
          <w:u w:val="none"/>
        </w:rPr>
      </w:pPr>
    </w:p>
    <w:p w14:paraId="50025204" w14:textId="402E1064" w:rsidR="00756AC9" w:rsidRDefault="00BB1F2F" w:rsidP="00820484">
      <w:pPr>
        <w:pStyle w:val="SMSubheading"/>
        <w:rPr>
          <w:rFonts w:ascii="Arial" w:hAnsi="Arial" w:cs="Arial"/>
          <w:b/>
          <w:sz w:val="20"/>
          <w:u w:val="none"/>
        </w:rPr>
      </w:pPr>
      <w:r>
        <w:rPr>
          <w:rFonts w:ascii="Arial" w:hAnsi="Arial" w:cs="Arial"/>
          <w:b/>
          <w:sz w:val="20"/>
          <w:u w:val="none"/>
        </w:rPr>
        <w:t xml:space="preserve">Treatment Effects. </w:t>
      </w:r>
    </w:p>
    <w:p w14:paraId="1AE7F9E8" w14:textId="77777777" w:rsidR="004E4C3A" w:rsidRDefault="004E4C3A" w:rsidP="00CD6E9C">
      <w:pPr>
        <w:rPr>
          <w:rFonts w:ascii="Arial" w:hAnsi="Arial" w:cs="Arial"/>
          <w:color w:val="000000"/>
          <w:sz w:val="20"/>
        </w:rPr>
      </w:pPr>
    </w:p>
    <w:p w14:paraId="1E368B62" w14:textId="32E34D01" w:rsidR="00CD6E9C" w:rsidRDefault="00756AC9" w:rsidP="00CD6E9C">
      <w:pPr>
        <w:rPr>
          <w:rFonts w:ascii="Arial" w:hAnsi="Arial" w:cs="Arial"/>
          <w:color w:val="000000"/>
          <w:sz w:val="20"/>
        </w:rPr>
      </w:pPr>
      <w:r>
        <w:rPr>
          <w:rFonts w:ascii="Arial" w:hAnsi="Arial" w:cs="Arial"/>
          <w:color w:val="000000"/>
          <w:sz w:val="20"/>
        </w:rPr>
        <w:t>Fig. S</w:t>
      </w:r>
      <w:r w:rsidR="007F09E0">
        <w:rPr>
          <w:rFonts w:ascii="Arial" w:hAnsi="Arial" w:cs="Arial"/>
          <w:color w:val="000000"/>
          <w:sz w:val="20"/>
        </w:rPr>
        <w:t>6</w:t>
      </w:r>
      <w:r>
        <w:rPr>
          <w:rFonts w:ascii="Arial" w:hAnsi="Arial" w:cs="Arial"/>
          <w:color w:val="000000"/>
          <w:sz w:val="20"/>
        </w:rPr>
        <w:t xml:space="preserve"> displays group-time Average Treatment Effects (ATT) </w:t>
      </w:r>
      <w:r w:rsidR="008D6572">
        <w:rPr>
          <w:rFonts w:ascii="Arial" w:hAnsi="Arial" w:cs="Arial"/>
          <w:color w:val="000000"/>
          <w:sz w:val="20"/>
        </w:rPr>
        <w:t xml:space="preserve">of the effect of Bolsa Verde in Enrolled Settlements of Amazonia on annual tree cover loss in % of tree cover per site in 2000. Group-time ATTs are </w:t>
      </w:r>
      <w:r>
        <w:rPr>
          <w:rFonts w:ascii="Arial" w:hAnsi="Arial" w:cs="Arial"/>
          <w:color w:val="000000"/>
          <w:sz w:val="20"/>
        </w:rPr>
        <w:t>the ATT</w:t>
      </w:r>
      <w:r w:rsidR="008D6572">
        <w:rPr>
          <w:rFonts w:ascii="Arial" w:hAnsi="Arial" w:cs="Arial"/>
          <w:color w:val="000000"/>
          <w:sz w:val="20"/>
        </w:rPr>
        <w:t>s</w:t>
      </w:r>
      <w:r>
        <w:rPr>
          <w:rFonts w:ascii="Arial" w:hAnsi="Arial" w:cs="Arial"/>
          <w:color w:val="000000"/>
          <w:sz w:val="20"/>
        </w:rPr>
        <w:t xml:space="preserve"> of each group at each time period, where a group is defined by the year when each site </w:t>
      </w:r>
      <w:r w:rsidR="009F4C85">
        <w:rPr>
          <w:rFonts w:ascii="Arial" w:hAnsi="Arial" w:cs="Arial"/>
          <w:color w:val="000000"/>
          <w:sz w:val="20"/>
        </w:rPr>
        <w:t xml:space="preserve">contains households </w:t>
      </w:r>
      <w:r>
        <w:rPr>
          <w:rFonts w:ascii="Arial" w:hAnsi="Arial" w:cs="Arial"/>
          <w:color w:val="000000"/>
          <w:sz w:val="20"/>
        </w:rPr>
        <w:t>is first enrolled in the program</w:t>
      </w:r>
      <w:r w:rsidR="00016E79">
        <w:rPr>
          <w:rFonts w:ascii="Arial" w:hAnsi="Arial" w:cs="Arial"/>
          <w:color w:val="000000"/>
          <w:sz w:val="20"/>
        </w:rPr>
        <w:t xml:space="preserve"> </w:t>
      </w:r>
      <w:r w:rsidR="00016E79">
        <w:rPr>
          <w:rFonts w:ascii="Arial" w:hAnsi="Arial" w:cs="Arial"/>
          <w:color w:val="000000"/>
          <w:sz w:val="20"/>
        </w:rPr>
        <w:fldChar w:fldCharType="begin"/>
      </w:r>
      <w:r w:rsidR="009E37C3">
        <w:rPr>
          <w:rFonts w:ascii="Arial" w:hAnsi="Arial" w:cs="Arial"/>
          <w:color w:val="000000"/>
          <w:sz w:val="20"/>
        </w:rPr>
        <w:instrText xml:space="preserve"> ADDIN ZOTERO_ITEM CSL_CITATION {"citationID":"sNxotpXq","properties":{"formattedCitation":"(2)","plainCitation":"(2)","noteIndex":0},"citationItems":[{"id":15527,"uris":["http://zotero.org/users/1252903/items/9UDXPC6M"],"itemData":{"id":15527,"type":"article-journal","abstract":"In this article, we consider identification, estimation, and inference procedures for treatment effect parameters using Difference-in-Differences (DiD) with (i) multiple time periods, (ii) variation in treatment timing, and (iii) when the “parallel trends assumption” holds potentially only after conditioning on observed covariates. We show that a family of causal effect parameters are identified in staggered DiD setups, even if differences in observed characteristics create non-parallel outcome dynamics between groups. Our identification results allow one to use outcome regression, inverse probability weighting, or doubly-robust estimands. We also propose different aggregation schemes that can be used to highlight treatment effect heterogeneity across different dimensions as well as to summarize the overall effect of participating in the treatment. We establish the asymptotic properties of the proposed estimators and prove the validity of a computationally convenient bootstrap procedure to conduct asymptotically valid simultaneous (instead of pointwise) inference. Finally, we illustrate the relevance of our proposed tools by analyzing the effect of the minimum wage on teen employment from 2001–2007. Open-source software is available for implementing the proposed methods.","container-title":"Journal of Econometrics","DOI":"10.1016/j.jeconom.2020.12.001","ISSN":"0304-4076","journalAbbreviation":"Journal of Econometrics","language":"en","source":"ScienceDirect","title":"Difference-in-Differences with multiple time periods","URL":"http://www.sciencedirect.com/science/article/pii/S0304407620303948","author":[{"family":"Callaway","given":"Brantly"},{"family":"Sant’Anna","given":"Pedro H. C."}],"accessed":{"date-parts":[["2020",12,18]]},"issued":{"date-parts":[["2020",12,17]]},"citation-key":"callawayDifferenceinDifferencesMultipleTime2020"}}],"schema":"https://github.com/citation-style-language/schema/raw/master/csl-citation.json"} </w:instrText>
      </w:r>
      <w:r w:rsidR="00016E79">
        <w:rPr>
          <w:rFonts w:ascii="Arial" w:hAnsi="Arial" w:cs="Arial"/>
          <w:color w:val="000000"/>
          <w:sz w:val="20"/>
        </w:rPr>
        <w:fldChar w:fldCharType="separate"/>
      </w:r>
      <w:r w:rsidR="009E37C3" w:rsidRPr="009E37C3">
        <w:rPr>
          <w:rFonts w:ascii="Arial" w:hAnsi="Arial" w:cs="Arial"/>
          <w:sz w:val="20"/>
        </w:rPr>
        <w:t>(2)</w:t>
      </w:r>
      <w:r w:rsidR="00016E79">
        <w:rPr>
          <w:rFonts w:ascii="Arial" w:hAnsi="Arial" w:cs="Arial"/>
          <w:color w:val="000000"/>
          <w:sz w:val="20"/>
        </w:rPr>
        <w:fldChar w:fldCharType="end"/>
      </w:r>
      <w:r>
        <w:rPr>
          <w:rFonts w:ascii="Arial" w:hAnsi="Arial" w:cs="Arial"/>
          <w:color w:val="000000"/>
          <w:sz w:val="20"/>
        </w:rPr>
        <w:t>.</w:t>
      </w:r>
      <w:r w:rsidR="00190FBC">
        <w:rPr>
          <w:rFonts w:ascii="Arial" w:hAnsi="Arial" w:cs="Arial"/>
          <w:color w:val="000000"/>
          <w:sz w:val="20"/>
        </w:rPr>
        <w:t xml:space="preserve"> The graph </w:t>
      </w:r>
      <w:r w:rsidR="00AA703B">
        <w:rPr>
          <w:rFonts w:ascii="Arial" w:hAnsi="Arial" w:cs="Arial"/>
          <w:color w:val="000000"/>
          <w:sz w:val="20"/>
        </w:rPr>
        <w:t>provides an overview of the heterogeneity of effects across groups and time-periods</w:t>
      </w:r>
      <w:r w:rsidR="00614A3D">
        <w:rPr>
          <w:rFonts w:ascii="Arial" w:hAnsi="Arial" w:cs="Arial"/>
          <w:color w:val="000000"/>
          <w:sz w:val="20"/>
        </w:rPr>
        <w:t xml:space="preserve"> (</w:t>
      </w:r>
      <w:r w:rsidR="005E44EE">
        <w:rPr>
          <w:rFonts w:ascii="Arial" w:hAnsi="Arial" w:cs="Arial"/>
          <w:color w:val="000000"/>
          <w:sz w:val="20"/>
        </w:rPr>
        <w:t>which in turn</w:t>
      </w:r>
      <w:r w:rsidR="0030376E">
        <w:rPr>
          <w:rFonts w:ascii="Arial" w:hAnsi="Arial" w:cs="Arial"/>
          <w:color w:val="000000"/>
          <w:sz w:val="20"/>
        </w:rPr>
        <w:t xml:space="preserve"> </w:t>
      </w:r>
      <w:r w:rsidR="005E44EE">
        <w:rPr>
          <w:rFonts w:ascii="Arial" w:hAnsi="Arial" w:cs="Arial"/>
          <w:color w:val="000000"/>
          <w:sz w:val="20"/>
        </w:rPr>
        <w:t>reflect differences in deforestation risk across groups and across years)</w:t>
      </w:r>
      <w:r w:rsidR="00ED3EC8">
        <w:rPr>
          <w:rFonts w:ascii="Arial" w:hAnsi="Arial" w:cs="Arial"/>
          <w:color w:val="000000"/>
          <w:sz w:val="20"/>
        </w:rPr>
        <w:t xml:space="preserve">, and we observe that most post-intervention </w:t>
      </w:r>
      <w:r w:rsidR="00810CD9">
        <w:rPr>
          <w:rFonts w:ascii="Arial" w:hAnsi="Arial" w:cs="Arial"/>
          <w:color w:val="000000"/>
          <w:sz w:val="20"/>
        </w:rPr>
        <w:t xml:space="preserve">group-time ATT are most often </w:t>
      </w:r>
      <w:r w:rsidR="00D46B27">
        <w:rPr>
          <w:rFonts w:ascii="Arial" w:hAnsi="Arial" w:cs="Arial"/>
          <w:color w:val="000000"/>
          <w:sz w:val="20"/>
        </w:rPr>
        <w:t>negative but quite close to zero</w:t>
      </w:r>
      <w:r w:rsidR="00D60C68">
        <w:rPr>
          <w:rFonts w:ascii="Arial" w:hAnsi="Arial" w:cs="Arial"/>
          <w:color w:val="000000"/>
          <w:sz w:val="20"/>
        </w:rPr>
        <w:t xml:space="preserve">, although there are most of the time </w:t>
      </w:r>
      <w:r w:rsidR="00E4454F">
        <w:rPr>
          <w:rFonts w:ascii="Arial" w:hAnsi="Arial" w:cs="Arial"/>
          <w:color w:val="000000"/>
          <w:sz w:val="20"/>
        </w:rPr>
        <w:t>statistically non-significant</w:t>
      </w:r>
      <w:r w:rsidR="00900574">
        <w:rPr>
          <w:rFonts w:ascii="Arial" w:hAnsi="Arial" w:cs="Arial"/>
          <w:color w:val="000000"/>
          <w:sz w:val="20"/>
        </w:rPr>
        <w:t>, e</w:t>
      </w:r>
      <w:r w:rsidR="00590294">
        <w:rPr>
          <w:rFonts w:ascii="Arial" w:hAnsi="Arial" w:cs="Arial"/>
          <w:color w:val="000000"/>
          <w:sz w:val="20"/>
        </w:rPr>
        <w:t>xcept for years 2015 to 2018 of the group enrolled since 2012</w:t>
      </w:r>
      <w:r w:rsidR="00D46B27">
        <w:rPr>
          <w:rFonts w:ascii="Arial" w:hAnsi="Arial" w:cs="Arial"/>
          <w:color w:val="000000"/>
          <w:sz w:val="20"/>
        </w:rPr>
        <w:t>.</w:t>
      </w:r>
      <w:r w:rsidR="00A37584">
        <w:rPr>
          <w:rFonts w:ascii="Arial" w:hAnsi="Arial" w:cs="Arial"/>
          <w:color w:val="000000"/>
          <w:sz w:val="20"/>
        </w:rPr>
        <w:t xml:space="preserve"> </w:t>
      </w:r>
    </w:p>
    <w:p w14:paraId="2FB404A2" w14:textId="7A34A073" w:rsidR="00756AC9" w:rsidRDefault="00756AC9" w:rsidP="00756AC9">
      <w:pPr>
        <w:rPr>
          <w:rFonts w:ascii="Arial" w:hAnsi="Arial" w:cs="Arial"/>
          <w:color w:val="000000"/>
          <w:sz w:val="20"/>
        </w:rPr>
      </w:pPr>
    </w:p>
    <w:p w14:paraId="4EA51E93" w14:textId="612B7625" w:rsidR="00615943" w:rsidRDefault="00615943" w:rsidP="00756AC9">
      <w:pPr>
        <w:rPr>
          <w:rFonts w:ascii="Arial" w:hAnsi="Arial" w:cs="Arial"/>
          <w:color w:val="000000"/>
          <w:sz w:val="20"/>
        </w:rPr>
      </w:pPr>
      <w:r>
        <w:rPr>
          <w:rFonts w:ascii="Arial" w:hAnsi="Arial" w:cs="Arial"/>
          <w:color w:val="000000"/>
          <w:sz w:val="20"/>
        </w:rPr>
        <w:t>G</w:t>
      </w:r>
      <w:r w:rsidR="00756AC9">
        <w:rPr>
          <w:rFonts w:ascii="Arial" w:hAnsi="Arial" w:cs="Arial"/>
          <w:color w:val="000000"/>
          <w:sz w:val="20"/>
        </w:rPr>
        <w:t>roup-time ATT</w:t>
      </w:r>
      <w:r>
        <w:rPr>
          <w:rFonts w:ascii="Arial" w:hAnsi="Arial" w:cs="Arial"/>
          <w:color w:val="000000"/>
          <w:sz w:val="20"/>
        </w:rPr>
        <w:t>s</w:t>
      </w:r>
      <w:r w:rsidR="00756AC9">
        <w:rPr>
          <w:rFonts w:ascii="Arial" w:hAnsi="Arial" w:cs="Arial"/>
          <w:color w:val="000000"/>
          <w:sz w:val="20"/>
        </w:rPr>
        <w:t xml:space="preserve"> can be aggregated into </w:t>
      </w:r>
      <w:r w:rsidR="00402AED">
        <w:rPr>
          <w:rFonts w:ascii="Arial" w:hAnsi="Arial" w:cs="Arial"/>
          <w:color w:val="000000"/>
          <w:sz w:val="20"/>
        </w:rPr>
        <w:t xml:space="preserve">several </w:t>
      </w:r>
      <w:r w:rsidR="00DB3E77">
        <w:rPr>
          <w:rFonts w:ascii="Arial" w:hAnsi="Arial" w:cs="Arial"/>
          <w:color w:val="000000"/>
          <w:sz w:val="20"/>
        </w:rPr>
        <w:t>more aggregated and interpretable treatment effects.</w:t>
      </w:r>
      <w:r w:rsidR="00BE58D6">
        <w:rPr>
          <w:rFonts w:ascii="Arial" w:hAnsi="Arial" w:cs="Arial"/>
          <w:color w:val="000000"/>
          <w:sz w:val="20"/>
        </w:rPr>
        <w:t xml:space="preserve"> Fig. S</w:t>
      </w:r>
      <w:r w:rsidR="00DA5063">
        <w:rPr>
          <w:rFonts w:ascii="Arial" w:hAnsi="Arial" w:cs="Arial"/>
          <w:color w:val="000000"/>
          <w:sz w:val="20"/>
        </w:rPr>
        <w:t>7</w:t>
      </w:r>
      <w:r w:rsidR="00BE58D6">
        <w:rPr>
          <w:rFonts w:ascii="Arial" w:hAnsi="Arial" w:cs="Arial"/>
          <w:color w:val="000000"/>
          <w:sz w:val="20"/>
        </w:rPr>
        <w:t xml:space="preserve"> corresponds to the event-study graph</w:t>
      </w:r>
      <w:r w:rsidR="008C7E18">
        <w:rPr>
          <w:rFonts w:ascii="Arial" w:hAnsi="Arial" w:cs="Arial"/>
          <w:color w:val="000000"/>
          <w:sz w:val="20"/>
        </w:rPr>
        <w:t xml:space="preserve"> for settlements in Amazonia</w:t>
      </w:r>
      <w:r w:rsidR="00BE58D6">
        <w:rPr>
          <w:rFonts w:ascii="Arial" w:hAnsi="Arial" w:cs="Arial"/>
          <w:color w:val="000000"/>
          <w:sz w:val="20"/>
        </w:rPr>
        <w:t xml:space="preserve">, </w:t>
      </w:r>
      <w:r w:rsidR="003573E9">
        <w:rPr>
          <w:rFonts w:ascii="Arial" w:hAnsi="Arial" w:cs="Arial"/>
          <w:color w:val="000000"/>
          <w:sz w:val="20"/>
        </w:rPr>
        <w:t>i.e.,</w:t>
      </w:r>
      <w:r w:rsidR="009E0AE3">
        <w:rPr>
          <w:rFonts w:ascii="Arial" w:hAnsi="Arial" w:cs="Arial"/>
          <w:color w:val="000000"/>
          <w:sz w:val="20"/>
        </w:rPr>
        <w:t xml:space="preserve"> an estimation of how the </w:t>
      </w:r>
      <w:r w:rsidR="002E7FB9">
        <w:rPr>
          <w:rFonts w:ascii="Arial" w:hAnsi="Arial" w:cs="Arial"/>
          <w:color w:val="000000"/>
          <w:sz w:val="20"/>
        </w:rPr>
        <w:t>impact of the program has varied as a function of the length of exposure to the program</w:t>
      </w:r>
      <w:r w:rsidR="009F4C85">
        <w:rPr>
          <w:rFonts w:ascii="Arial" w:hAnsi="Arial" w:cs="Arial"/>
          <w:color w:val="000000"/>
          <w:sz w:val="20"/>
        </w:rPr>
        <w:t xml:space="preserve">, again </w:t>
      </w:r>
      <w:r w:rsidR="003573E9">
        <w:rPr>
          <w:rFonts w:ascii="Arial" w:hAnsi="Arial" w:cs="Arial"/>
          <w:color w:val="000000"/>
          <w:sz w:val="20"/>
        </w:rPr>
        <w:t>considering</w:t>
      </w:r>
      <w:r w:rsidR="009F4C85">
        <w:rPr>
          <w:rFonts w:ascii="Arial" w:hAnsi="Arial" w:cs="Arial"/>
          <w:color w:val="000000"/>
          <w:sz w:val="20"/>
        </w:rPr>
        <w:t xml:space="preserve"> that not all groups have started enrollment on the same year</w:t>
      </w:r>
      <w:r w:rsidR="002E7FB9">
        <w:rPr>
          <w:rFonts w:ascii="Arial" w:hAnsi="Arial" w:cs="Arial"/>
          <w:color w:val="000000"/>
          <w:sz w:val="20"/>
        </w:rPr>
        <w:t>.</w:t>
      </w:r>
      <w:r w:rsidR="009F4C85">
        <w:rPr>
          <w:rFonts w:ascii="Arial" w:hAnsi="Arial" w:cs="Arial"/>
          <w:color w:val="000000"/>
          <w:sz w:val="20"/>
        </w:rPr>
        <w:t xml:space="preserve"> </w:t>
      </w:r>
      <w:r w:rsidR="00D50578">
        <w:rPr>
          <w:rFonts w:ascii="Arial" w:hAnsi="Arial" w:cs="Arial"/>
          <w:color w:val="000000"/>
          <w:sz w:val="20"/>
        </w:rPr>
        <w:t xml:space="preserve">We observe that </w:t>
      </w:r>
      <w:r w:rsidR="00403632">
        <w:rPr>
          <w:rFonts w:ascii="Arial" w:hAnsi="Arial" w:cs="Arial"/>
          <w:color w:val="000000"/>
          <w:sz w:val="20"/>
        </w:rPr>
        <w:t xml:space="preserve">effects are more clearly detected </w:t>
      </w:r>
      <w:r w:rsidR="00402AED">
        <w:rPr>
          <w:rFonts w:ascii="Arial" w:hAnsi="Arial" w:cs="Arial"/>
          <w:color w:val="000000"/>
          <w:sz w:val="20"/>
        </w:rPr>
        <w:t xml:space="preserve">between </w:t>
      </w:r>
      <w:r w:rsidR="00403632">
        <w:rPr>
          <w:rFonts w:ascii="Arial" w:hAnsi="Arial" w:cs="Arial"/>
          <w:color w:val="000000"/>
          <w:sz w:val="20"/>
        </w:rPr>
        <w:t xml:space="preserve">3 </w:t>
      </w:r>
      <w:r w:rsidR="002106FA">
        <w:rPr>
          <w:rFonts w:ascii="Arial" w:hAnsi="Arial" w:cs="Arial"/>
          <w:color w:val="000000"/>
          <w:sz w:val="20"/>
        </w:rPr>
        <w:t xml:space="preserve">and 5 </w:t>
      </w:r>
      <w:r w:rsidR="00403632">
        <w:rPr>
          <w:rFonts w:ascii="Arial" w:hAnsi="Arial" w:cs="Arial"/>
          <w:color w:val="000000"/>
          <w:sz w:val="20"/>
        </w:rPr>
        <w:t xml:space="preserve">years after the </w:t>
      </w:r>
      <w:r w:rsidR="00AC092A">
        <w:rPr>
          <w:rFonts w:ascii="Arial" w:hAnsi="Arial" w:cs="Arial"/>
          <w:color w:val="000000"/>
          <w:sz w:val="20"/>
        </w:rPr>
        <w:t>initial enrollment</w:t>
      </w:r>
      <w:r w:rsidR="00403632">
        <w:rPr>
          <w:rFonts w:ascii="Arial" w:hAnsi="Arial" w:cs="Arial"/>
          <w:color w:val="000000"/>
          <w:sz w:val="20"/>
        </w:rPr>
        <w:t xml:space="preserve"> </w:t>
      </w:r>
      <w:r w:rsidR="00AC092A">
        <w:rPr>
          <w:rFonts w:ascii="Arial" w:hAnsi="Arial" w:cs="Arial"/>
          <w:color w:val="000000"/>
          <w:sz w:val="20"/>
        </w:rPr>
        <w:t>in</w:t>
      </w:r>
      <w:r w:rsidR="00403632">
        <w:rPr>
          <w:rFonts w:ascii="Arial" w:hAnsi="Arial" w:cs="Arial"/>
          <w:color w:val="000000"/>
          <w:sz w:val="20"/>
        </w:rPr>
        <w:t xml:space="preserve"> the program</w:t>
      </w:r>
      <w:r w:rsidR="002106FA">
        <w:rPr>
          <w:rFonts w:ascii="Arial" w:hAnsi="Arial" w:cs="Arial"/>
          <w:color w:val="000000"/>
          <w:sz w:val="20"/>
        </w:rPr>
        <w:t xml:space="preserve">, and this can </w:t>
      </w:r>
      <w:r w:rsidR="002E2F59">
        <w:rPr>
          <w:rFonts w:ascii="Arial" w:hAnsi="Arial" w:cs="Arial"/>
          <w:color w:val="000000"/>
          <w:sz w:val="20"/>
        </w:rPr>
        <w:t xml:space="preserve">partially </w:t>
      </w:r>
      <w:r w:rsidR="002106FA">
        <w:rPr>
          <w:rFonts w:ascii="Arial" w:hAnsi="Arial" w:cs="Arial"/>
          <w:color w:val="000000"/>
          <w:sz w:val="20"/>
        </w:rPr>
        <w:t xml:space="preserve">reflect both </w:t>
      </w:r>
      <w:r w:rsidR="00F0511B">
        <w:rPr>
          <w:rFonts w:ascii="Arial" w:hAnsi="Arial" w:cs="Arial"/>
          <w:color w:val="000000"/>
          <w:sz w:val="20"/>
        </w:rPr>
        <w:t xml:space="preserve">group-effects as well as time-effects. </w:t>
      </w:r>
      <w:r w:rsidR="00471E21">
        <w:rPr>
          <w:rFonts w:ascii="Arial" w:hAnsi="Arial" w:cs="Arial"/>
          <w:color w:val="000000"/>
          <w:sz w:val="20"/>
        </w:rPr>
        <w:t xml:space="preserve">Event study graphs can also be used to visualize whether </w:t>
      </w:r>
      <w:r w:rsidR="00082DC1">
        <w:rPr>
          <w:rFonts w:ascii="Arial" w:hAnsi="Arial" w:cs="Arial"/>
          <w:color w:val="000000"/>
          <w:sz w:val="20"/>
        </w:rPr>
        <w:t xml:space="preserve">future enrolled and never-enrolled sites </w:t>
      </w:r>
      <w:r w:rsidR="00CD11C8">
        <w:rPr>
          <w:rFonts w:ascii="Arial" w:hAnsi="Arial" w:cs="Arial"/>
          <w:color w:val="000000"/>
          <w:sz w:val="20"/>
        </w:rPr>
        <w:t xml:space="preserve">had statistically different </w:t>
      </w:r>
      <w:r w:rsidR="0029559C">
        <w:rPr>
          <w:rFonts w:ascii="Arial" w:hAnsi="Arial" w:cs="Arial"/>
          <w:color w:val="000000"/>
          <w:sz w:val="20"/>
        </w:rPr>
        <w:t xml:space="preserve">tree cover loss in the years preceding the first enrollment in the program. </w:t>
      </w:r>
      <w:r w:rsidR="00EB01FF">
        <w:rPr>
          <w:rFonts w:ascii="Arial" w:hAnsi="Arial" w:cs="Arial"/>
          <w:color w:val="000000"/>
          <w:sz w:val="20"/>
        </w:rPr>
        <w:t xml:space="preserve">If we do detect </w:t>
      </w:r>
      <w:r w:rsidR="006147F7">
        <w:rPr>
          <w:rFonts w:ascii="Arial" w:hAnsi="Arial" w:cs="Arial"/>
          <w:color w:val="000000"/>
          <w:sz w:val="20"/>
        </w:rPr>
        <w:t xml:space="preserve">statistically </w:t>
      </w:r>
      <w:r w:rsidR="00EB01FF">
        <w:rPr>
          <w:rFonts w:ascii="Arial" w:hAnsi="Arial" w:cs="Arial"/>
          <w:color w:val="000000"/>
          <w:sz w:val="20"/>
        </w:rPr>
        <w:t>significant pre-program differences in outcomes,</w:t>
      </w:r>
      <w:r w:rsidR="006147F7">
        <w:rPr>
          <w:rFonts w:ascii="Arial" w:hAnsi="Arial" w:cs="Arial"/>
          <w:color w:val="000000"/>
          <w:sz w:val="20"/>
        </w:rPr>
        <w:t xml:space="preserve"> we can be more confident about the validity of </w:t>
      </w:r>
      <w:r w:rsidR="00B11B5F">
        <w:rPr>
          <w:rFonts w:ascii="Arial" w:hAnsi="Arial" w:cs="Arial"/>
          <w:color w:val="000000"/>
          <w:sz w:val="20"/>
        </w:rPr>
        <w:t>the interpretation of post-intervention differences as a treatment effect</w:t>
      </w:r>
      <w:r w:rsidR="002E2F59">
        <w:rPr>
          <w:rFonts w:ascii="Arial" w:hAnsi="Arial" w:cs="Arial"/>
          <w:color w:val="000000"/>
          <w:sz w:val="20"/>
        </w:rPr>
        <w:t xml:space="preserve"> (</w:t>
      </w:r>
      <w:r w:rsidR="001B02E5">
        <w:rPr>
          <w:rFonts w:ascii="Arial" w:hAnsi="Arial" w:cs="Arial"/>
          <w:color w:val="000000"/>
          <w:sz w:val="20"/>
        </w:rPr>
        <w:t xml:space="preserve">although it does not constitute a sufficient condition to confirm the validity of the </w:t>
      </w:r>
      <w:r w:rsidR="006A4B70">
        <w:rPr>
          <w:rFonts w:ascii="Arial" w:hAnsi="Arial" w:cs="Arial"/>
          <w:color w:val="000000"/>
          <w:sz w:val="20"/>
        </w:rPr>
        <w:t xml:space="preserve">untestable </w:t>
      </w:r>
      <w:r w:rsidR="001B02E5">
        <w:rPr>
          <w:rFonts w:ascii="Arial" w:hAnsi="Arial" w:cs="Arial"/>
          <w:color w:val="000000"/>
          <w:sz w:val="20"/>
        </w:rPr>
        <w:t>Parallel Trend Assumption</w:t>
      </w:r>
      <w:r w:rsidR="002E2F59">
        <w:rPr>
          <w:rFonts w:ascii="Arial" w:hAnsi="Arial" w:cs="Arial"/>
          <w:color w:val="000000"/>
          <w:sz w:val="20"/>
        </w:rPr>
        <w:t>)</w:t>
      </w:r>
      <w:r w:rsidR="001B02E5">
        <w:rPr>
          <w:rFonts w:ascii="Arial" w:hAnsi="Arial" w:cs="Arial"/>
          <w:color w:val="000000"/>
          <w:sz w:val="20"/>
        </w:rPr>
        <w:t xml:space="preserve">. </w:t>
      </w:r>
      <w:r w:rsidR="0029559C" w:rsidRPr="006D29B2">
        <w:rPr>
          <w:rFonts w:ascii="Arial" w:hAnsi="Arial" w:cs="Arial"/>
          <w:color w:val="000000"/>
          <w:sz w:val="20"/>
        </w:rPr>
        <w:t>Fig. S9 to S1</w:t>
      </w:r>
      <w:r w:rsidR="006F0322" w:rsidRPr="006D29B2">
        <w:rPr>
          <w:rFonts w:ascii="Arial" w:hAnsi="Arial" w:cs="Arial"/>
          <w:color w:val="000000"/>
          <w:sz w:val="20"/>
        </w:rPr>
        <w:t>1</w:t>
      </w:r>
      <w:r w:rsidR="000B5809">
        <w:rPr>
          <w:rFonts w:ascii="Arial" w:hAnsi="Arial" w:cs="Arial"/>
          <w:color w:val="000000"/>
          <w:sz w:val="20"/>
        </w:rPr>
        <w:t>, and S17 to S18</w:t>
      </w:r>
      <w:r w:rsidR="0029559C">
        <w:rPr>
          <w:rFonts w:ascii="Arial" w:hAnsi="Arial" w:cs="Arial"/>
          <w:color w:val="000000"/>
          <w:sz w:val="20"/>
        </w:rPr>
        <w:t xml:space="preserve"> also show the event-study graph</w:t>
      </w:r>
      <w:r w:rsidR="000549DD">
        <w:rPr>
          <w:rFonts w:ascii="Arial" w:hAnsi="Arial" w:cs="Arial"/>
          <w:color w:val="000000"/>
          <w:sz w:val="20"/>
        </w:rPr>
        <w:t xml:space="preserve">s </w:t>
      </w:r>
      <w:r w:rsidR="003573E9">
        <w:rPr>
          <w:rFonts w:ascii="Arial" w:hAnsi="Arial" w:cs="Arial"/>
          <w:color w:val="000000"/>
          <w:sz w:val="20"/>
        </w:rPr>
        <w:t>for the other regions of our analysis</w:t>
      </w:r>
      <w:r w:rsidR="000B5809">
        <w:rPr>
          <w:rFonts w:ascii="Arial" w:hAnsi="Arial" w:cs="Arial"/>
          <w:color w:val="000000"/>
          <w:sz w:val="20"/>
        </w:rPr>
        <w:t xml:space="preserve"> (</w:t>
      </w:r>
      <w:r w:rsidR="00654F88">
        <w:rPr>
          <w:rFonts w:ascii="Arial" w:hAnsi="Arial" w:cs="Arial"/>
          <w:color w:val="000000"/>
          <w:sz w:val="20"/>
        </w:rPr>
        <w:t>and</w:t>
      </w:r>
      <w:r w:rsidR="001818E1">
        <w:rPr>
          <w:rFonts w:ascii="Arial" w:hAnsi="Arial" w:cs="Arial"/>
          <w:color w:val="000000"/>
          <w:sz w:val="20"/>
        </w:rPr>
        <w:t xml:space="preserve"> at program scale, respectively for settlements and for protected areas</w:t>
      </w:r>
      <w:r w:rsidR="004E4FC1">
        <w:rPr>
          <w:rFonts w:ascii="Arial" w:hAnsi="Arial" w:cs="Arial"/>
          <w:color w:val="000000"/>
          <w:sz w:val="20"/>
        </w:rPr>
        <w:t>)</w:t>
      </w:r>
      <w:r w:rsidR="00E31FD2">
        <w:rPr>
          <w:rFonts w:ascii="Arial" w:hAnsi="Arial" w:cs="Arial"/>
          <w:color w:val="000000"/>
          <w:sz w:val="20"/>
        </w:rPr>
        <w:t xml:space="preserve">, and they are consistent with </w:t>
      </w:r>
      <w:r w:rsidR="006A4B70">
        <w:rPr>
          <w:rFonts w:ascii="Arial" w:hAnsi="Arial" w:cs="Arial"/>
          <w:color w:val="000000"/>
          <w:sz w:val="20"/>
        </w:rPr>
        <w:t xml:space="preserve">the absence of detected effect </w:t>
      </w:r>
      <w:r w:rsidR="00DB61FB">
        <w:rPr>
          <w:rFonts w:ascii="Arial" w:hAnsi="Arial" w:cs="Arial"/>
          <w:color w:val="000000"/>
          <w:sz w:val="20"/>
        </w:rPr>
        <w:t>explained in the main text.</w:t>
      </w:r>
      <w:r w:rsidR="00307AC6">
        <w:rPr>
          <w:rFonts w:ascii="Arial" w:hAnsi="Arial" w:cs="Arial"/>
          <w:color w:val="000000"/>
          <w:sz w:val="20"/>
        </w:rPr>
        <w:t xml:space="preserve"> </w:t>
      </w:r>
    </w:p>
    <w:p w14:paraId="29166291" w14:textId="77777777" w:rsidR="004D2DDA" w:rsidRDefault="004D2DDA" w:rsidP="00756AC9">
      <w:pPr>
        <w:rPr>
          <w:rFonts w:ascii="Arial" w:hAnsi="Arial" w:cs="Arial"/>
          <w:color w:val="000000"/>
          <w:sz w:val="20"/>
        </w:rPr>
      </w:pPr>
    </w:p>
    <w:p w14:paraId="49C8CECD" w14:textId="6800A377" w:rsidR="004D2DDA" w:rsidRDefault="004D2DDA" w:rsidP="00756AC9">
      <w:pPr>
        <w:rPr>
          <w:rFonts w:ascii="Arial" w:hAnsi="Arial" w:cs="Arial"/>
          <w:color w:val="000000"/>
          <w:sz w:val="20"/>
        </w:rPr>
      </w:pPr>
      <w:r>
        <w:rPr>
          <w:rFonts w:ascii="Arial" w:hAnsi="Arial" w:cs="Arial"/>
          <w:color w:val="000000"/>
          <w:sz w:val="20"/>
        </w:rPr>
        <w:t xml:space="preserve">Another </w:t>
      </w:r>
      <w:r w:rsidR="00B569CB">
        <w:rPr>
          <w:rFonts w:ascii="Arial" w:hAnsi="Arial" w:cs="Arial"/>
          <w:color w:val="000000"/>
          <w:sz w:val="20"/>
        </w:rPr>
        <w:t xml:space="preserve">aggregated treatment effect of interest is the </w:t>
      </w:r>
      <w:r w:rsidR="00754D4B">
        <w:rPr>
          <w:rFonts w:ascii="Arial" w:hAnsi="Arial" w:cs="Arial"/>
          <w:color w:val="000000"/>
          <w:sz w:val="20"/>
        </w:rPr>
        <w:t>group-specific treatment effect</w:t>
      </w:r>
      <w:r w:rsidR="00C1226A">
        <w:rPr>
          <w:rFonts w:ascii="Arial" w:hAnsi="Arial" w:cs="Arial"/>
          <w:color w:val="000000"/>
          <w:sz w:val="20"/>
        </w:rPr>
        <w:t>s</w:t>
      </w:r>
      <w:r w:rsidR="000D326D">
        <w:rPr>
          <w:rFonts w:ascii="Arial" w:hAnsi="Arial" w:cs="Arial"/>
          <w:color w:val="000000"/>
          <w:sz w:val="20"/>
        </w:rPr>
        <w:t xml:space="preserve"> </w:t>
      </w:r>
      <w:r w:rsidR="005A08A8">
        <w:rPr>
          <w:rFonts w:ascii="Arial" w:hAnsi="Arial" w:cs="Arial"/>
          <w:color w:val="000000"/>
          <w:sz w:val="20"/>
        </w:rPr>
        <w:t xml:space="preserve">in </w:t>
      </w:r>
      <w:r w:rsidR="00382AAB">
        <w:rPr>
          <w:rFonts w:ascii="Arial" w:hAnsi="Arial" w:cs="Arial"/>
          <w:color w:val="000000"/>
          <w:sz w:val="20"/>
        </w:rPr>
        <w:t xml:space="preserve">enrolled settlements of Amazonia </w:t>
      </w:r>
      <w:r w:rsidR="000D326D">
        <w:rPr>
          <w:rFonts w:ascii="Arial" w:hAnsi="Arial" w:cs="Arial"/>
          <w:color w:val="000000"/>
          <w:sz w:val="20"/>
        </w:rPr>
        <w:t>(Fig. S</w:t>
      </w:r>
      <w:r w:rsidR="00DA5063">
        <w:rPr>
          <w:rFonts w:ascii="Arial" w:hAnsi="Arial" w:cs="Arial"/>
          <w:color w:val="000000"/>
          <w:sz w:val="20"/>
        </w:rPr>
        <w:t>8</w:t>
      </w:r>
      <w:r w:rsidR="000D326D">
        <w:rPr>
          <w:rFonts w:ascii="Arial" w:hAnsi="Arial" w:cs="Arial"/>
          <w:color w:val="000000"/>
          <w:sz w:val="20"/>
        </w:rPr>
        <w:t>), i.e., how do treatment effects vary across groups,</w:t>
      </w:r>
      <w:r w:rsidR="000D326D" w:rsidRPr="000D326D">
        <w:rPr>
          <w:rFonts w:ascii="Arial" w:hAnsi="Arial" w:cs="Arial"/>
          <w:color w:val="000000"/>
          <w:sz w:val="20"/>
        </w:rPr>
        <w:t xml:space="preserve"> </w:t>
      </w:r>
      <w:r w:rsidR="000D326D">
        <w:rPr>
          <w:rFonts w:ascii="Arial" w:hAnsi="Arial" w:cs="Arial"/>
          <w:color w:val="000000"/>
          <w:sz w:val="20"/>
        </w:rPr>
        <w:t>where a group is defined by the year when each site contains households is first enrolled in the program</w:t>
      </w:r>
      <w:r w:rsidR="00CE1CD4">
        <w:rPr>
          <w:rFonts w:ascii="Arial" w:hAnsi="Arial" w:cs="Arial"/>
          <w:color w:val="000000"/>
          <w:sz w:val="20"/>
        </w:rPr>
        <w:t>.</w:t>
      </w:r>
      <w:r w:rsidR="00C1226A">
        <w:rPr>
          <w:rFonts w:ascii="Arial" w:hAnsi="Arial" w:cs="Arial"/>
          <w:color w:val="000000"/>
          <w:sz w:val="20"/>
        </w:rPr>
        <w:t xml:space="preserve"> These treatment effects provide information about the heterogeneity </w:t>
      </w:r>
      <w:r w:rsidR="00374871">
        <w:rPr>
          <w:rFonts w:ascii="Arial" w:hAnsi="Arial" w:cs="Arial"/>
          <w:color w:val="000000"/>
          <w:sz w:val="20"/>
        </w:rPr>
        <w:t xml:space="preserve">of effects across groups, notably when </w:t>
      </w:r>
      <w:r w:rsidR="0088608F">
        <w:rPr>
          <w:rFonts w:ascii="Arial" w:hAnsi="Arial" w:cs="Arial"/>
          <w:color w:val="000000"/>
          <w:sz w:val="20"/>
        </w:rPr>
        <w:t xml:space="preserve">the average characteristics of </w:t>
      </w:r>
      <w:r w:rsidR="0047555A">
        <w:rPr>
          <w:rFonts w:ascii="Arial" w:hAnsi="Arial" w:cs="Arial"/>
          <w:color w:val="000000"/>
          <w:sz w:val="20"/>
        </w:rPr>
        <w:t>each group vary from one group to another.</w:t>
      </w:r>
      <w:r w:rsidR="00535714">
        <w:rPr>
          <w:rFonts w:ascii="Arial" w:hAnsi="Arial" w:cs="Arial"/>
          <w:color w:val="000000"/>
          <w:sz w:val="20"/>
        </w:rPr>
        <w:t xml:space="preserve"> We note that </w:t>
      </w:r>
      <w:r w:rsidR="008B4484">
        <w:rPr>
          <w:rFonts w:ascii="Arial" w:hAnsi="Arial" w:cs="Arial"/>
          <w:color w:val="000000"/>
          <w:sz w:val="20"/>
        </w:rPr>
        <w:t>all</w:t>
      </w:r>
      <w:r w:rsidR="009559C0">
        <w:rPr>
          <w:rFonts w:ascii="Arial" w:hAnsi="Arial" w:cs="Arial"/>
          <w:color w:val="000000"/>
          <w:sz w:val="20"/>
        </w:rPr>
        <w:t xml:space="preserve"> group-specific effects are negative. We also note the much wider </w:t>
      </w:r>
      <w:r w:rsidR="000A5C4F">
        <w:rPr>
          <w:rFonts w:ascii="Arial" w:hAnsi="Arial" w:cs="Arial"/>
          <w:color w:val="000000"/>
          <w:sz w:val="20"/>
        </w:rPr>
        <w:t xml:space="preserve">confidence interval for the group 2013, probably reflecting </w:t>
      </w:r>
      <w:r w:rsidR="00784D3A">
        <w:rPr>
          <w:rFonts w:ascii="Arial" w:hAnsi="Arial" w:cs="Arial"/>
          <w:color w:val="000000"/>
          <w:sz w:val="20"/>
        </w:rPr>
        <w:t>more heterogeneity in the characteris</w:t>
      </w:r>
      <w:r w:rsidR="006E1845">
        <w:rPr>
          <w:rFonts w:ascii="Arial" w:hAnsi="Arial" w:cs="Arial"/>
          <w:color w:val="000000"/>
          <w:sz w:val="20"/>
        </w:rPr>
        <w:t xml:space="preserve">tics of the sites in this group, which may be explained by the fact that the program </w:t>
      </w:r>
      <w:r w:rsidR="004961BE">
        <w:rPr>
          <w:rFonts w:ascii="Arial" w:hAnsi="Arial" w:cs="Arial"/>
          <w:color w:val="000000"/>
          <w:sz w:val="20"/>
        </w:rPr>
        <w:t>starts</w:t>
      </w:r>
      <w:r w:rsidR="00D22CA1">
        <w:rPr>
          <w:rFonts w:ascii="Arial" w:hAnsi="Arial" w:cs="Arial"/>
          <w:color w:val="000000"/>
          <w:sz w:val="20"/>
        </w:rPr>
        <w:t xml:space="preserve"> enrolling considerably more households </w:t>
      </w:r>
      <w:r w:rsidR="00796A69">
        <w:rPr>
          <w:rFonts w:ascii="Arial" w:hAnsi="Arial" w:cs="Arial"/>
          <w:color w:val="000000"/>
          <w:sz w:val="20"/>
        </w:rPr>
        <w:t xml:space="preserve">in 2013, and </w:t>
      </w:r>
      <w:r w:rsidR="00A46094">
        <w:rPr>
          <w:rFonts w:ascii="Arial" w:hAnsi="Arial" w:cs="Arial"/>
          <w:color w:val="000000"/>
          <w:sz w:val="20"/>
        </w:rPr>
        <w:t>not all of them may have bee</w:t>
      </w:r>
      <w:r w:rsidR="00D60C68">
        <w:rPr>
          <w:rFonts w:ascii="Arial" w:hAnsi="Arial" w:cs="Arial"/>
          <w:color w:val="000000"/>
          <w:sz w:val="20"/>
        </w:rPr>
        <w:t>n</w:t>
      </w:r>
      <w:r w:rsidR="00A46094">
        <w:rPr>
          <w:rFonts w:ascii="Arial" w:hAnsi="Arial" w:cs="Arial"/>
          <w:color w:val="000000"/>
          <w:sz w:val="20"/>
        </w:rPr>
        <w:t xml:space="preserve"> located in sites with high avoided deforestation potential.</w:t>
      </w:r>
      <w:r w:rsidR="004923E3">
        <w:rPr>
          <w:rFonts w:ascii="Arial" w:hAnsi="Arial" w:cs="Arial"/>
          <w:color w:val="000000"/>
          <w:sz w:val="20"/>
        </w:rPr>
        <w:t xml:space="preserve"> We finally note that </w:t>
      </w:r>
      <w:r w:rsidR="00E4454F">
        <w:rPr>
          <w:rFonts w:ascii="Arial" w:hAnsi="Arial" w:cs="Arial"/>
          <w:color w:val="000000"/>
          <w:sz w:val="20"/>
        </w:rPr>
        <w:t xml:space="preserve">the group </w:t>
      </w:r>
      <w:r w:rsidR="00967384">
        <w:rPr>
          <w:rFonts w:ascii="Arial" w:hAnsi="Arial" w:cs="Arial"/>
          <w:color w:val="000000"/>
          <w:sz w:val="20"/>
        </w:rPr>
        <w:t>2012</w:t>
      </w:r>
      <w:r w:rsidR="00E50361">
        <w:rPr>
          <w:rFonts w:ascii="Arial" w:hAnsi="Arial" w:cs="Arial"/>
          <w:color w:val="000000"/>
          <w:sz w:val="20"/>
        </w:rPr>
        <w:t>, when BV start</w:t>
      </w:r>
      <w:r w:rsidR="00907ED9">
        <w:rPr>
          <w:rFonts w:ascii="Arial" w:hAnsi="Arial" w:cs="Arial"/>
          <w:color w:val="000000"/>
          <w:sz w:val="20"/>
        </w:rPr>
        <w:t>ed</w:t>
      </w:r>
      <w:r w:rsidR="00E50361">
        <w:rPr>
          <w:rFonts w:ascii="Arial" w:hAnsi="Arial" w:cs="Arial"/>
          <w:color w:val="000000"/>
          <w:sz w:val="20"/>
        </w:rPr>
        <w:t xml:space="preserve"> </w:t>
      </w:r>
      <w:r w:rsidR="00907ED9">
        <w:rPr>
          <w:rFonts w:ascii="Arial" w:hAnsi="Arial" w:cs="Arial"/>
          <w:color w:val="000000"/>
          <w:sz w:val="20"/>
        </w:rPr>
        <w:t>expanding</w:t>
      </w:r>
      <w:r w:rsidR="00C478F0">
        <w:rPr>
          <w:rFonts w:ascii="Arial" w:hAnsi="Arial" w:cs="Arial"/>
          <w:color w:val="000000"/>
          <w:sz w:val="20"/>
        </w:rPr>
        <w:t>,</w:t>
      </w:r>
      <w:r w:rsidR="00907ED9">
        <w:rPr>
          <w:rFonts w:ascii="Arial" w:hAnsi="Arial" w:cs="Arial"/>
          <w:color w:val="000000"/>
          <w:sz w:val="20"/>
        </w:rPr>
        <w:t xml:space="preserve"> is</w:t>
      </w:r>
      <w:r w:rsidR="00967384">
        <w:rPr>
          <w:rFonts w:ascii="Arial" w:hAnsi="Arial" w:cs="Arial"/>
          <w:color w:val="000000"/>
          <w:sz w:val="20"/>
        </w:rPr>
        <w:t xml:space="preserve"> negative and statistically significant, suggesting that this cohort </w:t>
      </w:r>
      <w:r w:rsidR="00E0451F">
        <w:rPr>
          <w:rFonts w:ascii="Arial" w:hAnsi="Arial" w:cs="Arial"/>
          <w:color w:val="000000"/>
          <w:sz w:val="20"/>
        </w:rPr>
        <w:t>may have been a key contributor for the overall impact of the program</w:t>
      </w:r>
      <w:r w:rsidR="00C478F0">
        <w:rPr>
          <w:rFonts w:ascii="Arial" w:hAnsi="Arial" w:cs="Arial"/>
          <w:color w:val="000000"/>
          <w:sz w:val="20"/>
        </w:rPr>
        <w:t>.</w:t>
      </w:r>
    </w:p>
    <w:p w14:paraId="30128D1F" w14:textId="52BC9DBA" w:rsidR="008302D9" w:rsidRDefault="008302D9" w:rsidP="00756AC9">
      <w:pPr>
        <w:rPr>
          <w:rFonts w:ascii="Arial" w:hAnsi="Arial" w:cs="Arial"/>
          <w:color w:val="000000"/>
          <w:sz w:val="20"/>
        </w:rPr>
      </w:pPr>
    </w:p>
    <w:p w14:paraId="28FBBCA4" w14:textId="75174FF5" w:rsidR="008302D9" w:rsidRDefault="008302D9" w:rsidP="00756AC9">
      <w:pPr>
        <w:rPr>
          <w:rFonts w:ascii="Arial" w:hAnsi="Arial" w:cs="Arial"/>
          <w:color w:val="000000"/>
          <w:sz w:val="20"/>
        </w:rPr>
      </w:pPr>
      <w:r>
        <w:rPr>
          <w:rFonts w:ascii="Arial" w:hAnsi="Arial" w:cs="Arial"/>
          <w:color w:val="000000"/>
          <w:sz w:val="20"/>
        </w:rPr>
        <w:t xml:space="preserve">Finally, </w:t>
      </w:r>
      <w:r w:rsidR="00FA0B0C">
        <w:rPr>
          <w:rFonts w:ascii="Arial" w:hAnsi="Arial" w:cs="Arial"/>
          <w:color w:val="000000"/>
          <w:sz w:val="20"/>
        </w:rPr>
        <w:t>calendar time treatment effects</w:t>
      </w:r>
      <w:r w:rsidR="00EA1C98">
        <w:rPr>
          <w:rFonts w:ascii="Arial" w:hAnsi="Arial" w:cs="Arial"/>
          <w:color w:val="000000"/>
          <w:sz w:val="20"/>
        </w:rPr>
        <w:t xml:space="preserve"> (Fig. S</w:t>
      </w:r>
      <w:r w:rsidR="00C478F0">
        <w:rPr>
          <w:rFonts w:ascii="Arial" w:hAnsi="Arial" w:cs="Arial"/>
          <w:color w:val="000000"/>
          <w:sz w:val="20"/>
        </w:rPr>
        <w:t>10</w:t>
      </w:r>
      <w:r w:rsidR="00EA1C98">
        <w:rPr>
          <w:rFonts w:ascii="Arial" w:hAnsi="Arial" w:cs="Arial"/>
          <w:color w:val="000000"/>
          <w:sz w:val="20"/>
        </w:rPr>
        <w:t>)</w:t>
      </w:r>
      <w:r w:rsidR="00FA0B0C">
        <w:rPr>
          <w:rFonts w:ascii="Arial" w:hAnsi="Arial" w:cs="Arial"/>
          <w:color w:val="000000"/>
          <w:sz w:val="20"/>
        </w:rPr>
        <w:t xml:space="preserve"> </w:t>
      </w:r>
      <w:r w:rsidR="00EA1C98">
        <w:rPr>
          <w:rFonts w:ascii="Arial" w:hAnsi="Arial" w:cs="Arial"/>
          <w:color w:val="000000"/>
          <w:sz w:val="20"/>
        </w:rPr>
        <w:t>correspond</w:t>
      </w:r>
      <w:r w:rsidR="00FA0B0C">
        <w:rPr>
          <w:rFonts w:ascii="Arial" w:hAnsi="Arial" w:cs="Arial"/>
          <w:color w:val="000000"/>
          <w:sz w:val="20"/>
        </w:rPr>
        <w:t xml:space="preserve"> to the effects at each post-intervention calendar year</w:t>
      </w:r>
      <w:r w:rsidR="00EA1C98">
        <w:rPr>
          <w:rFonts w:ascii="Arial" w:hAnsi="Arial" w:cs="Arial"/>
          <w:color w:val="000000"/>
          <w:sz w:val="20"/>
        </w:rPr>
        <w:t xml:space="preserve">, again </w:t>
      </w:r>
      <w:r w:rsidR="00105D0A">
        <w:rPr>
          <w:rFonts w:ascii="Arial" w:hAnsi="Arial" w:cs="Arial"/>
          <w:color w:val="000000"/>
          <w:sz w:val="20"/>
        </w:rPr>
        <w:t>considering</w:t>
      </w:r>
      <w:r w:rsidR="00EA1C98">
        <w:rPr>
          <w:rFonts w:ascii="Arial" w:hAnsi="Arial" w:cs="Arial"/>
          <w:color w:val="000000"/>
          <w:sz w:val="20"/>
        </w:rPr>
        <w:t xml:space="preserve"> the staggered enrollment into the program.</w:t>
      </w:r>
      <w:r w:rsidR="00374D7A">
        <w:rPr>
          <w:rFonts w:ascii="Arial" w:hAnsi="Arial" w:cs="Arial"/>
          <w:color w:val="000000"/>
          <w:sz w:val="20"/>
        </w:rPr>
        <w:t xml:space="preserve"> </w:t>
      </w:r>
      <w:r w:rsidR="006A4882">
        <w:rPr>
          <w:rFonts w:ascii="Arial" w:hAnsi="Arial" w:cs="Arial"/>
          <w:color w:val="000000"/>
          <w:sz w:val="20"/>
        </w:rPr>
        <w:t>Effects are clearly detectable on the years 2015 and following</w:t>
      </w:r>
      <w:r w:rsidR="00C70C16">
        <w:rPr>
          <w:rFonts w:ascii="Arial" w:hAnsi="Arial" w:cs="Arial"/>
          <w:color w:val="000000"/>
          <w:sz w:val="20"/>
        </w:rPr>
        <w:t xml:space="preserve"> years. </w:t>
      </w:r>
      <w:r w:rsidR="008F77D1">
        <w:rPr>
          <w:rFonts w:ascii="Arial" w:hAnsi="Arial" w:cs="Arial"/>
          <w:color w:val="000000"/>
          <w:sz w:val="20"/>
        </w:rPr>
        <w:t xml:space="preserve">We observe that </w:t>
      </w:r>
      <w:r w:rsidR="00586B0B">
        <w:rPr>
          <w:rFonts w:ascii="Arial" w:hAnsi="Arial" w:cs="Arial"/>
          <w:color w:val="000000"/>
          <w:sz w:val="20"/>
        </w:rPr>
        <w:t xml:space="preserve">the effect in calendar year 202 is positive but not statistically significant. </w:t>
      </w:r>
      <w:r w:rsidR="00374D7A">
        <w:rPr>
          <w:rFonts w:ascii="Arial" w:hAnsi="Arial" w:cs="Arial"/>
          <w:color w:val="000000"/>
          <w:sz w:val="20"/>
        </w:rPr>
        <w:t xml:space="preserve">Note that </w:t>
      </w:r>
      <w:r w:rsidR="00311727">
        <w:rPr>
          <w:rFonts w:ascii="Arial" w:hAnsi="Arial" w:cs="Arial"/>
          <w:color w:val="000000"/>
          <w:sz w:val="20"/>
        </w:rPr>
        <w:t xml:space="preserve">in </w:t>
      </w:r>
      <w:r w:rsidR="007D777F">
        <w:rPr>
          <w:rFonts w:ascii="Arial" w:hAnsi="Arial" w:cs="Arial"/>
          <w:color w:val="000000"/>
          <w:sz w:val="20"/>
        </w:rPr>
        <w:t xml:space="preserve">Table 1 of </w:t>
      </w:r>
      <w:r w:rsidR="00311727">
        <w:rPr>
          <w:rFonts w:ascii="Arial" w:hAnsi="Arial" w:cs="Arial"/>
          <w:color w:val="000000"/>
          <w:sz w:val="20"/>
        </w:rPr>
        <w:t xml:space="preserve">the main manuscript, our main </w:t>
      </w:r>
      <w:r w:rsidR="00190FBC">
        <w:rPr>
          <w:rFonts w:ascii="Arial" w:hAnsi="Arial" w:cs="Arial"/>
          <w:color w:val="000000"/>
          <w:sz w:val="20"/>
        </w:rPr>
        <w:t>estimate</w:t>
      </w:r>
      <w:r w:rsidR="00311727">
        <w:rPr>
          <w:rFonts w:ascii="Arial" w:hAnsi="Arial" w:cs="Arial"/>
          <w:color w:val="000000"/>
          <w:sz w:val="20"/>
        </w:rPr>
        <w:t xml:space="preserve"> is the cumulative ATT, that is the sum</w:t>
      </w:r>
      <w:r w:rsidR="0070260C">
        <w:rPr>
          <w:rFonts w:ascii="Arial" w:hAnsi="Arial" w:cs="Arial"/>
          <w:color w:val="000000"/>
          <w:sz w:val="20"/>
        </w:rPr>
        <w:t xml:space="preserve"> of all calendar time effects </w:t>
      </w:r>
      <w:r w:rsidR="0042003E">
        <w:rPr>
          <w:rFonts w:ascii="Arial" w:hAnsi="Arial" w:cs="Arial"/>
          <w:color w:val="000000"/>
          <w:sz w:val="20"/>
        </w:rPr>
        <w:t>between 2011 and 2012</w:t>
      </w:r>
      <w:r w:rsidR="00D55AAC">
        <w:rPr>
          <w:rFonts w:ascii="Arial" w:hAnsi="Arial" w:cs="Arial"/>
          <w:color w:val="000000"/>
          <w:sz w:val="20"/>
        </w:rPr>
        <w:t xml:space="preserve">, which can be interpreted as the accumulated avoided tree cover loss </w:t>
      </w:r>
      <w:r w:rsidR="00433576">
        <w:rPr>
          <w:rFonts w:ascii="Arial" w:hAnsi="Arial" w:cs="Arial"/>
          <w:color w:val="000000"/>
          <w:sz w:val="20"/>
        </w:rPr>
        <w:t>across the duration of the program, expressed in % of forest cover in 2000</w:t>
      </w:r>
      <w:r w:rsidR="0070260C">
        <w:rPr>
          <w:rFonts w:ascii="Arial" w:hAnsi="Arial" w:cs="Arial"/>
          <w:color w:val="000000"/>
          <w:sz w:val="20"/>
        </w:rPr>
        <w:t>.</w:t>
      </w:r>
    </w:p>
    <w:p w14:paraId="1A636ACF" w14:textId="77777777" w:rsidR="00C478F0" w:rsidRDefault="00C478F0" w:rsidP="00756AC9">
      <w:pPr>
        <w:rPr>
          <w:rFonts w:ascii="Arial" w:hAnsi="Arial" w:cs="Arial"/>
          <w:color w:val="000000"/>
          <w:sz w:val="20"/>
        </w:rPr>
      </w:pPr>
    </w:p>
    <w:p w14:paraId="12B4AB19" w14:textId="509F4E65" w:rsidR="008622DF" w:rsidRDefault="009116C0" w:rsidP="00820484">
      <w:pPr>
        <w:pStyle w:val="SMSubheading"/>
        <w:rPr>
          <w:rFonts w:ascii="Arial" w:hAnsi="Arial" w:cs="Arial"/>
          <w:sz w:val="20"/>
          <w:u w:val="none"/>
        </w:rPr>
      </w:pPr>
      <w:r w:rsidRPr="005024A7">
        <w:rPr>
          <w:rFonts w:ascii="Arial" w:hAnsi="Arial" w:cs="Arial"/>
          <w:b/>
          <w:sz w:val="20"/>
          <w:u w:val="none"/>
        </w:rPr>
        <w:t xml:space="preserve">Specification </w:t>
      </w:r>
      <w:r w:rsidRPr="004E4FC1">
        <w:rPr>
          <w:rFonts w:ascii="Arial" w:hAnsi="Arial" w:cs="Arial"/>
          <w:b/>
          <w:sz w:val="20"/>
          <w:u w:val="none"/>
        </w:rPr>
        <w:t>charts</w:t>
      </w:r>
      <w:r w:rsidR="00820484" w:rsidRPr="004E4FC1">
        <w:rPr>
          <w:rFonts w:ascii="Arial" w:hAnsi="Arial" w:cs="Arial"/>
          <w:b/>
          <w:sz w:val="20"/>
          <w:u w:val="none"/>
        </w:rPr>
        <w:t>.</w:t>
      </w:r>
      <w:r w:rsidR="00820484" w:rsidRPr="004E4FC1">
        <w:rPr>
          <w:rFonts w:ascii="Arial" w:hAnsi="Arial" w:cs="Arial"/>
          <w:sz w:val="20"/>
          <w:u w:val="none"/>
        </w:rPr>
        <w:t xml:space="preserve"> </w:t>
      </w:r>
      <w:r w:rsidRPr="004E4FC1">
        <w:rPr>
          <w:rFonts w:ascii="Arial" w:hAnsi="Arial" w:cs="Arial"/>
          <w:sz w:val="20"/>
          <w:u w:val="none"/>
        </w:rPr>
        <w:t>Fig</w:t>
      </w:r>
      <w:r w:rsidR="003C027B">
        <w:rPr>
          <w:rFonts w:ascii="Arial" w:hAnsi="Arial" w:cs="Arial"/>
          <w:sz w:val="20"/>
          <w:u w:val="none"/>
        </w:rPr>
        <w:t>s</w:t>
      </w:r>
      <w:r w:rsidR="00B84D0A">
        <w:rPr>
          <w:rFonts w:ascii="Arial" w:hAnsi="Arial" w:cs="Arial"/>
          <w:sz w:val="20"/>
          <w:u w:val="none"/>
        </w:rPr>
        <w:t>.</w:t>
      </w:r>
      <w:r w:rsidRPr="004E4FC1">
        <w:rPr>
          <w:rFonts w:ascii="Arial" w:hAnsi="Arial" w:cs="Arial"/>
          <w:sz w:val="20"/>
          <w:u w:val="none"/>
        </w:rPr>
        <w:t xml:space="preserve"> </w:t>
      </w:r>
      <w:r w:rsidR="00C478F0">
        <w:rPr>
          <w:rFonts w:ascii="Arial" w:hAnsi="Arial" w:cs="Arial"/>
          <w:sz w:val="20"/>
          <w:u w:val="none"/>
        </w:rPr>
        <w:t>S11 to S14</w:t>
      </w:r>
      <w:r w:rsidR="00BF1682" w:rsidRPr="004E4FC1">
        <w:rPr>
          <w:rFonts w:ascii="Arial" w:hAnsi="Arial" w:cs="Arial"/>
          <w:sz w:val="20"/>
          <w:u w:val="none"/>
        </w:rPr>
        <w:t xml:space="preserve"> </w:t>
      </w:r>
      <w:r w:rsidR="0088006B" w:rsidRPr="004E4FC1">
        <w:rPr>
          <w:rFonts w:ascii="Arial" w:hAnsi="Arial" w:cs="Arial"/>
          <w:sz w:val="20"/>
          <w:u w:val="none"/>
        </w:rPr>
        <w:t>are</w:t>
      </w:r>
      <w:r w:rsidR="0088006B" w:rsidRPr="005024A7">
        <w:rPr>
          <w:rFonts w:ascii="Arial" w:hAnsi="Arial" w:cs="Arial"/>
          <w:sz w:val="20"/>
          <w:u w:val="none"/>
        </w:rPr>
        <w:t xml:space="preserve"> specification charts</w:t>
      </w:r>
      <w:r w:rsidR="00AB7D3D" w:rsidRPr="005024A7">
        <w:rPr>
          <w:rFonts w:ascii="Arial" w:hAnsi="Arial" w:cs="Arial"/>
          <w:sz w:val="20"/>
          <w:u w:val="none"/>
        </w:rPr>
        <w:t xml:space="preserve"> </w:t>
      </w:r>
      <w:r w:rsidR="00AB7D3D" w:rsidRPr="005024A7">
        <w:rPr>
          <w:rFonts w:ascii="Arial" w:hAnsi="Arial" w:cs="Arial"/>
          <w:color w:val="000000"/>
          <w:sz w:val="20"/>
          <w:u w:val="none"/>
        </w:rPr>
        <w:fldChar w:fldCharType="begin"/>
      </w:r>
      <w:r w:rsidR="009E37C3">
        <w:rPr>
          <w:rFonts w:ascii="Arial" w:hAnsi="Arial" w:cs="Arial"/>
          <w:color w:val="000000"/>
          <w:sz w:val="20"/>
          <w:u w:val="none"/>
        </w:rPr>
        <w:instrText xml:space="preserve"> ADDIN ZOTERO_ITEM CSL_CITATION {"citationID":"e0iB6ptn","properties":{"formattedCitation":"(3, 4)","plainCitation":"(3, 4)","noteIndex":0},"citationItems":[{"id":16050,"uris":["http://zotero.org/users/1252903/items/4AM62AAX"],"itemData":{"id":16050,"type":"article-journal","abstract":"Arbitrary modeling choices are inevitable in scientific studies. Yet, few empirical studies in conservation science report the effects these arbitrary choices have on estimated results. I explored the effects of subjective modeling choices in the context of counterfactual impact evaluations. Over 5000 candidate models based on reasonable changes in the choice of statistical matching algorithms (e.g., genetic and nearest distance mahalanobis matching), the parametrization of these algorithms (e.g., number of matches), and the inclusion of specific covariates (e.g., distance to nearest city, slope, or rainfall) were valid for studying the effect of Virunga National Park in Democratic Republic of the Congo on changes in tree cover loss and carbon storage over time. I randomly picked 2000 of the 5000 candidate models to determine how much and which subjective modeling choices affected the results the most. All valid models indicated that tree cover loss decreased and carbon storage increased in Virunga National Park from 2000 to 2019. Nonetheless, the order of magnitude of the estimates varied by a factor of 3 (from −4.78 to −13.12 percentage points decrease in tree cover loss and from 20 to 46 t Ce/ha for carbon storage). My results highlight that modeling choices, notably the choice of the matching algorithm, can have significant effects on point estimates and suggest that more structured robustness checks are a key step toward more credible findings in conservation science.","container-title":"Conservation Biology","DOI":"https://doi.org/10.1111/cobi.13728","ISSN":"1523-1739","issue":"5","language":"en","license":"© 2021 Society for Conservation Biology","note":"_eprint: https://conbio.onlinelibrary.wiley.com/doi/pdf/10.1111/cobi.13728","page":"1621-1626","source":"Wiley Online Library","title":"Subjective modeling choices and the robustness of impact evaluations in conservation science","volume":"35","author":[{"family":"Desbureaux","given":"Sébastien"}],"issued":{"date-parts":[["2021"]]},"citation-key":"desbureauxSubjectiveModelingChoices2021"}},{"id":16445,"uris":["http://zotero.org/users/1252903/items/YAE6XXC2"],"itemData":{"id":16445,"type":"article-journal","abstract":"Agricultural research has fostered productivity growth, but the historical influence of anthropogenic climate change (ACC) on that growth has not been quantified. We develop a robust econometric model of weather effects on global agricultural total factor productivity (TFP) and combine this model with counterfactual climate scenarios to evaluate impacts of past climate trends on TFP. Our baseline model indicates that ACC has reduced global agricultural TFP by about 21% since 1961, a slowdown that is equivalent to losing the last 7 years of productivity growth. The effect is substantially more severe (a reduction of ~26–34%) in warmer regions such as Africa and Latin America and the Caribbean. We also find that global agriculture has grown more vulnerable to ongoing climate change.","container-title":"Nature Climate Change","DOI":"10.1038/s41558-021-01000-1","ISSN":"1758-6798","issue":"4","journalAbbreviation":"Nat. Clim. Chang.","language":"en","license":"2021 The Author(s), under exclusive licence to Springer Nature Limited part of Springer Nature","note":"Bandiera_abtest: a\nCg_type: Nature Research Journals\nnumber: 4\nPrimary_atype: Research\npublisher: Nature Publishing Group\nSubject_term: Agriculture;Climate-change impacts;Sustainability\nSubject_term_id: agriculture;climate-change-impacts;sustainability","page":"306-312","source":"www.nature.com","title":"Anthropogenic climate change has slowed global agricultural productivity growth","volume":"11","author":[{"family":"Ortiz-Bobea","given":"Ariel"},{"family":"Ault","given":"Toby R."},{"family":"Carrillo","given":"Carlos M."},{"family":"Chambers","given":"Robert G."},{"family":"Lobell","given":"David B."}],"issued":{"date-parts":[["2021",4]]},"citation-key":"ortiz-bobeaAnthropogenicClimateChange2021"}}],"schema":"https://github.com/citation-style-language/schema/raw/master/csl-citation.json"} </w:instrText>
      </w:r>
      <w:r w:rsidR="00AB7D3D" w:rsidRPr="005024A7">
        <w:rPr>
          <w:rFonts w:ascii="Arial" w:hAnsi="Arial" w:cs="Arial"/>
          <w:color w:val="000000"/>
          <w:sz w:val="20"/>
          <w:u w:val="none"/>
        </w:rPr>
        <w:fldChar w:fldCharType="separate"/>
      </w:r>
      <w:r w:rsidR="009E37C3" w:rsidRPr="009E37C3">
        <w:rPr>
          <w:rFonts w:ascii="Arial" w:hAnsi="Arial" w:cs="Arial"/>
          <w:sz w:val="20"/>
        </w:rPr>
        <w:t>(3, 4)</w:t>
      </w:r>
      <w:r w:rsidR="00AB7D3D" w:rsidRPr="005024A7">
        <w:rPr>
          <w:rFonts w:ascii="Arial" w:hAnsi="Arial" w:cs="Arial"/>
          <w:color w:val="000000"/>
          <w:sz w:val="20"/>
          <w:u w:val="none"/>
        </w:rPr>
        <w:fldChar w:fldCharType="end"/>
      </w:r>
      <w:r w:rsidR="004117B9" w:rsidRPr="005024A7">
        <w:rPr>
          <w:rFonts w:ascii="Arial" w:hAnsi="Arial" w:cs="Arial"/>
          <w:sz w:val="20"/>
          <w:u w:val="none"/>
        </w:rPr>
        <w:t xml:space="preserve">, </w:t>
      </w:r>
      <w:r w:rsidR="00EC0BA8">
        <w:rPr>
          <w:rFonts w:ascii="Arial" w:hAnsi="Arial" w:cs="Arial"/>
          <w:sz w:val="20"/>
          <w:u w:val="none"/>
        </w:rPr>
        <w:t>i.e.,</w:t>
      </w:r>
      <w:r w:rsidR="004117B9" w:rsidRPr="005024A7">
        <w:rPr>
          <w:rFonts w:ascii="Arial" w:hAnsi="Arial" w:cs="Arial"/>
          <w:sz w:val="20"/>
          <w:u w:val="none"/>
        </w:rPr>
        <w:t xml:space="preserve"> a visualization of the </w:t>
      </w:r>
      <w:r w:rsidR="00EC0BA8">
        <w:rPr>
          <w:rFonts w:ascii="Arial" w:hAnsi="Arial" w:cs="Arial"/>
          <w:sz w:val="20"/>
          <w:u w:val="none"/>
        </w:rPr>
        <w:t>sensitivity</w:t>
      </w:r>
      <w:r w:rsidR="00D17327" w:rsidRPr="005024A7">
        <w:rPr>
          <w:rFonts w:ascii="Arial" w:hAnsi="Arial" w:cs="Arial"/>
          <w:sz w:val="20"/>
          <w:u w:val="none"/>
        </w:rPr>
        <w:t xml:space="preserve"> of the main estimate</w:t>
      </w:r>
      <w:r w:rsidR="00803B14">
        <w:rPr>
          <w:rFonts w:ascii="Arial" w:hAnsi="Arial" w:cs="Arial"/>
          <w:sz w:val="20"/>
          <w:u w:val="none"/>
        </w:rPr>
        <w:t xml:space="preserve"> (cumulative ATT)</w:t>
      </w:r>
      <w:r w:rsidR="00D17327" w:rsidRPr="005024A7">
        <w:rPr>
          <w:rFonts w:ascii="Arial" w:hAnsi="Arial" w:cs="Arial"/>
          <w:sz w:val="20"/>
          <w:u w:val="none"/>
        </w:rPr>
        <w:t xml:space="preserve"> to </w:t>
      </w:r>
      <w:r w:rsidR="003F125F" w:rsidRPr="005024A7">
        <w:rPr>
          <w:rFonts w:ascii="Arial" w:hAnsi="Arial" w:cs="Arial"/>
          <w:sz w:val="20"/>
          <w:u w:val="none"/>
        </w:rPr>
        <w:t xml:space="preserve">variation in </w:t>
      </w:r>
      <w:r w:rsidR="000D0953" w:rsidRPr="005024A7">
        <w:rPr>
          <w:rFonts w:ascii="Arial" w:hAnsi="Arial" w:cs="Arial"/>
          <w:sz w:val="20"/>
          <w:u w:val="none"/>
        </w:rPr>
        <w:t>our econometric specifications.</w:t>
      </w:r>
      <w:r w:rsidR="00D92222" w:rsidRPr="005024A7">
        <w:rPr>
          <w:rFonts w:ascii="Arial" w:hAnsi="Arial" w:cs="Arial"/>
          <w:sz w:val="20"/>
          <w:u w:val="none"/>
        </w:rPr>
        <w:t xml:space="preserve"> </w:t>
      </w:r>
      <w:r w:rsidR="008622DF">
        <w:rPr>
          <w:rFonts w:ascii="Arial" w:hAnsi="Arial" w:cs="Arial"/>
          <w:sz w:val="20"/>
          <w:u w:val="none"/>
        </w:rPr>
        <w:t>Our base model</w:t>
      </w:r>
      <w:r w:rsidR="006C1357">
        <w:rPr>
          <w:rFonts w:ascii="Arial" w:hAnsi="Arial" w:cs="Arial"/>
          <w:sz w:val="20"/>
          <w:u w:val="none"/>
        </w:rPr>
        <w:t>s</w:t>
      </w:r>
      <w:r w:rsidR="008622DF">
        <w:rPr>
          <w:rFonts w:ascii="Arial" w:hAnsi="Arial" w:cs="Arial"/>
          <w:sz w:val="20"/>
          <w:u w:val="none"/>
        </w:rPr>
        <w:t xml:space="preserve"> </w:t>
      </w:r>
      <w:r w:rsidR="006C1357">
        <w:rPr>
          <w:rFonts w:ascii="Arial" w:hAnsi="Arial" w:cs="Arial"/>
          <w:sz w:val="20"/>
          <w:u w:val="none"/>
        </w:rPr>
        <w:t xml:space="preserve">estimate the effect of BV in all enrolled sites of the </w:t>
      </w:r>
      <w:r w:rsidR="00CF0021">
        <w:rPr>
          <w:rFonts w:ascii="Arial" w:hAnsi="Arial" w:cs="Arial"/>
          <w:sz w:val="20"/>
          <w:u w:val="none"/>
        </w:rPr>
        <w:t xml:space="preserve">regions </w:t>
      </w:r>
      <w:r w:rsidR="006C1357">
        <w:rPr>
          <w:rFonts w:ascii="Arial" w:hAnsi="Arial" w:cs="Arial"/>
          <w:sz w:val="20"/>
          <w:u w:val="none"/>
        </w:rPr>
        <w:t xml:space="preserve">after performing </w:t>
      </w:r>
      <w:r w:rsidR="00CF0021">
        <w:rPr>
          <w:rFonts w:ascii="Arial" w:hAnsi="Arial" w:cs="Arial"/>
          <w:sz w:val="20"/>
          <w:u w:val="none"/>
        </w:rPr>
        <w:t xml:space="preserve">an Inverse Probability Weighting on the Propensity Score </w:t>
      </w:r>
      <w:r w:rsidR="0030128E">
        <w:rPr>
          <w:rFonts w:ascii="Arial" w:hAnsi="Arial" w:cs="Arial"/>
          <w:sz w:val="20"/>
          <w:u w:val="none"/>
        </w:rPr>
        <w:t xml:space="preserve">estimated with the following confounders: distance to roads, distance to rivers, </w:t>
      </w:r>
      <w:r w:rsidR="006469D2">
        <w:rPr>
          <w:rFonts w:ascii="Arial" w:hAnsi="Arial" w:cs="Arial"/>
          <w:sz w:val="20"/>
          <w:u w:val="none"/>
        </w:rPr>
        <w:t>travelling</w:t>
      </w:r>
      <w:r w:rsidR="0030128E">
        <w:rPr>
          <w:rFonts w:ascii="Arial" w:hAnsi="Arial" w:cs="Arial"/>
          <w:sz w:val="20"/>
          <w:u w:val="none"/>
        </w:rPr>
        <w:t xml:space="preserve"> </w:t>
      </w:r>
      <w:r w:rsidR="006469D2">
        <w:rPr>
          <w:rFonts w:ascii="Arial" w:hAnsi="Arial" w:cs="Arial"/>
          <w:sz w:val="20"/>
          <w:u w:val="none"/>
        </w:rPr>
        <w:t>time</w:t>
      </w:r>
      <w:r w:rsidR="0030128E">
        <w:rPr>
          <w:rFonts w:ascii="Arial" w:hAnsi="Arial" w:cs="Arial"/>
          <w:sz w:val="20"/>
          <w:u w:val="none"/>
        </w:rPr>
        <w:t xml:space="preserve"> to nearest city, </w:t>
      </w:r>
      <w:r w:rsidR="006469D2">
        <w:rPr>
          <w:rFonts w:ascii="Arial" w:hAnsi="Arial" w:cs="Arial"/>
          <w:sz w:val="20"/>
          <w:u w:val="none"/>
        </w:rPr>
        <w:t xml:space="preserve">topology, forest cover in 2010, </w:t>
      </w:r>
      <w:r w:rsidR="004F7421">
        <w:rPr>
          <w:rFonts w:ascii="Arial" w:hAnsi="Arial" w:cs="Arial"/>
          <w:sz w:val="20"/>
          <w:u w:val="none"/>
        </w:rPr>
        <w:lastRenderedPageBreak/>
        <w:t xml:space="preserve">forest cover loss 2000-2004, forest cover loss 2004-2007, forest cover loss 2007-2010, </w:t>
      </w:r>
      <w:r w:rsidR="00612267">
        <w:rPr>
          <w:rFonts w:ascii="Arial" w:hAnsi="Arial" w:cs="Arial"/>
          <w:sz w:val="20"/>
          <w:u w:val="none"/>
        </w:rPr>
        <w:t xml:space="preserve">Municipal Human Development Index, </w:t>
      </w:r>
      <w:r w:rsidR="004F7421">
        <w:rPr>
          <w:rFonts w:ascii="Arial" w:hAnsi="Arial" w:cs="Arial"/>
          <w:sz w:val="20"/>
          <w:u w:val="none"/>
        </w:rPr>
        <w:t>and in the case of settlements also including the density of registered households in proportion of forest cover in 2010.</w:t>
      </w:r>
    </w:p>
    <w:p w14:paraId="78314180" w14:textId="77777777" w:rsidR="004F7421" w:rsidRDefault="004F7421" w:rsidP="00820484">
      <w:pPr>
        <w:pStyle w:val="SMSubheading"/>
        <w:rPr>
          <w:rFonts w:ascii="Arial" w:hAnsi="Arial" w:cs="Arial"/>
          <w:sz w:val="20"/>
          <w:u w:val="none"/>
        </w:rPr>
      </w:pPr>
    </w:p>
    <w:p w14:paraId="25CAD84E" w14:textId="77777777" w:rsidR="001B1129" w:rsidRDefault="004F7421" w:rsidP="00D41C8A">
      <w:pPr>
        <w:pStyle w:val="SMSubheading"/>
        <w:rPr>
          <w:rFonts w:ascii="Arial" w:hAnsi="Arial" w:cs="Arial"/>
          <w:sz w:val="20"/>
          <w:u w:val="none"/>
        </w:rPr>
      </w:pPr>
      <w:r>
        <w:rPr>
          <w:rFonts w:ascii="Arial" w:hAnsi="Arial" w:cs="Arial"/>
          <w:sz w:val="20"/>
          <w:u w:val="none"/>
        </w:rPr>
        <w:t>In our specification charts, we notably</w:t>
      </w:r>
      <w:r w:rsidR="00432D0A" w:rsidRPr="005024A7">
        <w:rPr>
          <w:rFonts w:ascii="Arial" w:hAnsi="Arial" w:cs="Arial"/>
          <w:sz w:val="20"/>
          <w:u w:val="none"/>
        </w:rPr>
        <w:t xml:space="preserve"> test the </w:t>
      </w:r>
      <w:r w:rsidR="00D41C8A">
        <w:rPr>
          <w:rFonts w:ascii="Arial" w:hAnsi="Arial" w:cs="Arial"/>
          <w:sz w:val="20"/>
          <w:u w:val="none"/>
        </w:rPr>
        <w:t xml:space="preserve">influence of </w:t>
      </w:r>
      <w:r w:rsidR="00432D0A" w:rsidRPr="005024A7">
        <w:rPr>
          <w:rFonts w:ascii="Arial" w:hAnsi="Arial" w:cs="Arial"/>
          <w:sz w:val="20"/>
          <w:u w:val="none"/>
        </w:rPr>
        <w:t xml:space="preserve">changes in </w:t>
      </w:r>
      <w:r w:rsidR="009354E0" w:rsidRPr="005024A7">
        <w:rPr>
          <w:rFonts w:ascii="Arial" w:hAnsi="Arial" w:cs="Arial"/>
          <w:sz w:val="20"/>
          <w:u w:val="none"/>
        </w:rPr>
        <w:t>matching</w:t>
      </w:r>
      <w:r w:rsidR="00432D0A" w:rsidRPr="005024A7">
        <w:rPr>
          <w:rFonts w:ascii="Arial" w:hAnsi="Arial" w:cs="Arial"/>
          <w:sz w:val="20"/>
          <w:u w:val="none"/>
        </w:rPr>
        <w:t xml:space="preserve"> variables</w:t>
      </w:r>
      <w:r w:rsidR="00DE542D">
        <w:rPr>
          <w:rFonts w:ascii="Arial" w:hAnsi="Arial" w:cs="Arial"/>
          <w:sz w:val="20"/>
          <w:u w:val="none"/>
        </w:rPr>
        <w:t xml:space="preserve"> compared to </w:t>
      </w:r>
      <w:r w:rsidR="001B1129">
        <w:rPr>
          <w:rFonts w:ascii="Arial" w:hAnsi="Arial" w:cs="Arial"/>
          <w:sz w:val="20"/>
          <w:u w:val="none"/>
        </w:rPr>
        <w:t>the model we used in the main text (“base model”):</w:t>
      </w:r>
    </w:p>
    <w:p w14:paraId="2AD9A52E" w14:textId="7AA29E2A" w:rsidR="001B1129" w:rsidRDefault="008622DF" w:rsidP="001B1129">
      <w:pPr>
        <w:pStyle w:val="SMSubheading"/>
        <w:numPr>
          <w:ilvl w:val="0"/>
          <w:numId w:val="16"/>
        </w:numPr>
        <w:rPr>
          <w:rFonts w:ascii="Arial" w:hAnsi="Arial" w:cs="Arial"/>
          <w:sz w:val="20"/>
          <w:u w:val="none"/>
        </w:rPr>
      </w:pPr>
      <w:r>
        <w:rPr>
          <w:rFonts w:ascii="Arial" w:hAnsi="Arial" w:cs="Arial"/>
          <w:sz w:val="20"/>
          <w:u w:val="none"/>
        </w:rPr>
        <w:t>no matching variables</w:t>
      </w:r>
      <w:r w:rsidR="00E10480">
        <w:rPr>
          <w:rFonts w:ascii="Arial" w:hAnsi="Arial" w:cs="Arial"/>
          <w:sz w:val="20"/>
          <w:u w:val="none"/>
        </w:rPr>
        <w:t xml:space="preserve">, </w:t>
      </w:r>
    </w:p>
    <w:p w14:paraId="77154938" w14:textId="296C1E3D" w:rsidR="001B1129" w:rsidRDefault="00D02BDF" w:rsidP="001B1129">
      <w:pPr>
        <w:pStyle w:val="SMSubheading"/>
        <w:numPr>
          <w:ilvl w:val="0"/>
          <w:numId w:val="16"/>
        </w:numPr>
        <w:rPr>
          <w:rFonts w:ascii="Arial" w:hAnsi="Arial" w:cs="Arial"/>
          <w:sz w:val="20"/>
          <w:u w:val="none"/>
        </w:rPr>
      </w:pPr>
      <w:r>
        <w:rPr>
          <w:rFonts w:ascii="Arial" w:hAnsi="Arial" w:cs="Arial"/>
          <w:sz w:val="20"/>
          <w:u w:val="none"/>
        </w:rPr>
        <w:t xml:space="preserve">base model but without </w:t>
      </w:r>
      <w:r w:rsidR="00E10480">
        <w:rPr>
          <w:rFonts w:ascii="Arial" w:hAnsi="Arial" w:cs="Arial"/>
          <w:sz w:val="20"/>
          <w:u w:val="none"/>
        </w:rPr>
        <w:t xml:space="preserve">forest cover loss variables, </w:t>
      </w:r>
    </w:p>
    <w:p w14:paraId="2587B63D" w14:textId="77777777" w:rsidR="001B1129" w:rsidRDefault="00D41C8A" w:rsidP="001B1129">
      <w:pPr>
        <w:pStyle w:val="SMSubheading"/>
        <w:numPr>
          <w:ilvl w:val="0"/>
          <w:numId w:val="16"/>
        </w:numPr>
        <w:rPr>
          <w:rFonts w:ascii="Arial" w:hAnsi="Arial" w:cs="Arial"/>
          <w:sz w:val="20"/>
          <w:u w:val="none"/>
        </w:rPr>
      </w:pPr>
      <w:r>
        <w:rPr>
          <w:rFonts w:ascii="Arial" w:hAnsi="Arial" w:cs="Arial"/>
          <w:sz w:val="20"/>
          <w:u w:val="none"/>
        </w:rPr>
        <w:t xml:space="preserve">base model but with a single forest cover loss variable 2000-2010, </w:t>
      </w:r>
    </w:p>
    <w:p w14:paraId="1AB1EEB5" w14:textId="77777777" w:rsidR="001B1129" w:rsidRDefault="00D41C8A" w:rsidP="001B1129">
      <w:pPr>
        <w:pStyle w:val="SMSubheading"/>
        <w:numPr>
          <w:ilvl w:val="0"/>
          <w:numId w:val="16"/>
        </w:numPr>
        <w:rPr>
          <w:rFonts w:ascii="Arial" w:hAnsi="Arial" w:cs="Arial"/>
          <w:sz w:val="20"/>
          <w:u w:val="none"/>
        </w:rPr>
      </w:pPr>
      <w:r>
        <w:rPr>
          <w:rFonts w:ascii="Arial" w:hAnsi="Arial" w:cs="Arial"/>
          <w:sz w:val="20"/>
          <w:u w:val="none"/>
        </w:rPr>
        <w:t xml:space="preserve">base model but with a single forest cover loss variable 2007-2010. </w:t>
      </w:r>
    </w:p>
    <w:p w14:paraId="46858B64" w14:textId="77777777" w:rsidR="001B1129" w:rsidRDefault="001B1129" w:rsidP="001B1129">
      <w:pPr>
        <w:pStyle w:val="SMSubheading"/>
        <w:ind w:left="1500"/>
        <w:rPr>
          <w:rFonts w:ascii="Arial" w:hAnsi="Arial" w:cs="Arial"/>
          <w:sz w:val="20"/>
          <w:u w:val="none"/>
        </w:rPr>
      </w:pPr>
    </w:p>
    <w:p w14:paraId="3FE35603" w14:textId="77777777" w:rsidR="001B1129" w:rsidRDefault="001B1129" w:rsidP="001B1129">
      <w:pPr>
        <w:pStyle w:val="SMSubheading"/>
        <w:rPr>
          <w:rFonts w:ascii="Arial" w:hAnsi="Arial" w:cs="Arial"/>
          <w:sz w:val="20"/>
          <w:u w:val="none"/>
        </w:rPr>
      </w:pPr>
    </w:p>
    <w:p w14:paraId="1C3FA61B" w14:textId="60F5FFB9" w:rsidR="00F715DE" w:rsidRDefault="00D41C8A" w:rsidP="001B1129">
      <w:pPr>
        <w:pStyle w:val="SMSubheading"/>
        <w:rPr>
          <w:rFonts w:ascii="Arial" w:hAnsi="Arial" w:cs="Arial"/>
          <w:sz w:val="20"/>
          <w:u w:val="none"/>
        </w:rPr>
      </w:pPr>
      <w:r>
        <w:rPr>
          <w:rFonts w:ascii="Arial" w:hAnsi="Arial" w:cs="Arial"/>
          <w:sz w:val="20"/>
          <w:u w:val="none"/>
        </w:rPr>
        <w:t xml:space="preserve">We also </w:t>
      </w:r>
      <w:r w:rsidR="006458FF">
        <w:rPr>
          <w:rFonts w:ascii="Arial" w:hAnsi="Arial" w:cs="Arial"/>
          <w:sz w:val="20"/>
          <w:u w:val="none"/>
        </w:rPr>
        <w:t>test</w:t>
      </w:r>
      <w:r w:rsidR="00432D0A" w:rsidRPr="005024A7">
        <w:rPr>
          <w:rFonts w:ascii="Arial" w:hAnsi="Arial" w:cs="Arial"/>
          <w:sz w:val="20"/>
          <w:u w:val="none"/>
        </w:rPr>
        <w:t xml:space="preserve"> different</w:t>
      </w:r>
      <w:r w:rsidR="00857B33" w:rsidRPr="005024A7">
        <w:rPr>
          <w:rFonts w:ascii="Arial" w:hAnsi="Arial" w:cs="Arial"/>
          <w:sz w:val="20"/>
          <w:u w:val="none"/>
        </w:rPr>
        <w:t xml:space="preserve"> level of standard error clustering</w:t>
      </w:r>
      <w:r w:rsidR="00432D0A" w:rsidRPr="005024A7">
        <w:rPr>
          <w:rFonts w:ascii="Arial" w:hAnsi="Arial" w:cs="Arial"/>
          <w:sz w:val="20"/>
          <w:u w:val="none"/>
        </w:rPr>
        <w:t xml:space="preserve"> </w:t>
      </w:r>
      <w:r w:rsidR="006231CE" w:rsidRPr="005024A7">
        <w:rPr>
          <w:rFonts w:ascii="Arial" w:hAnsi="Arial" w:cs="Arial"/>
          <w:sz w:val="20"/>
          <w:u w:val="none"/>
        </w:rPr>
        <w:fldChar w:fldCharType="begin"/>
      </w:r>
      <w:r w:rsidR="009E37C3">
        <w:rPr>
          <w:rFonts w:ascii="Arial" w:hAnsi="Arial" w:cs="Arial"/>
          <w:sz w:val="20"/>
          <w:u w:val="none"/>
        </w:rPr>
        <w:instrText xml:space="preserve"> ADDIN ZOTERO_ITEM CSL_CITATION {"citationID":"34VtNrJr","properties":{"formattedCitation":"(5)","plainCitation":"(5)","noteIndex":0},"citationItems":[{"id":88953,"uris":["http://zotero.org/users/1252903/items/W28QXK6H"],"itemData":{"id":88953,"type":"report","abstract":"In empirical work in economics it is common to report standard errors that account for clustering of units. Typically, the motivation given for the clustering adjustments is that unobserved components in outcomes for units within clusters are correlated. However, because correlation may occur across more than one dimension, this motivation makes it difficult to justify why researchers use clustering in some dimensions, such as geographic, but not others, such as age cohorts or gender. This motivation also makes it difficult to explain why one should not cluster with data from a randomized experiment. In this paper, we argue that clustering is in essence a design problem, either a sampling design or an experimental design issue. It is a sampling design issue if sampling follows a two stage process where in the first stage, a subset of clusters were sampled randomly from a population of clusters, and in the second stage, units were sampled randomly from the sampled clusters. In this case the clustering adjustment is justified by the fact that there are clusters in the population that we do not see in the sample. Clustering is an experimental design issue if the assignment is correlated within the clusters. We take the view that this second perspective best fits the typical setting in economics where clustering adjustments are used. This perspective allows us to shed new light on three questions: (i) when should one adjust the standard errors for clustering, (ii) when is the conventional adjustment for clustering appropriate, and (iii) when does the conventional adjustment of the standard errors matter.","genre":"Working Paper","note":"collection-title: Working Paper Series\nDOI: 10.3386/w24003","number":"24003","publisher":"National Bureau of Economic Research","source":"National Bureau of Economic Research","title":"When Should You Adjust Standard Errors for Clustering?","URL":"https://www.nber.org/papers/w24003","author":[{"family":"Abadie","given":"Alberto"},{"family":"Athey","given":"Susan"},{"family":"Imbens","given":"Guido W."},{"family":"Wooldridge","given":"Jeffrey"}],"accessed":{"date-parts":[["2022",1,28]]},"issued":{"date-parts":[["2017",11]]},"citation-key":"abadieWhenShouldYou2017"}}],"schema":"https://github.com/citation-style-language/schema/raw/master/csl-citation.json"} </w:instrText>
      </w:r>
      <w:r w:rsidR="006231CE" w:rsidRPr="005024A7">
        <w:rPr>
          <w:rFonts w:ascii="Arial" w:hAnsi="Arial" w:cs="Arial"/>
          <w:sz w:val="20"/>
          <w:u w:val="none"/>
        </w:rPr>
        <w:fldChar w:fldCharType="separate"/>
      </w:r>
      <w:r w:rsidR="009E37C3" w:rsidRPr="009E37C3">
        <w:rPr>
          <w:rFonts w:ascii="Arial" w:hAnsi="Arial" w:cs="Arial"/>
          <w:sz w:val="20"/>
        </w:rPr>
        <w:t>(5)</w:t>
      </w:r>
      <w:r w:rsidR="006231CE" w:rsidRPr="005024A7">
        <w:rPr>
          <w:rFonts w:ascii="Arial" w:hAnsi="Arial" w:cs="Arial"/>
          <w:sz w:val="20"/>
          <w:u w:val="none"/>
        </w:rPr>
        <w:fldChar w:fldCharType="end"/>
      </w:r>
      <w:r w:rsidR="006231CE" w:rsidRPr="005024A7">
        <w:rPr>
          <w:rFonts w:ascii="Arial" w:hAnsi="Arial" w:cs="Arial"/>
          <w:sz w:val="20"/>
          <w:u w:val="none"/>
        </w:rPr>
        <w:t xml:space="preserve"> (individual level, municipal level, and no clustering)</w:t>
      </w:r>
      <w:r w:rsidR="006458FF">
        <w:rPr>
          <w:rFonts w:ascii="Arial" w:hAnsi="Arial" w:cs="Arial"/>
          <w:sz w:val="20"/>
          <w:u w:val="none"/>
        </w:rPr>
        <w:t xml:space="preserve">. </w:t>
      </w:r>
    </w:p>
    <w:p w14:paraId="76ABE609" w14:textId="77777777" w:rsidR="00F715DE" w:rsidRDefault="00F715DE" w:rsidP="001B1129">
      <w:pPr>
        <w:pStyle w:val="SMSubheading"/>
        <w:rPr>
          <w:rFonts w:ascii="Arial" w:hAnsi="Arial" w:cs="Arial"/>
          <w:sz w:val="20"/>
          <w:u w:val="none"/>
        </w:rPr>
      </w:pPr>
    </w:p>
    <w:p w14:paraId="3F62495D" w14:textId="77777777" w:rsidR="00F715DE" w:rsidRDefault="006458FF" w:rsidP="001B1129">
      <w:pPr>
        <w:pStyle w:val="SMSubheading"/>
        <w:rPr>
          <w:rFonts w:ascii="Arial" w:hAnsi="Arial" w:cs="Arial"/>
          <w:sz w:val="20"/>
          <w:u w:val="none"/>
        </w:rPr>
      </w:pPr>
      <w:r>
        <w:rPr>
          <w:rFonts w:ascii="Arial" w:hAnsi="Arial" w:cs="Arial"/>
          <w:sz w:val="20"/>
          <w:u w:val="none"/>
        </w:rPr>
        <w:t>We also take a look at</w:t>
      </w:r>
      <w:r w:rsidR="00ED5702">
        <w:rPr>
          <w:rFonts w:ascii="Arial" w:hAnsi="Arial" w:cs="Arial"/>
          <w:sz w:val="20"/>
          <w:u w:val="none"/>
        </w:rPr>
        <w:t xml:space="preserve"> the heterogeneity of our findings by</w:t>
      </w:r>
      <w:r w:rsidR="005A563E">
        <w:rPr>
          <w:rFonts w:ascii="Arial" w:hAnsi="Arial" w:cs="Arial"/>
          <w:sz w:val="20"/>
          <w:u w:val="none"/>
        </w:rPr>
        <w:t xml:space="preserve"> exploring the effects in</w:t>
      </w:r>
      <w:r>
        <w:rPr>
          <w:rFonts w:ascii="Arial" w:hAnsi="Arial" w:cs="Arial"/>
          <w:sz w:val="20"/>
          <w:u w:val="none"/>
        </w:rPr>
        <w:t xml:space="preserve"> subsamples</w:t>
      </w:r>
      <w:r w:rsidR="00982BD9">
        <w:rPr>
          <w:rFonts w:ascii="Arial" w:hAnsi="Arial" w:cs="Arial"/>
          <w:sz w:val="20"/>
          <w:u w:val="none"/>
        </w:rPr>
        <w:t xml:space="preserve"> of the enrolled sites</w:t>
      </w:r>
      <w:r>
        <w:rPr>
          <w:rFonts w:ascii="Arial" w:hAnsi="Arial" w:cs="Arial"/>
          <w:sz w:val="20"/>
          <w:u w:val="none"/>
        </w:rPr>
        <w:t xml:space="preserve"> </w:t>
      </w:r>
      <w:r w:rsidR="00EC48CA" w:rsidRPr="005024A7">
        <w:rPr>
          <w:rFonts w:ascii="Arial" w:hAnsi="Arial" w:cs="Arial"/>
          <w:sz w:val="20"/>
          <w:u w:val="none"/>
        </w:rPr>
        <w:t>corresponding to</w:t>
      </w:r>
      <w:r w:rsidR="00C25A68">
        <w:rPr>
          <w:rFonts w:ascii="Arial" w:hAnsi="Arial" w:cs="Arial"/>
          <w:sz w:val="20"/>
          <w:u w:val="none"/>
        </w:rPr>
        <w:t xml:space="preserve"> </w:t>
      </w:r>
    </w:p>
    <w:p w14:paraId="695070B6" w14:textId="4E00EE4D" w:rsidR="00F715DE" w:rsidRDefault="00C25A68" w:rsidP="00F715DE">
      <w:pPr>
        <w:pStyle w:val="SMSubheading"/>
        <w:numPr>
          <w:ilvl w:val="0"/>
          <w:numId w:val="17"/>
        </w:numPr>
        <w:rPr>
          <w:rFonts w:ascii="Arial" w:hAnsi="Arial" w:cs="Arial"/>
          <w:sz w:val="20"/>
          <w:u w:val="none"/>
        </w:rPr>
      </w:pPr>
      <w:r>
        <w:rPr>
          <w:rFonts w:ascii="Arial" w:hAnsi="Arial" w:cs="Arial"/>
          <w:sz w:val="20"/>
          <w:u w:val="none"/>
        </w:rPr>
        <w:t xml:space="preserve">removing the upper quartile for the distance to roads, </w:t>
      </w:r>
    </w:p>
    <w:p w14:paraId="45F18622" w14:textId="77777777" w:rsidR="00F715DE" w:rsidRDefault="00C25A68" w:rsidP="00F715DE">
      <w:pPr>
        <w:pStyle w:val="SMSubheading"/>
        <w:numPr>
          <w:ilvl w:val="0"/>
          <w:numId w:val="17"/>
        </w:numPr>
        <w:rPr>
          <w:rFonts w:ascii="Arial" w:hAnsi="Arial" w:cs="Arial"/>
          <w:sz w:val="20"/>
          <w:u w:val="none"/>
        </w:rPr>
      </w:pPr>
      <w:r>
        <w:rPr>
          <w:rFonts w:ascii="Arial" w:hAnsi="Arial" w:cs="Arial"/>
          <w:sz w:val="20"/>
          <w:u w:val="none"/>
        </w:rPr>
        <w:t xml:space="preserve">removing the </w:t>
      </w:r>
      <w:r w:rsidR="00982BD9">
        <w:rPr>
          <w:rFonts w:ascii="Arial" w:hAnsi="Arial" w:cs="Arial"/>
          <w:sz w:val="20"/>
          <w:u w:val="none"/>
        </w:rPr>
        <w:t>lower</w:t>
      </w:r>
      <w:r>
        <w:rPr>
          <w:rFonts w:ascii="Arial" w:hAnsi="Arial" w:cs="Arial"/>
          <w:sz w:val="20"/>
          <w:u w:val="none"/>
        </w:rPr>
        <w:t xml:space="preserve"> quartile for the </w:t>
      </w:r>
      <w:r w:rsidR="00870BC1">
        <w:rPr>
          <w:rFonts w:ascii="Arial" w:hAnsi="Arial" w:cs="Arial"/>
          <w:sz w:val="20"/>
          <w:u w:val="none"/>
        </w:rPr>
        <w:t xml:space="preserve">forest cover loss 2011-2017, and </w:t>
      </w:r>
    </w:p>
    <w:p w14:paraId="18F3449A" w14:textId="77777777" w:rsidR="00F715DE" w:rsidRDefault="00870BC1" w:rsidP="00F715DE">
      <w:pPr>
        <w:pStyle w:val="SMSubheading"/>
        <w:numPr>
          <w:ilvl w:val="0"/>
          <w:numId w:val="17"/>
        </w:numPr>
        <w:rPr>
          <w:rFonts w:ascii="Arial" w:hAnsi="Arial" w:cs="Arial"/>
          <w:sz w:val="20"/>
          <w:u w:val="none"/>
        </w:rPr>
      </w:pPr>
      <w:r>
        <w:rPr>
          <w:rFonts w:ascii="Arial" w:hAnsi="Arial" w:cs="Arial"/>
          <w:sz w:val="20"/>
          <w:u w:val="none"/>
        </w:rPr>
        <w:t xml:space="preserve">removing the upper quartiles for the size of forest cover in 2010. </w:t>
      </w:r>
    </w:p>
    <w:p w14:paraId="34FCD756" w14:textId="77777777" w:rsidR="00F715DE" w:rsidRDefault="00F715DE" w:rsidP="00F715DE">
      <w:pPr>
        <w:pStyle w:val="SMSubheading"/>
        <w:ind w:left="1440"/>
        <w:rPr>
          <w:rFonts w:ascii="Arial" w:hAnsi="Arial" w:cs="Arial"/>
          <w:sz w:val="20"/>
          <w:u w:val="none"/>
        </w:rPr>
      </w:pPr>
    </w:p>
    <w:p w14:paraId="714A8B3C" w14:textId="77777777" w:rsidR="00F715DE" w:rsidRDefault="00870BC1" w:rsidP="00F715DE">
      <w:pPr>
        <w:pStyle w:val="SMSubheading"/>
        <w:rPr>
          <w:rFonts w:ascii="Arial" w:hAnsi="Arial" w:cs="Arial"/>
          <w:sz w:val="20"/>
          <w:u w:val="none"/>
        </w:rPr>
      </w:pPr>
      <w:r>
        <w:rPr>
          <w:rFonts w:ascii="Arial" w:hAnsi="Arial" w:cs="Arial"/>
          <w:sz w:val="20"/>
          <w:u w:val="none"/>
        </w:rPr>
        <w:t xml:space="preserve">We also </w:t>
      </w:r>
      <w:r w:rsidR="00331780">
        <w:rPr>
          <w:rFonts w:ascii="Arial" w:hAnsi="Arial" w:cs="Arial"/>
          <w:sz w:val="20"/>
          <w:u w:val="none"/>
        </w:rPr>
        <w:t xml:space="preserve">consider </w:t>
      </w:r>
      <w:r w:rsidR="00432D0A" w:rsidRPr="005024A7">
        <w:rPr>
          <w:rFonts w:ascii="Arial" w:hAnsi="Arial" w:cs="Arial"/>
          <w:sz w:val="20"/>
          <w:u w:val="none"/>
        </w:rPr>
        <w:t>different densities related to the number of enrolled households per forest cover area</w:t>
      </w:r>
      <w:r w:rsidR="00331780">
        <w:rPr>
          <w:rFonts w:ascii="Arial" w:hAnsi="Arial" w:cs="Arial"/>
          <w:sz w:val="20"/>
          <w:u w:val="none"/>
        </w:rPr>
        <w:t xml:space="preserve">: </w:t>
      </w:r>
    </w:p>
    <w:p w14:paraId="623E3049" w14:textId="06CF5304" w:rsidR="00F715DE" w:rsidRDefault="005B7D75" w:rsidP="00F715DE">
      <w:pPr>
        <w:pStyle w:val="SMSubheading"/>
        <w:numPr>
          <w:ilvl w:val="0"/>
          <w:numId w:val="18"/>
        </w:numPr>
        <w:rPr>
          <w:rFonts w:ascii="Arial" w:hAnsi="Arial" w:cs="Arial"/>
          <w:sz w:val="20"/>
          <w:u w:val="none"/>
        </w:rPr>
      </w:pPr>
      <w:r w:rsidRPr="005024A7">
        <w:rPr>
          <w:rFonts w:ascii="Arial" w:hAnsi="Arial" w:cs="Arial"/>
          <w:sz w:val="20"/>
          <w:u w:val="none"/>
        </w:rPr>
        <w:t xml:space="preserve">above 0.5 average enrolled household per hectare of forest in 2010, </w:t>
      </w:r>
    </w:p>
    <w:p w14:paraId="5C3C66EA" w14:textId="44298FAB" w:rsidR="00F715DE" w:rsidRDefault="005B7D75" w:rsidP="00F715DE">
      <w:pPr>
        <w:pStyle w:val="SMSubheading"/>
        <w:numPr>
          <w:ilvl w:val="0"/>
          <w:numId w:val="18"/>
        </w:numPr>
        <w:rPr>
          <w:rFonts w:ascii="Arial" w:hAnsi="Arial" w:cs="Arial"/>
          <w:sz w:val="20"/>
          <w:u w:val="none"/>
        </w:rPr>
      </w:pPr>
      <w:r w:rsidRPr="005024A7">
        <w:rPr>
          <w:rFonts w:ascii="Arial" w:hAnsi="Arial" w:cs="Arial"/>
          <w:sz w:val="20"/>
          <w:u w:val="none"/>
        </w:rPr>
        <w:t>above 1 household</w:t>
      </w:r>
      <w:r w:rsidR="00331780">
        <w:rPr>
          <w:rFonts w:ascii="Arial" w:hAnsi="Arial" w:cs="Arial"/>
          <w:sz w:val="20"/>
          <w:u w:val="none"/>
        </w:rPr>
        <w:t>,</w:t>
      </w:r>
      <w:r w:rsidRPr="005024A7">
        <w:rPr>
          <w:rFonts w:ascii="Arial" w:hAnsi="Arial" w:cs="Arial"/>
          <w:sz w:val="20"/>
          <w:u w:val="none"/>
        </w:rPr>
        <w:t xml:space="preserve"> and </w:t>
      </w:r>
    </w:p>
    <w:p w14:paraId="33F99AEF" w14:textId="77777777" w:rsidR="00F715DE" w:rsidRDefault="005B7D75" w:rsidP="00F715DE">
      <w:pPr>
        <w:pStyle w:val="SMSubheading"/>
        <w:numPr>
          <w:ilvl w:val="0"/>
          <w:numId w:val="18"/>
        </w:numPr>
        <w:rPr>
          <w:rFonts w:ascii="Arial" w:hAnsi="Arial" w:cs="Arial"/>
          <w:sz w:val="20"/>
          <w:u w:val="none"/>
        </w:rPr>
      </w:pPr>
      <w:r w:rsidRPr="005024A7">
        <w:rPr>
          <w:rFonts w:ascii="Arial" w:hAnsi="Arial" w:cs="Arial"/>
          <w:sz w:val="20"/>
          <w:u w:val="none"/>
        </w:rPr>
        <w:t xml:space="preserve">above </w:t>
      </w:r>
      <w:r w:rsidR="00EB1E23" w:rsidRPr="005024A7">
        <w:rPr>
          <w:rFonts w:ascii="Arial" w:hAnsi="Arial" w:cs="Arial"/>
          <w:sz w:val="20"/>
          <w:u w:val="none"/>
        </w:rPr>
        <w:t>5 households</w:t>
      </w:r>
      <w:r w:rsidR="00331780">
        <w:rPr>
          <w:rFonts w:ascii="Arial" w:hAnsi="Arial" w:cs="Arial"/>
          <w:sz w:val="20"/>
          <w:u w:val="none"/>
        </w:rPr>
        <w:t xml:space="preserve">. </w:t>
      </w:r>
    </w:p>
    <w:p w14:paraId="312652A5" w14:textId="77777777" w:rsidR="00F715DE" w:rsidRDefault="00F715DE" w:rsidP="00F715DE">
      <w:pPr>
        <w:pStyle w:val="SMSubheading"/>
        <w:rPr>
          <w:rFonts w:ascii="Arial" w:hAnsi="Arial" w:cs="Arial"/>
          <w:sz w:val="20"/>
          <w:u w:val="none"/>
        </w:rPr>
      </w:pPr>
    </w:p>
    <w:p w14:paraId="4C348959" w14:textId="09B99F70" w:rsidR="000D0953" w:rsidRPr="005024A7" w:rsidRDefault="00331780" w:rsidP="00F715DE">
      <w:pPr>
        <w:pStyle w:val="SMSubheading"/>
        <w:rPr>
          <w:rFonts w:ascii="Arial" w:hAnsi="Arial" w:cs="Arial"/>
          <w:sz w:val="20"/>
          <w:u w:val="none"/>
        </w:rPr>
      </w:pPr>
      <w:r>
        <w:rPr>
          <w:rFonts w:ascii="Arial" w:hAnsi="Arial" w:cs="Arial"/>
          <w:sz w:val="20"/>
          <w:u w:val="none"/>
        </w:rPr>
        <w:t xml:space="preserve">Finally, </w:t>
      </w:r>
      <w:r w:rsidR="00E219B3">
        <w:rPr>
          <w:rFonts w:ascii="Arial" w:hAnsi="Arial" w:cs="Arial"/>
          <w:sz w:val="20"/>
          <w:u w:val="none"/>
        </w:rPr>
        <w:t xml:space="preserve">we test the robustness of our findings when we </w:t>
      </w:r>
      <w:r w:rsidR="001355E6" w:rsidRPr="005024A7">
        <w:rPr>
          <w:rFonts w:ascii="Arial" w:hAnsi="Arial" w:cs="Arial"/>
          <w:sz w:val="20"/>
          <w:u w:val="none"/>
        </w:rPr>
        <w:t>remove sites that were no longer enrolled in the program</w:t>
      </w:r>
      <w:r w:rsidR="00CA7E10" w:rsidRPr="005024A7">
        <w:rPr>
          <w:rFonts w:ascii="Arial" w:hAnsi="Arial" w:cs="Arial"/>
          <w:sz w:val="20"/>
          <w:u w:val="none"/>
        </w:rPr>
        <w:t xml:space="preserve"> before the end of the program</w:t>
      </w:r>
      <w:r w:rsidR="0033677D">
        <w:rPr>
          <w:rFonts w:ascii="Arial" w:hAnsi="Arial" w:cs="Arial"/>
          <w:sz w:val="20"/>
          <w:u w:val="none"/>
        </w:rPr>
        <w:t xml:space="preserve"> (</w:t>
      </w:r>
      <w:r w:rsidR="00113604">
        <w:rPr>
          <w:rFonts w:ascii="Arial" w:hAnsi="Arial" w:cs="Arial"/>
          <w:sz w:val="20"/>
          <w:u w:val="none"/>
        </w:rPr>
        <w:t xml:space="preserve">Following </w:t>
      </w:r>
      <w:r w:rsidR="00113604">
        <w:rPr>
          <w:rFonts w:ascii="Arial" w:hAnsi="Arial" w:cs="Arial"/>
          <w:color w:val="000000"/>
          <w:sz w:val="20"/>
        </w:rPr>
        <w:t>(</w:t>
      </w:r>
      <w:r w:rsidR="00113604" w:rsidRPr="006379CE">
        <w:rPr>
          <w:rFonts w:ascii="Arial" w:hAnsi="Arial" w:cs="Arial"/>
          <w:sz w:val="20"/>
        </w:rPr>
        <w:t>1)</w:t>
      </w:r>
      <w:r w:rsidR="00113604">
        <w:rPr>
          <w:rFonts w:ascii="Arial" w:hAnsi="Arial" w:cs="Arial"/>
          <w:sz w:val="20"/>
        </w:rPr>
        <w:t xml:space="preserve">, </w:t>
      </w:r>
      <w:r w:rsidR="00F078F3" w:rsidRPr="00E36C9E">
        <w:rPr>
          <w:rFonts w:ascii="Arial" w:hAnsi="Arial" w:cs="Arial"/>
          <w:color w:val="000000"/>
          <w:sz w:val="20"/>
          <w:u w:val="none"/>
        </w:rPr>
        <w:t>all the other estimates derived from the group-time</w:t>
      </w:r>
      <w:r w:rsidR="00F078F3">
        <w:rPr>
          <w:rFonts w:ascii="Arial" w:hAnsi="Arial" w:cs="Arial"/>
          <w:sz w:val="20"/>
          <w:u w:val="none"/>
        </w:rPr>
        <w:t xml:space="preserve"> ATT </w:t>
      </w:r>
      <w:r w:rsidR="00E36C9E">
        <w:rPr>
          <w:rFonts w:ascii="Arial" w:hAnsi="Arial" w:cs="Arial"/>
          <w:sz w:val="20"/>
          <w:u w:val="none"/>
        </w:rPr>
        <w:t xml:space="preserve">are calculating without considering the fact that some sites have not been continuously enrolled between the first year of enrollment and the </w:t>
      </w:r>
      <w:r w:rsidR="00113604">
        <w:rPr>
          <w:rFonts w:ascii="Arial" w:hAnsi="Arial" w:cs="Arial"/>
          <w:sz w:val="20"/>
          <w:u w:val="none"/>
        </w:rPr>
        <w:t>end of the program).</w:t>
      </w:r>
    </w:p>
    <w:p w14:paraId="2AC55A0C" w14:textId="77777777" w:rsidR="000D0953" w:rsidRDefault="000D0953" w:rsidP="00820484">
      <w:pPr>
        <w:pStyle w:val="SMSubheading"/>
        <w:rPr>
          <w:rFonts w:ascii="Arial" w:hAnsi="Arial" w:cs="Arial"/>
          <w:sz w:val="20"/>
          <w:u w:val="none"/>
        </w:rPr>
      </w:pPr>
    </w:p>
    <w:p w14:paraId="1DE1B73A" w14:textId="364579E4" w:rsidR="00355362" w:rsidRDefault="00BF1682" w:rsidP="00820484">
      <w:pPr>
        <w:pStyle w:val="SMSubheading"/>
        <w:rPr>
          <w:rFonts w:ascii="Arial" w:hAnsi="Arial" w:cs="Arial"/>
          <w:sz w:val="20"/>
          <w:u w:val="none"/>
        </w:rPr>
      </w:pPr>
      <w:r>
        <w:rPr>
          <w:rFonts w:ascii="Arial" w:hAnsi="Arial" w:cs="Arial"/>
          <w:sz w:val="20"/>
          <w:u w:val="none"/>
        </w:rPr>
        <w:t xml:space="preserve">In each graph, our base model is </w:t>
      </w:r>
      <w:r w:rsidR="0088006B">
        <w:rPr>
          <w:rFonts w:ascii="Arial" w:hAnsi="Arial" w:cs="Arial"/>
          <w:sz w:val="20"/>
          <w:u w:val="none"/>
        </w:rPr>
        <w:t xml:space="preserve">in </w:t>
      </w:r>
      <w:r w:rsidR="00977A43">
        <w:rPr>
          <w:rFonts w:ascii="Arial" w:hAnsi="Arial" w:cs="Arial"/>
          <w:sz w:val="20"/>
          <w:u w:val="none"/>
        </w:rPr>
        <w:t>O</w:t>
      </w:r>
      <w:r w:rsidR="0088006B">
        <w:rPr>
          <w:rFonts w:ascii="Arial" w:hAnsi="Arial" w:cs="Arial"/>
          <w:sz w:val="20"/>
          <w:u w:val="none"/>
        </w:rPr>
        <w:t>range and alternative models are in Black.</w:t>
      </w:r>
      <w:r w:rsidR="0004656B">
        <w:rPr>
          <w:rFonts w:ascii="Arial" w:hAnsi="Arial" w:cs="Arial"/>
          <w:sz w:val="20"/>
          <w:u w:val="none"/>
        </w:rPr>
        <w:t xml:space="preserve"> On the main model, bright orange interval corresponds to 90% pointwise confidence interval and light orange is 95%. On the other models, </w:t>
      </w:r>
      <w:r w:rsidR="00587580">
        <w:rPr>
          <w:rFonts w:ascii="Arial" w:hAnsi="Arial" w:cs="Arial"/>
          <w:sz w:val="20"/>
          <w:u w:val="none"/>
        </w:rPr>
        <w:t>black interval is 90% and grey interval is 95%.</w:t>
      </w:r>
    </w:p>
    <w:p w14:paraId="6AC32FFB" w14:textId="09A3F328" w:rsidR="00F31D79" w:rsidRDefault="00F31D79" w:rsidP="00820484">
      <w:pPr>
        <w:pStyle w:val="SMSubheading"/>
        <w:rPr>
          <w:rFonts w:ascii="Arial" w:hAnsi="Arial" w:cs="Arial"/>
          <w:sz w:val="20"/>
          <w:u w:val="none"/>
        </w:rPr>
      </w:pPr>
    </w:p>
    <w:p w14:paraId="41DC4ED6" w14:textId="033CBE06" w:rsidR="007206D8" w:rsidRDefault="000E7AFB" w:rsidP="00FC5377">
      <w:pPr>
        <w:pStyle w:val="SMSubheading"/>
        <w:rPr>
          <w:rFonts w:ascii="Arial" w:hAnsi="Arial" w:cs="Arial"/>
          <w:sz w:val="20"/>
          <w:u w:val="none"/>
        </w:rPr>
      </w:pPr>
      <w:r>
        <w:rPr>
          <w:rFonts w:ascii="Arial" w:hAnsi="Arial" w:cs="Arial"/>
          <w:sz w:val="20"/>
          <w:u w:val="none"/>
        </w:rPr>
        <w:t>In Fig. S</w:t>
      </w:r>
      <w:r w:rsidR="00EB6AB1">
        <w:rPr>
          <w:rFonts w:ascii="Arial" w:hAnsi="Arial" w:cs="Arial"/>
          <w:sz w:val="20"/>
          <w:u w:val="none"/>
        </w:rPr>
        <w:t>11</w:t>
      </w:r>
      <w:r>
        <w:rPr>
          <w:rFonts w:ascii="Arial" w:hAnsi="Arial" w:cs="Arial"/>
          <w:sz w:val="20"/>
          <w:u w:val="none"/>
        </w:rPr>
        <w:t>, we observe that the magnitude of our ATT</w:t>
      </w:r>
      <w:r w:rsidR="00A54CF5">
        <w:rPr>
          <w:rFonts w:ascii="Arial" w:hAnsi="Arial" w:cs="Arial"/>
          <w:sz w:val="20"/>
          <w:u w:val="none"/>
        </w:rPr>
        <w:t xml:space="preserve"> is fairly stable across most specifications</w:t>
      </w:r>
      <w:r w:rsidR="007A07A6">
        <w:rPr>
          <w:rFonts w:ascii="Arial" w:hAnsi="Arial" w:cs="Arial"/>
          <w:sz w:val="20"/>
          <w:u w:val="none"/>
        </w:rPr>
        <w:t xml:space="preserve"> for the settlements in Amazonia</w:t>
      </w:r>
      <w:r w:rsidR="00A54CF5">
        <w:rPr>
          <w:rFonts w:ascii="Arial" w:hAnsi="Arial" w:cs="Arial"/>
          <w:sz w:val="20"/>
          <w:u w:val="none"/>
        </w:rPr>
        <w:t xml:space="preserve">, except when </w:t>
      </w:r>
      <w:r w:rsidR="0067456B">
        <w:rPr>
          <w:rFonts w:ascii="Arial" w:hAnsi="Arial" w:cs="Arial"/>
          <w:sz w:val="20"/>
          <w:u w:val="none"/>
        </w:rPr>
        <w:t xml:space="preserve">no matching variables are including, when we do </w:t>
      </w:r>
      <w:r w:rsidR="00DB47FD">
        <w:rPr>
          <w:rFonts w:ascii="Arial" w:hAnsi="Arial" w:cs="Arial"/>
          <w:sz w:val="20"/>
          <w:u w:val="none"/>
        </w:rPr>
        <w:t>not add any past tree cover loss</w:t>
      </w:r>
      <w:r w:rsidR="0067456B">
        <w:rPr>
          <w:rFonts w:ascii="Arial" w:hAnsi="Arial" w:cs="Arial"/>
          <w:sz w:val="20"/>
          <w:u w:val="none"/>
        </w:rPr>
        <w:t xml:space="preserve"> as</w:t>
      </w:r>
      <w:r w:rsidR="00DB47FD">
        <w:rPr>
          <w:rFonts w:ascii="Arial" w:hAnsi="Arial" w:cs="Arial"/>
          <w:sz w:val="20"/>
          <w:u w:val="none"/>
        </w:rPr>
        <w:t xml:space="preserve"> </w:t>
      </w:r>
      <w:r w:rsidR="008304B5">
        <w:rPr>
          <w:rFonts w:ascii="Arial" w:hAnsi="Arial" w:cs="Arial"/>
          <w:sz w:val="20"/>
          <w:u w:val="none"/>
        </w:rPr>
        <w:t>matching variable</w:t>
      </w:r>
      <w:r w:rsidR="00DB47FD">
        <w:rPr>
          <w:rFonts w:ascii="Arial" w:hAnsi="Arial" w:cs="Arial"/>
          <w:sz w:val="20"/>
          <w:u w:val="none"/>
        </w:rPr>
        <w:t>s</w:t>
      </w:r>
      <w:r w:rsidR="004A14C7">
        <w:rPr>
          <w:rFonts w:ascii="Arial" w:hAnsi="Arial" w:cs="Arial"/>
          <w:sz w:val="20"/>
          <w:u w:val="none"/>
        </w:rPr>
        <w:t>, or for the subgroup of the most densely enrolled sites</w:t>
      </w:r>
      <w:r w:rsidR="0067456B">
        <w:rPr>
          <w:rFonts w:ascii="Arial" w:hAnsi="Arial" w:cs="Arial"/>
          <w:sz w:val="20"/>
          <w:u w:val="none"/>
        </w:rPr>
        <w:t>.</w:t>
      </w:r>
      <w:r w:rsidR="00762EC1">
        <w:rPr>
          <w:rFonts w:ascii="Arial" w:hAnsi="Arial" w:cs="Arial"/>
          <w:sz w:val="20"/>
          <w:u w:val="none"/>
        </w:rPr>
        <w:t xml:space="preserve"> </w:t>
      </w:r>
      <w:r w:rsidR="008304B5">
        <w:rPr>
          <w:rFonts w:ascii="Arial" w:hAnsi="Arial" w:cs="Arial"/>
          <w:sz w:val="20"/>
          <w:u w:val="none"/>
        </w:rPr>
        <w:t xml:space="preserve">It confirms the important </w:t>
      </w:r>
      <w:r w:rsidR="0034772A">
        <w:rPr>
          <w:rFonts w:ascii="Arial" w:hAnsi="Arial" w:cs="Arial"/>
          <w:sz w:val="20"/>
          <w:u w:val="none"/>
        </w:rPr>
        <w:t xml:space="preserve">selection bias </w:t>
      </w:r>
      <w:r w:rsidR="007A07A6">
        <w:rPr>
          <w:rFonts w:ascii="Arial" w:hAnsi="Arial" w:cs="Arial"/>
          <w:sz w:val="20"/>
          <w:u w:val="none"/>
        </w:rPr>
        <w:t>associated with the program</w:t>
      </w:r>
      <w:r w:rsidR="00966814">
        <w:rPr>
          <w:rFonts w:ascii="Arial" w:hAnsi="Arial" w:cs="Arial"/>
          <w:sz w:val="20"/>
          <w:u w:val="none"/>
        </w:rPr>
        <w:t>:</w:t>
      </w:r>
      <w:r w:rsidR="00B32B68">
        <w:rPr>
          <w:rFonts w:ascii="Arial" w:hAnsi="Arial" w:cs="Arial"/>
          <w:sz w:val="20"/>
          <w:u w:val="none"/>
        </w:rPr>
        <w:t xml:space="preserve"> on average</w:t>
      </w:r>
      <w:r w:rsidR="003A1DA8">
        <w:rPr>
          <w:rFonts w:ascii="Arial" w:hAnsi="Arial" w:cs="Arial"/>
          <w:sz w:val="20"/>
          <w:u w:val="none"/>
        </w:rPr>
        <w:t xml:space="preserve">, before matching, </w:t>
      </w:r>
      <w:r w:rsidR="00B32B68">
        <w:rPr>
          <w:rFonts w:ascii="Arial" w:hAnsi="Arial" w:cs="Arial"/>
          <w:sz w:val="20"/>
          <w:u w:val="none"/>
        </w:rPr>
        <w:t>never</w:t>
      </w:r>
      <w:r w:rsidR="00DB47FD">
        <w:rPr>
          <w:rFonts w:ascii="Arial" w:hAnsi="Arial" w:cs="Arial"/>
          <w:sz w:val="20"/>
          <w:u w:val="none"/>
        </w:rPr>
        <w:t>-</w:t>
      </w:r>
      <w:r w:rsidR="00B32B68">
        <w:rPr>
          <w:rFonts w:ascii="Arial" w:hAnsi="Arial" w:cs="Arial"/>
          <w:sz w:val="20"/>
          <w:u w:val="none"/>
        </w:rPr>
        <w:t>enrolled settlements had a high</w:t>
      </w:r>
      <w:r w:rsidR="005A5A93">
        <w:rPr>
          <w:rFonts w:ascii="Arial" w:hAnsi="Arial" w:cs="Arial"/>
          <w:sz w:val="20"/>
          <w:u w:val="none"/>
        </w:rPr>
        <w:t>er</w:t>
      </w:r>
      <w:r w:rsidR="00236FD1">
        <w:rPr>
          <w:rFonts w:ascii="Arial" w:hAnsi="Arial" w:cs="Arial"/>
          <w:sz w:val="20"/>
          <w:u w:val="none"/>
        </w:rPr>
        <w:t>, although decreasing,</w:t>
      </w:r>
      <w:r w:rsidR="00B32B68">
        <w:rPr>
          <w:rFonts w:ascii="Arial" w:hAnsi="Arial" w:cs="Arial"/>
          <w:sz w:val="20"/>
          <w:u w:val="none"/>
        </w:rPr>
        <w:t xml:space="preserve"> </w:t>
      </w:r>
      <w:r w:rsidR="00360A9F">
        <w:rPr>
          <w:rFonts w:ascii="Arial" w:hAnsi="Arial" w:cs="Arial"/>
          <w:sz w:val="20"/>
          <w:u w:val="none"/>
        </w:rPr>
        <w:t xml:space="preserve">tree cover loss </w:t>
      </w:r>
      <w:r w:rsidR="005A5A93">
        <w:rPr>
          <w:rFonts w:ascii="Arial" w:hAnsi="Arial" w:cs="Arial"/>
          <w:sz w:val="20"/>
          <w:u w:val="none"/>
        </w:rPr>
        <w:t>than enrolled settlements</w:t>
      </w:r>
      <w:r w:rsidR="001A5FE6">
        <w:rPr>
          <w:rFonts w:ascii="Arial" w:hAnsi="Arial" w:cs="Arial"/>
          <w:sz w:val="20"/>
          <w:u w:val="none"/>
        </w:rPr>
        <w:t>, particularly the yea</w:t>
      </w:r>
      <w:r w:rsidR="00AF01AB">
        <w:rPr>
          <w:rFonts w:ascii="Arial" w:hAnsi="Arial" w:cs="Arial"/>
          <w:sz w:val="20"/>
          <w:u w:val="none"/>
        </w:rPr>
        <w:t>rs before the beginning of the program</w:t>
      </w:r>
      <w:r w:rsidR="00DA6A09">
        <w:rPr>
          <w:rFonts w:ascii="Arial" w:hAnsi="Arial" w:cs="Arial"/>
          <w:sz w:val="20"/>
          <w:u w:val="none"/>
        </w:rPr>
        <w:t xml:space="preserve">. </w:t>
      </w:r>
      <w:r w:rsidR="00236FD1">
        <w:rPr>
          <w:rFonts w:ascii="Arial" w:hAnsi="Arial" w:cs="Arial"/>
          <w:sz w:val="20"/>
          <w:u w:val="none"/>
        </w:rPr>
        <w:t xml:space="preserve">In a difference-in-difference estimation, if </w:t>
      </w:r>
      <w:r w:rsidR="00A055F4">
        <w:rPr>
          <w:rFonts w:ascii="Arial" w:hAnsi="Arial" w:cs="Arial"/>
          <w:sz w:val="20"/>
          <w:u w:val="none"/>
        </w:rPr>
        <w:t xml:space="preserve">loss in </w:t>
      </w:r>
      <w:r w:rsidR="00236FD1">
        <w:rPr>
          <w:rFonts w:ascii="Arial" w:hAnsi="Arial" w:cs="Arial"/>
          <w:sz w:val="20"/>
          <w:u w:val="none"/>
        </w:rPr>
        <w:t xml:space="preserve">the </w:t>
      </w:r>
      <w:r w:rsidR="002C155A">
        <w:rPr>
          <w:rFonts w:ascii="Arial" w:hAnsi="Arial" w:cs="Arial"/>
          <w:sz w:val="20"/>
          <w:u w:val="none"/>
        </w:rPr>
        <w:t>control group starts at a higher level but marginally decrease during the treatment period (because of other causes than the treatment)</w:t>
      </w:r>
      <w:r w:rsidR="00A055F4">
        <w:rPr>
          <w:rFonts w:ascii="Arial" w:hAnsi="Arial" w:cs="Arial"/>
          <w:sz w:val="20"/>
          <w:u w:val="none"/>
        </w:rPr>
        <w:t xml:space="preserve"> while loss in the intervention remains fairly stable, </w:t>
      </w:r>
      <w:r w:rsidR="00D9791C">
        <w:rPr>
          <w:rFonts w:ascii="Arial" w:hAnsi="Arial" w:cs="Arial"/>
          <w:sz w:val="20"/>
          <w:u w:val="none"/>
        </w:rPr>
        <w:t xml:space="preserve">by difference </w:t>
      </w:r>
      <w:r w:rsidR="00242C26">
        <w:rPr>
          <w:rFonts w:ascii="Arial" w:hAnsi="Arial" w:cs="Arial"/>
          <w:sz w:val="20"/>
          <w:u w:val="none"/>
        </w:rPr>
        <w:t>we</w:t>
      </w:r>
      <w:r w:rsidR="00D9791C">
        <w:rPr>
          <w:rFonts w:ascii="Arial" w:hAnsi="Arial" w:cs="Arial"/>
          <w:sz w:val="20"/>
          <w:u w:val="none"/>
        </w:rPr>
        <w:t xml:space="preserve"> may obtain a positive ATT, although this would </w:t>
      </w:r>
      <w:r w:rsidR="009B0AA3">
        <w:rPr>
          <w:rFonts w:ascii="Arial" w:hAnsi="Arial" w:cs="Arial"/>
          <w:sz w:val="20"/>
          <w:u w:val="none"/>
        </w:rPr>
        <w:t xml:space="preserve">not reflect a causal impact of the program because </w:t>
      </w:r>
      <w:r w:rsidR="00221987">
        <w:rPr>
          <w:rFonts w:ascii="Arial" w:hAnsi="Arial" w:cs="Arial"/>
          <w:sz w:val="20"/>
          <w:u w:val="none"/>
        </w:rPr>
        <w:t>we are not making an “apple-to-apple”</w:t>
      </w:r>
      <w:r w:rsidR="00242C26">
        <w:rPr>
          <w:rFonts w:ascii="Arial" w:hAnsi="Arial" w:cs="Arial"/>
          <w:sz w:val="20"/>
          <w:u w:val="none"/>
        </w:rPr>
        <w:t xml:space="preserve"> </w:t>
      </w:r>
      <w:r w:rsidR="00221987">
        <w:rPr>
          <w:rFonts w:ascii="Arial" w:hAnsi="Arial" w:cs="Arial"/>
          <w:sz w:val="20"/>
          <w:u w:val="none"/>
        </w:rPr>
        <w:t>comparison</w:t>
      </w:r>
      <w:r w:rsidR="00242C26">
        <w:rPr>
          <w:rFonts w:ascii="Arial" w:hAnsi="Arial" w:cs="Arial"/>
          <w:sz w:val="20"/>
          <w:u w:val="none"/>
        </w:rPr>
        <w:t xml:space="preserve"> between similar enrolled and never-enrolled sites</w:t>
      </w:r>
      <w:r w:rsidR="00221987">
        <w:rPr>
          <w:rFonts w:ascii="Arial" w:hAnsi="Arial" w:cs="Arial"/>
          <w:sz w:val="20"/>
          <w:u w:val="none"/>
        </w:rPr>
        <w:t>.</w:t>
      </w:r>
      <w:r w:rsidR="002217C1">
        <w:rPr>
          <w:rFonts w:ascii="Arial" w:hAnsi="Arial" w:cs="Arial"/>
          <w:sz w:val="20"/>
          <w:u w:val="none"/>
        </w:rPr>
        <w:t xml:space="preserve"> Fig. S8 also further suggest that only considering </w:t>
      </w:r>
      <w:r w:rsidR="00D771D6">
        <w:rPr>
          <w:rFonts w:ascii="Arial" w:hAnsi="Arial" w:cs="Arial"/>
          <w:sz w:val="20"/>
          <w:u w:val="none"/>
        </w:rPr>
        <w:t xml:space="preserve">tree cover loss </w:t>
      </w:r>
      <w:r w:rsidR="002217C1">
        <w:rPr>
          <w:rFonts w:ascii="Arial" w:hAnsi="Arial" w:cs="Arial"/>
          <w:sz w:val="20"/>
          <w:u w:val="none"/>
        </w:rPr>
        <w:t xml:space="preserve">2007-2010 as a </w:t>
      </w:r>
      <w:r w:rsidR="0013016B">
        <w:rPr>
          <w:rFonts w:ascii="Arial" w:hAnsi="Arial" w:cs="Arial"/>
          <w:sz w:val="20"/>
          <w:u w:val="none"/>
        </w:rPr>
        <w:t xml:space="preserve">past loss </w:t>
      </w:r>
      <w:r w:rsidR="002217C1">
        <w:rPr>
          <w:rFonts w:ascii="Arial" w:hAnsi="Arial" w:cs="Arial"/>
          <w:sz w:val="20"/>
          <w:u w:val="none"/>
        </w:rPr>
        <w:t xml:space="preserve">matching variable would </w:t>
      </w:r>
      <w:r w:rsidR="00D771D6">
        <w:rPr>
          <w:rFonts w:ascii="Arial" w:hAnsi="Arial" w:cs="Arial"/>
          <w:sz w:val="20"/>
          <w:u w:val="none"/>
        </w:rPr>
        <w:t>correspond to a slightly higher cumulative ATT</w:t>
      </w:r>
      <w:r w:rsidR="0013016B">
        <w:rPr>
          <w:rFonts w:ascii="Arial" w:hAnsi="Arial" w:cs="Arial"/>
          <w:sz w:val="20"/>
          <w:u w:val="none"/>
        </w:rPr>
        <w:t xml:space="preserve"> than in the base model that use several past tree cover loss periods</w:t>
      </w:r>
      <w:r w:rsidR="00F00DAF">
        <w:rPr>
          <w:rFonts w:ascii="Arial" w:hAnsi="Arial" w:cs="Arial"/>
          <w:sz w:val="20"/>
          <w:u w:val="none"/>
        </w:rPr>
        <w:t>, while only considering tree cover loss 2000-2010 without separating into different periods would yield a slightly lower ATT</w:t>
      </w:r>
      <w:r w:rsidR="00865DE4">
        <w:rPr>
          <w:rFonts w:ascii="Arial" w:hAnsi="Arial" w:cs="Arial"/>
          <w:sz w:val="20"/>
          <w:u w:val="none"/>
        </w:rPr>
        <w:t xml:space="preserve">, which may </w:t>
      </w:r>
      <w:r w:rsidR="00D537A6">
        <w:rPr>
          <w:rFonts w:ascii="Arial" w:hAnsi="Arial" w:cs="Arial"/>
          <w:sz w:val="20"/>
          <w:u w:val="none"/>
        </w:rPr>
        <w:t xml:space="preserve">be a further indication of </w:t>
      </w:r>
      <w:r w:rsidR="00A42F16">
        <w:rPr>
          <w:rFonts w:ascii="Arial" w:hAnsi="Arial" w:cs="Arial"/>
          <w:sz w:val="20"/>
          <w:u w:val="none"/>
        </w:rPr>
        <w:t>how time-varying drivers of deforestation can induce treatment effect heterogeneity.</w:t>
      </w:r>
    </w:p>
    <w:p w14:paraId="33CBB875" w14:textId="77777777" w:rsidR="007206D8" w:rsidRDefault="007206D8" w:rsidP="00FC5377">
      <w:pPr>
        <w:pStyle w:val="SMSubheading"/>
        <w:rPr>
          <w:rFonts w:ascii="Arial" w:hAnsi="Arial" w:cs="Arial"/>
          <w:sz w:val="20"/>
          <w:u w:val="none"/>
        </w:rPr>
      </w:pPr>
    </w:p>
    <w:p w14:paraId="082FE6FB" w14:textId="2E53B477" w:rsidR="00F85FFF" w:rsidRDefault="008A20A5" w:rsidP="00FC5377">
      <w:pPr>
        <w:pStyle w:val="SMSubheading"/>
        <w:rPr>
          <w:rFonts w:ascii="Arial" w:hAnsi="Arial" w:cs="Arial"/>
          <w:sz w:val="20"/>
          <w:u w:val="none"/>
        </w:rPr>
      </w:pPr>
      <w:r>
        <w:rPr>
          <w:rFonts w:ascii="Arial" w:hAnsi="Arial" w:cs="Arial"/>
          <w:sz w:val="20"/>
          <w:u w:val="none"/>
        </w:rPr>
        <w:t>We note that clustering standard error at the municipal level would make the results not significant at the 95% level, but the result would still be significant at the 90% level.</w:t>
      </w:r>
      <w:r w:rsidR="00525EC7">
        <w:rPr>
          <w:rFonts w:ascii="Arial" w:hAnsi="Arial" w:cs="Arial"/>
          <w:sz w:val="20"/>
          <w:u w:val="none"/>
        </w:rPr>
        <w:t xml:space="preserve"> We also observe that removing the enrolled sites the more</w:t>
      </w:r>
      <w:r w:rsidR="00633510">
        <w:rPr>
          <w:rFonts w:ascii="Arial" w:hAnsi="Arial" w:cs="Arial"/>
          <w:sz w:val="20"/>
          <w:u w:val="none"/>
        </w:rPr>
        <w:t xml:space="preserve"> far away from roads </w:t>
      </w:r>
      <w:r w:rsidR="00225855">
        <w:rPr>
          <w:rFonts w:ascii="Arial" w:hAnsi="Arial" w:cs="Arial"/>
          <w:sz w:val="20"/>
          <w:u w:val="none"/>
        </w:rPr>
        <w:t xml:space="preserve">(in </w:t>
      </w:r>
      <w:r w:rsidR="00A2281E">
        <w:rPr>
          <w:rFonts w:ascii="Arial" w:hAnsi="Arial" w:cs="Arial"/>
          <w:sz w:val="20"/>
          <w:u w:val="none"/>
        </w:rPr>
        <w:t>our sample</w:t>
      </w:r>
      <w:r w:rsidR="00225855">
        <w:rPr>
          <w:rFonts w:ascii="Arial" w:hAnsi="Arial" w:cs="Arial"/>
          <w:sz w:val="20"/>
          <w:u w:val="none"/>
        </w:rPr>
        <w:t xml:space="preserve"> of enrolled </w:t>
      </w:r>
      <w:r w:rsidR="00225855">
        <w:rPr>
          <w:rFonts w:ascii="Arial" w:hAnsi="Arial" w:cs="Arial"/>
          <w:sz w:val="20"/>
          <w:u w:val="none"/>
        </w:rPr>
        <w:lastRenderedPageBreak/>
        <w:t>settlements in Amazonia</w:t>
      </w:r>
      <w:r w:rsidR="00A2281E">
        <w:rPr>
          <w:rFonts w:ascii="Arial" w:hAnsi="Arial" w:cs="Arial"/>
          <w:sz w:val="20"/>
          <w:u w:val="none"/>
        </w:rPr>
        <w:t xml:space="preserve">, it corresponds to sites located more than 34 km away from </w:t>
      </w:r>
      <w:r w:rsidR="007A248C">
        <w:rPr>
          <w:rFonts w:ascii="Arial" w:hAnsi="Arial" w:cs="Arial"/>
          <w:sz w:val="20"/>
          <w:u w:val="none"/>
        </w:rPr>
        <w:t>roads) would</w:t>
      </w:r>
      <w:r w:rsidR="00AB54AA">
        <w:rPr>
          <w:rFonts w:ascii="Arial" w:hAnsi="Arial" w:cs="Arial"/>
          <w:sz w:val="20"/>
          <w:u w:val="none"/>
        </w:rPr>
        <w:t xml:space="preserve"> make our impact estimate statistically non-significant</w:t>
      </w:r>
      <w:r w:rsidR="00F33184">
        <w:rPr>
          <w:rFonts w:ascii="Arial" w:hAnsi="Arial" w:cs="Arial"/>
          <w:sz w:val="20"/>
          <w:u w:val="none"/>
        </w:rPr>
        <w:t xml:space="preserve">, indicating that </w:t>
      </w:r>
      <w:r w:rsidR="002D6D7B">
        <w:rPr>
          <w:rFonts w:ascii="Arial" w:hAnsi="Arial" w:cs="Arial"/>
          <w:sz w:val="20"/>
          <w:u w:val="none"/>
        </w:rPr>
        <w:t xml:space="preserve">some of </w:t>
      </w:r>
      <w:r w:rsidR="00B562E0">
        <w:rPr>
          <w:rFonts w:ascii="Arial" w:hAnsi="Arial" w:cs="Arial"/>
          <w:sz w:val="20"/>
          <w:u w:val="none"/>
        </w:rPr>
        <w:t xml:space="preserve">the program </w:t>
      </w:r>
      <w:r w:rsidR="002D6D7B">
        <w:rPr>
          <w:rFonts w:ascii="Arial" w:hAnsi="Arial" w:cs="Arial"/>
          <w:sz w:val="20"/>
          <w:u w:val="none"/>
        </w:rPr>
        <w:t xml:space="preserve">effect could have been located in sites quite </w:t>
      </w:r>
      <w:r w:rsidR="00D75D09">
        <w:rPr>
          <w:rFonts w:ascii="Arial" w:hAnsi="Arial" w:cs="Arial"/>
          <w:sz w:val="20"/>
          <w:u w:val="none"/>
        </w:rPr>
        <w:t>far away from mains roads which may be facing deforestation pressures (</w:t>
      </w:r>
      <w:r w:rsidR="00762BF3">
        <w:rPr>
          <w:rFonts w:ascii="Arial" w:hAnsi="Arial" w:cs="Arial"/>
          <w:sz w:val="20"/>
          <w:u w:val="none"/>
        </w:rPr>
        <w:t>e.g.,</w:t>
      </w:r>
      <w:r w:rsidR="00D75D09">
        <w:rPr>
          <w:rFonts w:ascii="Arial" w:hAnsi="Arial" w:cs="Arial"/>
          <w:sz w:val="20"/>
          <w:u w:val="none"/>
        </w:rPr>
        <w:t xml:space="preserve"> associated with </w:t>
      </w:r>
      <w:r w:rsidR="00762BF3">
        <w:rPr>
          <w:rFonts w:ascii="Arial" w:hAnsi="Arial" w:cs="Arial"/>
          <w:sz w:val="20"/>
          <w:u w:val="none"/>
        </w:rPr>
        <w:t>secondary or informal road networks).</w:t>
      </w:r>
      <w:r w:rsidR="002D6D7B">
        <w:rPr>
          <w:rFonts w:ascii="Arial" w:hAnsi="Arial" w:cs="Arial"/>
          <w:sz w:val="20"/>
          <w:u w:val="none"/>
        </w:rPr>
        <w:t xml:space="preserve"> </w:t>
      </w:r>
      <w:r w:rsidR="007028FC">
        <w:rPr>
          <w:rFonts w:ascii="Arial" w:hAnsi="Arial" w:cs="Arial"/>
          <w:sz w:val="20"/>
          <w:u w:val="none"/>
        </w:rPr>
        <w:t xml:space="preserve">The forest cover area </w:t>
      </w:r>
      <w:r w:rsidR="00417B3E">
        <w:rPr>
          <w:rFonts w:ascii="Arial" w:hAnsi="Arial" w:cs="Arial"/>
          <w:sz w:val="20"/>
          <w:u w:val="none"/>
        </w:rPr>
        <w:t xml:space="preserve">seems also to be associated with heterogeneity, as removing the largest forest sites </w:t>
      </w:r>
      <w:r w:rsidR="00D96A6F">
        <w:rPr>
          <w:rFonts w:ascii="Arial" w:hAnsi="Arial" w:cs="Arial"/>
          <w:sz w:val="20"/>
          <w:u w:val="none"/>
        </w:rPr>
        <w:t>slightly reduce the ATT (significant only at 90%</w:t>
      </w:r>
      <w:r w:rsidR="00560283">
        <w:rPr>
          <w:rFonts w:ascii="Arial" w:hAnsi="Arial" w:cs="Arial"/>
          <w:sz w:val="20"/>
          <w:u w:val="none"/>
        </w:rPr>
        <w:t xml:space="preserve"> level</w:t>
      </w:r>
      <w:r w:rsidR="00D96A6F">
        <w:rPr>
          <w:rFonts w:ascii="Arial" w:hAnsi="Arial" w:cs="Arial"/>
          <w:sz w:val="20"/>
          <w:u w:val="none"/>
        </w:rPr>
        <w:t>)</w:t>
      </w:r>
      <w:r w:rsidR="00560283">
        <w:rPr>
          <w:rFonts w:ascii="Arial" w:hAnsi="Arial" w:cs="Arial"/>
          <w:sz w:val="20"/>
          <w:u w:val="none"/>
        </w:rPr>
        <w:t xml:space="preserve">. </w:t>
      </w:r>
      <w:r w:rsidR="00E64ED7">
        <w:rPr>
          <w:rFonts w:ascii="Arial" w:hAnsi="Arial" w:cs="Arial"/>
          <w:sz w:val="20"/>
          <w:u w:val="none"/>
        </w:rPr>
        <w:t xml:space="preserve">Considering heterogeneity in forest cover loss 2011-2017, we do not find that removing sites with the lowest loss affect our main findings, which is consistent with the fact that </w:t>
      </w:r>
      <w:r w:rsidR="003B2A19">
        <w:rPr>
          <w:rFonts w:ascii="Arial" w:hAnsi="Arial" w:cs="Arial"/>
          <w:sz w:val="20"/>
          <w:u w:val="none"/>
        </w:rPr>
        <w:t xml:space="preserve">the program may have primarily induced impacts in sites </w:t>
      </w:r>
      <w:r w:rsidR="00FD0FFE">
        <w:rPr>
          <w:rFonts w:ascii="Arial" w:hAnsi="Arial" w:cs="Arial"/>
          <w:sz w:val="20"/>
          <w:u w:val="none"/>
        </w:rPr>
        <w:t>facing moderate to high deforestation.</w:t>
      </w:r>
    </w:p>
    <w:p w14:paraId="5C3F135E" w14:textId="7AD6EAB1" w:rsidR="00C329AE" w:rsidRDefault="00C329AE" w:rsidP="00FC5377">
      <w:pPr>
        <w:pStyle w:val="SMSubheading"/>
        <w:rPr>
          <w:rFonts w:ascii="Arial" w:hAnsi="Arial" w:cs="Arial"/>
          <w:sz w:val="20"/>
          <w:u w:val="none"/>
        </w:rPr>
      </w:pPr>
    </w:p>
    <w:p w14:paraId="21F67792" w14:textId="58D7AA72" w:rsidR="00C329AE" w:rsidRDefault="00C329AE" w:rsidP="00FC5377">
      <w:pPr>
        <w:pStyle w:val="SMSubheading"/>
        <w:rPr>
          <w:rFonts w:ascii="Arial" w:hAnsi="Arial" w:cs="Arial"/>
          <w:sz w:val="20"/>
          <w:u w:val="none"/>
        </w:rPr>
      </w:pPr>
      <w:r>
        <w:rPr>
          <w:rFonts w:ascii="Arial" w:hAnsi="Arial" w:cs="Arial"/>
          <w:sz w:val="20"/>
          <w:u w:val="none"/>
        </w:rPr>
        <w:t>The subgroups exploring heterogeneity as a function of the</w:t>
      </w:r>
      <w:r w:rsidR="009D3C71">
        <w:rPr>
          <w:rFonts w:ascii="Arial" w:hAnsi="Arial" w:cs="Arial"/>
          <w:sz w:val="20"/>
          <w:u w:val="none"/>
        </w:rPr>
        <w:t xml:space="preserve"> enrollment ratio of the program (in minimum number of enrolled households per site forest area) also reveals that the more densely enrolled sites (&gt;=5) </w:t>
      </w:r>
      <w:r w:rsidR="004D5B20">
        <w:rPr>
          <w:rFonts w:ascii="Arial" w:hAnsi="Arial" w:cs="Arial"/>
          <w:sz w:val="20"/>
          <w:u w:val="none"/>
        </w:rPr>
        <w:t xml:space="preserve">are not necessarily more effective, which may be interpreted as </w:t>
      </w:r>
      <w:r w:rsidR="00B52BE9">
        <w:rPr>
          <w:rFonts w:ascii="Arial" w:hAnsi="Arial" w:cs="Arial"/>
          <w:sz w:val="20"/>
          <w:u w:val="none"/>
        </w:rPr>
        <w:t>an indication</w:t>
      </w:r>
      <w:r w:rsidR="004D5B20">
        <w:rPr>
          <w:rFonts w:ascii="Arial" w:hAnsi="Arial" w:cs="Arial"/>
          <w:sz w:val="20"/>
          <w:u w:val="none"/>
        </w:rPr>
        <w:t xml:space="preserve"> that</w:t>
      </w:r>
      <w:r w:rsidR="003C5D14">
        <w:rPr>
          <w:rFonts w:ascii="Arial" w:hAnsi="Arial" w:cs="Arial"/>
          <w:sz w:val="20"/>
          <w:u w:val="none"/>
        </w:rPr>
        <w:t>,</w:t>
      </w:r>
      <w:r w:rsidR="004D5B20">
        <w:rPr>
          <w:rFonts w:ascii="Arial" w:hAnsi="Arial" w:cs="Arial"/>
          <w:sz w:val="20"/>
          <w:u w:val="none"/>
        </w:rPr>
        <w:t xml:space="preserve"> </w:t>
      </w:r>
      <w:r w:rsidR="003C5D14">
        <w:rPr>
          <w:rFonts w:ascii="Arial" w:hAnsi="Arial" w:cs="Arial"/>
          <w:sz w:val="20"/>
          <w:u w:val="none"/>
        </w:rPr>
        <w:t xml:space="preserve">because </w:t>
      </w:r>
      <w:r w:rsidR="000A1933">
        <w:rPr>
          <w:rFonts w:ascii="Arial" w:hAnsi="Arial" w:cs="Arial"/>
          <w:sz w:val="20"/>
          <w:u w:val="none"/>
        </w:rPr>
        <w:t xml:space="preserve">the program targeted households mostly based on poverty criteria, </w:t>
      </w:r>
      <w:r w:rsidR="00B52BE9">
        <w:rPr>
          <w:rFonts w:ascii="Arial" w:hAnsi="Arial" w:cs="Arial"/>
          <w:sz w:val="20"/>
          <w:u w:val="none"/>
        </w:rPr>
        <w:t>poorer households may be living in sites facing less deforestation risk than other sites</w:t>
      </w:r>
      <w:r w:rsidR="00610E3A">
        <w:rPr>
          <w:rFonts w:ascii="Arial" w:hAnsi="Arial" w:cs="Arial"/>
          <w:sz w:val="20"/>
          <w:u w:val="none"/>
        </w:rPr>
        <w:t>, reducing the possibility to observe an important impact in these sites</w:t>
      </w:r>
      <w:r w:rsidR="00B52BE9">
        <w:rPr>
          <w:rFonts w:ascii="Arial" w:hAnsi="Arial" w:cs="Arial"/>
          <w:sz w:val="20"/>
          <w:u w:val="none"/>
        </w:rPr>
        <w:t>.</w:t>
      </w:r>
      <w:r w:rsidR="00610E3A">
        <w:rPr>
          <w:rFonts w:ascii="Arial" w:hAnsi="Arial" w:cs="Arial"/>
          <w:sz w:val="20"/>
          <w:u w:val="none"/>
        </w:rPr>
        <w:t xml:space="preserve"> Finally, removing early</w:t>
      </w:r>
      <w:r w:rsidR="00EC65EB">
        <w:rPr>
          <w:rFonts w:ascii="Arial" w:hAnsi="Arial" w:cs="Arial"/>
          <w:sz w:val="20"/>
          <w:u w:val="none"/>
        </w:rPr>
        <w:t>-</w:t>
      </w:r>
      <w:r w:rsidR="00610E3A">
        <w:rPr>
          <w:rFonts w:ascii="Arial" w:hAnsi="Arial" w:cs="Arial"/>
          <w:sz w:val="20"/>
          <w:u w:val="none"/>
        </w:rPr>
        <w:t>leav</w:t>
      </w:r>
      <w:r w:rsidR="000314AC">
        <w:rPr>
          <w:rFonts w:ascii="Arial" w:hAnsi="Arial" w:cs="Arial"/>
          <w:sz w:val="20"/>
          <w:u w:val="none"/>
        </w:rPr>
        <w:t>er sites does not alter the results in enrolled settlements of Amazonia.</w:t>
      </w:r>
    </w:p>
    <w:p w14:paraId="3C888984" w14:textId="77777777" w:rsidR="00B86D05" w:rsidRDefault="00B86D05" w:rsidP="00FC5377">
      <w:pPr>
        <w:pStyle w:val="SMSubheading"/>
        <w:rPr>
          <w:rFonts w:ascii="Arial" w:hAnsi="Arial" w:cs="Arial"/>
          <w:sz w:val="20"/>
          <w:u w:val="none"/>
        </w:rPr>
      </w:pPr>
    </w:p>
    <w:p w14:paraId="3884A3A1" w14:textId="55CFEDDF" w:rsidR="00876E5C" w:rsidRDefault="00B86D05" w:rsidP="00FC5377">
      <w:pPr>
        <w:pStyle w:val="SMSubheading"/>
        <w:rPr>
          <w:rFonts w:ascii="Arial" w:hAnsi="Arial" w:cs="Arial"/>
          <w:sz w:val="20"/>
          <w:u w:val="none"/>
        </w:rPr>
      </w:pPr>
      <w:r>
        <w:rPr>
          <w:rFonts w:ascii="Arial" w:hAnsi="Arial" w:cs="Arial"/>
          <w:sz w:val="20"/>
          <w:u w:val="none"/>
        </w:rPr>
        <w:t>Figs</w:t>
      </w:r>
      <w:r w:rsidR="00EC65EB">
        <w:rPr>
          <w:rFonts w:ascii="Arial" w:hAnsi="Arial" w:cs="Arial"/>
          <w:sz w:val="20"/>
          <w:u w:val="none"/>
        </w:rPr>
        <w:t>.</w:t>
      </w:r>
      <w:r>
        <w:rPr>
          <w:rFonts w:ascii="Arial" w:hAnsi="Arial" w:cs="Arial"/>
          <w:sz w:val="20"/>
          <w:u w:val="none"/>
        </w:rPr>
        <w:t xml:space="preserve"> S12 to S14 shows the specification charts for other regions</w:t>
      </w:r>
      <w:r w:rsidR="00896C66">
        <w:rPr>
          <w:rFonts w:ascii="Arial" w:hAnsi="Arial" w:cs="Arial"/>
          <w:sz w:val="20"/>
          <w:u w:val="none"/>
        </w:rPr>
        <w:t xml:space="preserve">, generally showing an absence of </w:t>
      </w:r>
      <w:r w:rsidR="00EE25D3">
        <w:rPr>
          <w:rFonts w:ascii="Arial" w:hAnsi="Arial" w:cs="Arial"/>
          <w:sz w:val="20"/>
          <w:u w:val="none"/>
        </w:rPr>
        <w:t xml:space="preserve">statistically significant </w:t>
      </w:r>
      <w:r w:rsidR="00896C66">
        <w:rPr>
          <w:rFonts w:ascii="Arial" w:hAnsi="Arial" w:cs="Arial"/>
          <w:sz w:val="20"/>
          <w:u w:val="none"/>
        </w:rPr>
        <w:t>impacts.</w:t>
      </w:r>
      <w:r w:rsidR="00A10308">
        <w:rPr>
          <w:rFonts w:ascii="Arial" w:hAnsi="Arial" w:cs="Arial"/>
          <w:sz w:val="20"/>
          <w:u w:val="none"/>
        </w:rPr>
        <w:t xml:space="preserve"> We note however that </w:t>
      </w:r>
      <w:r w:rsidR="004102E3">
        <w:rPr>
          <w:rFonts w:ascii="Arial" w:hAnsi="Arial" w:cs="Arial"/>
          <w:sz w:val="20"/>
          <w:u w:val="none"/>
        </w:rPr>
        <w:t>in the case of settlements outside Ama</w:t>
      </w:r>
      <w:r w:rsidR="00185C7E">
        <w:rPr>
          <w:rFonts w:ascii="Arial" w:hAnsi="Arial" w:cs="Arial"/>
          <w:sz w:val="20"/>
          <w:u w:val="none"/>
        </w:rPr>
        <w:t>zonia</w:t>
      </w:r>
      <w:r w:rsidR="007860B1">
        <w:rPr>
          <w:rFonts w:ascii="Arial" w:hAnsi="Arial" w:cs="Arial"/>
          <w:sz w:val="20"/>
          <w:u w:val="none"/>
        </w:rPr>
        <w:t xml:space="preserve"> (Fig S1</w:t>
      </w:r>
      <w:r w:rsidR="00B757D6">
        <w:rPr>
          <w:rFonts w:ascii="Arial" w:hAnsi="Arial" w:cs="Arial"/>
          <w:sz w:val="20"/>
          <w:u w:val="none"/>
        </w:rPr>
        <w:t>4</w:t>
      </w:r>
      <w:r w:rsidR="007860B1">
        <w:rPr>
          <w:rFonts w:ascii="Arial" w:hAnsi="Arial" w:cs="Arial"/>
          <w:sz w:val="20"/>
          <w:u w:val="none"/>
        </w:rPr>
        <w:t>)</w:t>
      </w:r>
      <w:r w:rsidR="00185C7E">
        <w:rPr>
          <w:rFonts w:ascii="Arial" w:hAnsi="Arial" w:cs="Arial"/>
          <w:sz w:val="20"/>
          <w:u w:val="none"/>
        </w:rPr>
        <w:t xml:space="preserve">, </w:t>
      </w:r>
      <w:r w:rsidR="0070478B">
        <w:rPr>
          <w:rFonts w:ascii="Arial" w:hAnsi="Arial" w:cs="Arial"/>
          <w:sz w:val="20"/>
          <w:u w:val="none"/>
        </w:rPr>
        <w:t>some of the most densely enrolled subgroups appear to have be</w:t>
      </w:r>
      <w:r w:rsidR="00B738B3">
        <w:rPr>
          <w:rFonts w:ascii="Arial" w:hAnsi="Arial" w:cs="Arial"/>
          <w:sz w:val="20"/>
          <w:u w:val="none"/>
        </w:rPr>
        <w:t>en</w:t>
      </w:r>
      <w:r w:rsidR="0070478B">
        <w:rPr>
          <w:rFonts w:ascii="Arial" w:hAnsi="Arial" w:cs="Arial"/>
          <w:sz w:val="20"/>
          <w:u w:val="none"/>
        </w:rPr>
        <w:t xml:space="preserve"> associated with more deforestation</w:t>
      </w:r>
      <w:r w:rsidR="00B738B3">
        <w:rPr>
          <w:rFonts w:ascii="Arial" w:hAnsi="Arial" w:cs="Arial"/>
          <w:sz w:val="20"/>
          <w:u w:val="none"/>
        </w:rPr>
        <w:t>.</w:t>
      </w:r>
      <w:r w:rsidR="001D145F">
        <w:rPr>
          <w:rFonts w:ascii="Arial" w:hAnsi="Arial" w:cs="Arial"/>
          <w:sz w:val="20"/>
          <w:u w:val="none"/>
        </w:rPr>
        <w:t xml:space="preserve"> This counterintuitive finding could </w:t>
      </w:r>
      <w:r w:rsidR="001B565B">
        <w:rPr>
          <w:rFonts w:ascii="Arial" w:hAnsi="Arial" w:cs="Arial"/>
          <w:sz w:val="20"/>
          <w:u w:val="none"/>
        </w:rPr>
        <w:t xml:space="preserve">nevertheless be consistent with the fact that on average enrolled settlements outside Amazonia </w:t>
      </w:r>
      <w:r w:rsidR="00A660D2">
        <w:rPr>
          <w:rFonts w:ascii="Arial" w:hAnsi="Arial" w:cs="Arial"/>
          <w:sz w:val="20"/>
          <w:u w:val="none"/>
        </w:rPr>
        <w:t xml:space="preserve">are facing important deforestation risk, while the payments offered by the program was insufficient to </w:t>
      </w:r>
      <w:r w:rsidR="007860B1">
        <w:rPr>
          <w:rFonts w:ascii="Arial" w:hAnsi="Arial" w:cs="Arial"/>
          <w:sz w:val="20"/>
          <w:u w:val="none"/>
        </w:rPr>
        <w:t>address the drivers of deforestation.</w:t>
      </w:r>
      <w:r w:rsidR="00B757D6">
        <w:rPr>
          <w:rFonts w:ascii="Arial" w:hAnsi="Arial" w:cs="Arial"/>
          <w:sz w:val="20"/>
          <w:u w:val="none"/>
        </w:rPr>
        <w:t xml:space="preserve"> In this case the estimate </w:t>
      </w:r>
      <w:r w:rsidR="007D444F">
        <w:rPr>
          <w:rFonts w:ascii="Arial" w:hAnsi="Arial" w:cs="Arial"/>
          <w:sz w:val="20"/>
          <w:u w:val="none"/>
        </w:rPr>
        <w:t>would reveal</w:t>
      </w:r>
      <w:r w:rsidR="00B757D6">
        <w:rPr>
          <w:rFonts w:ascii="Arial" w:hAnsi="Arial" w:cs="Arial"/>
          <w:sz w:val="20"/>
          <w:u w:val="none"/>
        </w:rPr>
        <w:t xml:space="preserve"> less </w:t>
      </w:r>
      <w:r w:rsidR="00510159">
        <w:rPr>
          <w:rFonts w:ascii="Arial" w:hAnsi="Arial" w:cs="Arial"/>
          <w:sz w:val="20"/>
          <w:u w:val="none"/>
        </w:rPr>
        <w:t xml:space="preserve">an effect of the program and more a location bias associated with </w:t>
      </w:r>
      <w:r w:rsidR="007D444F">
        <w:rPr>
          <w:rFonts w:ascii="Arial" w:hAnsi="Arial" w:cs="Arial"/>
          <w:sz w:val="20"/>
          <w:u w:val="none"/>
        </w:rPr>
        <w:t>the enrollment of the program.</w:t>
      </w:r>
      <w:r w:rsidR="00B738B3">
        <w:rPr>
          <w:rFonts w:ascii="Arial" w:hAnsi="Arial" w:cs="Arial"/>
          <w:sz w:val="20"/>
          <w:u w:val="none"/>
        </w:rPr>
        <w:t xml:space="preserve"> </w:t>
      </w:r>
    </w:p>
    <w:p w14:paraId="7ACF6B6C" w14:textId="77777777" w:rsidR="00896C66" w:rsidRDefault="00896C66" w:rsidP="00FC5377">
      <w:pPr>
        <w:pStyle w:val="SMSubheading"/>
        <w:rPr>
          <w:rFonts w:ascii="Arial" w:hAnsi="Arial" w:cs="Arial"/>
          <w:sz w:val="20"/>
          <w:u w:val="none"/>
        </w:rPr>
      </w:pPr>
    </w:p>
    <w:p w14:paraId="598B817F" w14:textId="77777777" w:rsidR="00F85FFF" w:rsidRDefault="00F85FFF" w:rsidP="00F85FFF">
      <w:pPr>
        <w:pStyle w:val="SMcaption"/>
        <w:rPr>
          <w:rFonts w:ascii="Arial" w:hAnsi="Arial" w:cs="Arial"/>
          <w:sz w:val="20"/>
        </w:rPr>
      </w:pPr>
    </w:p>
    <w:p w14:paraId="3D2BCBE8" w14:textId="77777777" w:rsidR="00F85FFF" w:rsidRDefault="00F85FFF" w:rsidP="00F85FFF">
      <w:pPr>
        <w:pStyle w:val="SMcaption"/>
        <w:rPr>
          <w:rFonts w:ascii="Arial" w:hAnsi="Arial" w:cs="Arial"/>
          <w:sz w:val="20"/>
        </w:rPr>
      </w:pPr>
    </w:p>
    <w:p w14:paraId="5D278A89" w14:textId="77777777" w:rsidR="00F85FFF" w:rsidRDefault="00F85FFF" w:rsidP="00F85FFF">
      <w:pPr>
        <w:pStyle w:val="SMcaption"/>
        <w:rPr>
          <w:rFonts w:ascii="Arial" w:hAnsi="Arial" w:cs="Arial"/>
          <w:sz w:val="20"/>
        </w:rPr>
      </w:pPr>
    </w:p>
    <w:p w14:paraId="5B4CD1BF" w14:textId="77777777" w:rsidR="00F85FFF" w:rsidRDefault="00F85FFF" w:rsidP="00F85FFF">
      <w:pPr>
        <w:pStyle w:val="SMcaption"/>
        <w:rPr>
          <w:rFonts w:ascii="Arial" w:hAnsi="Arial" w:cs="Arial"/>
          <w:sz w:val="20"/>
        </w:rPr>
      </w:pPr>
      <w:r>
        <w:rPr>
          <w:rFonts w:ascii="Arial" w:hAnsi="Arial" w:cs="Arial"/>
          <w:sz w:val="20"/>
        </w:rPr>
        <w:br w:type="page"/>
      </w:r>
    </w:p>
    <w:p w14:paraId="5B84CA2B" w14:textId="6367D7BF" w:rsidR="00EB4FDC" w:rsidRPr="00EB4FDC" w:rsidRDefault="00F85FFF" w:rsidP="00EB4FDC">
      <w:pPr>
        <w:pStyle w:val="SMcaption"/>
        <w:rPr>
          <w:rFonts w:ascii="Arial" w:hAnsi="Arial" w:cs="Arial"/>
          <w:b/>
          <w:bCs/>
          <w:sz w:val="20"/>
        </w:rPr>
      </w:pPr>
      <w:r w:rsidRPr="00EB4FDC">
        <w:rPr>
          <w:rFonts w:ascii="Arial" w:hAnsi="Arial" w:cs="Arial"/>
          <w:b/>
          <w:bCs/>
          <w:sz w:val="20"/>
        </w:rPr>
        <w:lastRenderedPageBreak/>
        <w:t xml:space="preserve">Fig. S1. </w:t>
      </w:r>
      <w:r w:rsidR="00EB4FDC" w:rsidRPr="00EB4FDC">
        <w:rPr>
          <w:rFonts w:ascii="Arial" w:hAnsi="Arial" w:cs="Arial"/>
          <w:b/>
          <w:bCs/>
          <w:sz w:val="20"/>
        </w:rPr>
        <w:t xml:space="preserve">Enrolled </w:t>
      </w:r>
      <w:r w:rsidRPr="00EB4FDC">
        <w:rPr>
          <w:rFonts w:ascii="Arial" w:hAnsi="Arial" w:cs="Arial"/>
          <w:b/>
          <w:bCs/>
          <w:sz w:val="20"/>
        </w:rPr>
        <w:t xml:space="preserve">BV sites </w:t>
      </w:r>
      <w:r w:rsidR="00EB4FDC" w:rsidRPr="00EB4FDC">
        <w:rPr>
          <w:rFonts w:ascii="Arial" w:hAnsi="Arial" w:cs="Arial"/>
          <w:b/>
          <w:bCs/>
          <w:sz w:val="20"/>
        </w:rPr>
        <w:t>and never-enrolled sites across biomes</w:t>
      </w:r>
      <w:r w:rsidR="003C7A3B">
        <w:rPr>
          <w:rFonts w:ascii="Arial" w:hAnsi="Arial" w:cs="Arial"/>
          <w:b/>
          <w:bCs/>
          <w:sz w:val="20"/>
        </w:rPr>
        <w:t>.</w:t>
      </w:r>
    </w:p>
    <w:p w14:paraId="4F0126FF" w14:textId="77777777" w:rsidR="00A0366E" w:rsidRDefault="00ED333E" w:rsidP="00EB4FDC">
      <w:pPr>
        <w:pStyle w:val="SMcaption"/>
        <w:rPr>
          <w:rFonts w:ascii="Arial" w:hAnsi="Arial" w:cs="Arial"/>
          <w:sz w:val="20"/>
        </w:rPr>
      </w:pPr>
      <w:r>
        <w:rPr>
          <w:rFonts w:ascii="Arial" w:hAnsi="Arial" w:cs="Arial"/>
          <w:noProof/>
          <w:sz w:val="20"/>
        </w:rPr>
        <w:drawing>
          <wp:inline distT="0" distB="0" distL="0" distR="0" wp14:anchorId="6AA72AE4" wp14:editId="769DAE4B">
            <wp:extent cx="5486400" cy="704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7048500"/>
                    </a:xfrm>
                    <a:prstGeom prst="rect">
                      <a:avLst/>
                    </a:prstGeom>
                    <a:noFill/>
                    <a:ln>
                      <a:noFill/>
                    </a:ln>
                  </pic:spPr>
                </pic:pic>
              </a:graphicData>
            </a:graphic>
          </wp:inline>
        </w:drawing>
      </w:r>
    </w:p>
    <w:p w14:paraId="3226E77A" w14:textId="77777777" w:rsidR="007A724F" w:rsidRDefault="007A724F" w:rsidP="00EB4FDC">
      <w:pPr>
        <w:pStyle w:val="SMcaption"/>
        <w:rPr>
          <w:rFonts w:ascii="Arial" w:hAnsi="Arial" w:cs="Arial"/>
          <w:sz w:val="20"/>
        </w:rPr>
      </w:pPr>
    </w:p>
    <w:p w14:paraId="01316484" w14:textId="71E9D333" w:rsidR="007A724F" w:rsidRDefault="007A724F" w:rsidP="00EB4FDC">
      <w:pPr>
        <w:pStyle w:val="SMcaption"/>
        <w:rPr>
          <w:rFonts w:ascii="Arial" w:hAnsi="Arial" w:cs="Arial"/>
          <w:sz w:val="20"/>
        </w:rPr>
        <w:sectPr w:rsidR="007A724F" w:rsidSect="00A0366E">
          <w:headerReference w:type="default" r:id="rId10"/>
          <w:footerReference w:type="default" r:id="rId11"/>
          <w:pgSz w:w="12240" w:h="15840"/>
          <w:pgMar w:top="1440" w:right="1800" w:bottom="1440" w:left="1800" w:header="720" w:footer="720" w:gutter="0"/>
          <w:pgNumType w:start="1"/>
          <w:cols w:space="720"/>
          <w:docGrid w:linePitch="360"/>
        </w:sectPr>
      </w:pPr>
      <w:r>
        <w:rPr>
          <w:rFonts w:ascii="Arial" w:hAnsi="Arial" w:cs="Arial"/>
          <w:sz w:val="20"/>
        </w:rPr>
        <w:t xml:space="preserve">Source: </w:t>
      </w:r>
      <w:r w:rsidR="007552F7">
        <w:rPr>
          <w:rFonts w:ascii="Arial" w:hAnsi="Arial" w:cs="Arial"/>
          <w:sz w:val="20"/>
        </w:rPr>
        <w:t>S</w:t>
      </w:r>
      <w:r w:rsidR="007552F7" w:rsidRPr="007552F7">
        <w:rPr>
          <w:rFonts w:ascii="Arial" w:hAnsi="Arial" w:cs="Arial"/>
          <w:sz w:val="20"/>
        </w:rPr>
        <w:t>hapefile</w:t>
      </w:r>
      <w:r w:rsidR="00A9090C">
        <w:rPr>
          <w:rFonts w:ascii="Arial" w:hAnsi="Arial" w:cs="Arial"/>
          <w:sz w:val="20"/>
        </w:rPr>
        <w:t>s</w:t>
      </w:r>
      <w:r w:rsidR="007552F7" w:rsidRPr="007552F7">
        <w:rPr>
          <w:rFonts w:ascii="Arial" w:hAnsi="Arial" w:cs="Arial"/>
          <w:sz w:val="20"/>
        </w:rPr>
        <w:t xml:space="preserve"> of all federal PA recognized by the Instituto Chico Mendes de </w:t>
      </w:r>
      <w:proofErr w:type="spellStart"/>
      <w:r w:rsidR="007552F7" w:rsidRPr="007552F7">
        <w:rPr>
          <w:rFonts w:ascii="Arial" w:hAnsi="Arial" w:cs="Arial"/>
          <w:sz w:val="20"/>
        </w:rPr>
        <w:t>Conservação</w:t>
      </w:r>
      <w:proofErr w:type="spellEnd"/>
      <w:r w:rsidR="007552F7" w:rsidRPr="007552F7">
        <w:rPr>
          <w:rFonts w:ascii="Arial" w:hAnsi="Arial" w:cs="Arial"/>
          <w:sz w:val="20"/>
        </w:rPr>
        <w:t xml:space="preserve"> da </w:t>
      </w:r>
      <w:proofErr w:type="spellStart"/>
      <w:r w:rsidR="007552F7" w:rsidRPr="007552F7">
        <w:rPr>
          <w:rFonts w:ascii="Arial" w:hAnsi="Arial" w:cs="Arial"/>
          <w:sz w:val="20"/>
        </w:rPr>
        <w:t>Biodiversidade</w:t>
      </w:r>
      <w:proofErr w:type="spellEnd"/>
      <w:r w:rsidR="007552F7" w:rsidRPr="007552F7">
        <w:rPr>
          <w:rFonts w:ascii="Arial" w:hAnsi="Arial" w:cs="Arial"/>
          <w:sz w:val="20"/>
        </w:rPr>
        <w:t xml:space="preserve">, </w:t>
      </w:r>
      <w:proofErr w:type="spellStart"/>
      <w:r w:rsidR="007552F7" w:rsidRPr="007552F7">
        <w:rPr>
          <w:rFonts w:ascii="Arial" w:hAnsi="Arial" w:cs="Arial"/>
          <w:sz w:val="20"/>
        </w:rPr>
        <w:t>ICMBio</w:t>
      </w:r>
      <w:proofErr w:type="spellEnd"/>
      <w:r w:rsidR="007552F7" w:rsidRPr="007552F7">
        <w:rPr>
          <w:rFonts w:ascii="Arial" w:hAnsi="Arial" w:cs="Arial"/>
          <w:sz w:val="20"/>
        </w:rPr>
        <w:t xml:space="preserve">, which is the Brazilian Ministry of the Environment’s administrative agency (version of September 2018) as well as the shapefile of all the settlements created by the Instituto Nacional de </w:t>
      </w:r>
      <w:proofErr w:type="spellStart"/>
      <w:r w:rsidR="007552F7" w:rsidRPr="007552F7">
        <w:rPr>
          <w:rFonts w:ascii="Arial" w:hAnsi="Arial" w:cs="Arial"/>
          <w:sz w:val="20"/>
        </w:rPr>
        <w:t>Colonização</w:t>
      </w:r>
      <w:proofErr w:type="spellEnd"/>
      <w:r w:rsidR="007552F7" w:rsidRPr="007552F7">
        <w:rPr>
          <w:rFonts w:ascii="Arial" w:hAnsi="Arial" w:cs="Arial"/>
          <w:sz w:val="20"/>
        </w:rPr>
        <w:t xml:space="preserve"> e </w:t>
      </w:r>
      <w:proofErr w:type="spellStart"/>
      <w:r w:rsidR="007552F7" w:rsidRPr="007552F7">
        <w:rPr>
          <w:rFonts w:ascii="Arial" w:hAnsi="Arial" w:cs="Arial"/>
          <w:sz w:val="20"/>
        </w:rPr>
        <w:t>Reforma</w:t>
      </w:r>
      <w:proofErr w:type="spellEnd"/>
      <w:r w:rsidR="007552F7" w:rsidRPr="007552F7">
        <w:rPr>
          <w:rFonts w:ascii="Arial" w:hAnsi="Arial" w:cs="Arial"/>
          <w:sz w:val="20"/>
        </w:rPr>
        <w:t xml:space="preserve"> </w:t>
      </w:r>
      <w:proofErr w:type="spellStart"/>
      <w:r w:rsidR="007552F7" w:rsidRPr="007552F7">
        <w:rPr>
          <w:rFonts w:ascii="Arial" w:hAnsi="Arial" w:cs="Arial"/>
          <w:sz w:val="20"/>
        </w:rPr>
        <w:t>Agrária</w:t>
      </w:r>
      <w:proofErr w:type="spellEnd"/>
      <w:r w:rsidR="007552F7" w:rsidRPr="007552F7">
        <w:rPr>
          <w:rFonts w:ascii="Arial" w:hAnsi="Arial" w:cs="Arial"/>
          <w:sz w:val="20"/>
        </w:rPr>
        <w:t>, INCRA, which is the Brazilian agency administering land reforms (version of September 2018)</w:t>
      </w:r>
      <w:r w:rsidR="00A9090C">
        <w:rPr>
          <w:rFonts w:ascii="Arial" w:hAnsi="Arial" w:cs="Arial"/>
          <w:sz w:val="20"/>
        </w:rPr>
        <w:t xml:space="preserve">, and </w:t>
      </w:r>
      <w:r w:rsidR="00A9090C" w:rsidRPr="0013532F">
        <w:rPr>
          <w:rFonts w:ascii="Arial" w:hAnsi="Arial" w:cs="Arial"/>
          <w:color w:val="000000"/>
          <w:sz w:val="20"/>
        </w:rPr>
        <w:t>the Ministry of Environment’s publicly available database provided the name of the sites containing enrolled households</w:t>
      </w:r>
      <w:r w:rsidR="00A9090C">
        <w:rPr>
          <w:rFonts w:ascii="Arial" w:hAnsi="Arial" w:cs="Arial"/>
          <w:color w:val="000000"/>
          <w:sz w:val="20"/>
        </w:rPr>
        <w:t>.</w:t>
      </w:r>
    </w:p>
    <w:p w14:paraId="501EF7BD" w14:textId="13F596F4" w:rsidR="007F5279" w:rsidRDefault="00EB4FDC" w:rsidP="00B42F9C">
      <w:pPr>
        <w:pStyle w:val="SMHeading"/>
        <w:rPr>
          <w:rFonts w:ascii="Arial" w:hAnsi="Arial" w:cs="Arial"/>
          <w:b w:val="0"/>
          <w:bCs w:val="0"/>
          <w:sz w:val="20"/>
          <w:szCs w:val="20"/>
        </w:rPr>
      </w:pPr>
      <w:r w:rsidRPr="004753A1">
        <w:rPr>
          <w:rFonts w:ascii="Arial" w:hAnsi="Arial" w:cs="Arial"/>
          <w:sz w:val="20"/>
          <w:szCs w:val="20"/>
        </w:rPr>
        <w:lastRenderedPageBreak/>
        <w:t>Fig. S</w:t>
      </w:r>
      <w:r w:rsidR="007F5279" w:rsidRPr="004753A1">
        <w:rPr>
          <w:rFonts w:ascii="Arial" w:hAnsi="Arial" w:cs="Arial"/>
          <w:sz w:val="20"/>
          <w:szCs w:val="20"/>
        </w:rPr>
        <w:t>2</w:t>
      </w:r>
      <w:r w:rsidRPr="004753A1">
        <w:rPr>
          <w:rFonts w:ascii="Arial" w:hAnsi="Arial" w:cs="Arial"/>
          <w:sz w:val="20"/>
          <w:szCs w:val="20"/>
        </w:rPr>
        <w:t>.</w:t>
      </w:r>
      <w:r w:rsidR="007F5279" w:rsidRPr="007F5279">
        <w:rPr>
          <w:rFonts w:ascii="Arial" w:hAnsi="Arial" w:cs="Arial"/>
          <w:b w:val="0"/>
          <w:bCs w:val="0"/>
          <w:sz w:val="20"/>
          <w:szCs w:val="20"/>
        </w:rPr>
        <w:t xml:space="preserve"> </w:t>
      </w:r>
      <w:r w:rsidR="004753A1">
        <w:rPr>
          <w:rFonts w:ascii="Arial" w:hAnsi="Arial" w:cs="Arial"/>
          <w:b w:val="0"/>
          <w:bCs w:val="0"/>
          <w:sz w:val="20"/>
          <w:szCs w:val="20"/>
        </w:rPr>
        <w:t>Evolution of enrolled sites and households</w:t>
      </w:r>
      <w:r w:rsidR="00EE1132">
        <w:rPr>
          <w:rFonts w:ascii="Arial" w:hAnsi="Arial" w:cs="Arial"/>
          <w:b w:val="0"/>
          <w:bCs w:val="0"/>
          <w:sz w:val="20"/>
          <w:szCs w:val="20"/>
        </w:rPr>
        <w:t xml:space="preserve"> across regions</w:t>
      </w:r>
      <w:r w:rsidR="000305FE">
        <w:rPr>
          <w:rFonts w:ascii="Arial" w:hAnsi="Arial" w:cs="Arial"/>
          <w:b w:val="0"/>
          <w:bCs w:val="0"/>
          <w:sz w:val="20"/>
          <w:szCs w:val="20"/>
        </w:rPr>
        <w:t>.</w:t>
      </w:r>
    </w:p>
    <w:p w14:paraId="6D55A388" w14:textId="16056E8A" w:rsidR="00475682" w:rsidRDefault="00F37FA5" w:rsidP="00B42F9C">
      <w:pPr>
        <w:pStyle w:val="SMHeading"/>
        <w:rPr>
          <w:rFonts w:ascii="Arial" w:hAnsi="Arial" w:cs="Arial"/>
          <w:sz w:val="20"/>
          <w:szCs w:val="20"/>
        </w:rPr>
      </w:pPr>
      <w:r>
        <w:rPr>
          <w:rFonts w:ascii="Arial" w:hAnsi="Arial" w:cs="Arial"/>
          <w:noProof/>
          <w:sz w:val="20"/>
          <w:szCs w:val="20"/>
        </w:rPr>
        <w:drawing>
          <wp:inline distT="0" distB="0" distL="0" distR="0" wp14:anchorId="1174FF1D" wp14:editId="268E2C6E">
            <wp:extent cx="8077200" cy="4666411"/>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04240" cy="4682032"/>
                    </a:xfrm>
                    <a:prstGeom prst="rect">
                      <a:avLst/>
                    </a:prstGeom>
                    <a:noFill/>
                    <a:ln>
                      <a:noFill/>
                    </a:ln>
                  </pic:spPr>
                </pic:pic>
              </a:graphicData>
            </a:graphic>
          </wp:inline>
        </w:drawing>
      </w:r>
    </w:p>
    <w:p w14:paraId="696E743B" w14:textId="08C6B45A" w:rsidR="001A5E03" w:rsidRPr="001A5E03" w:rsidRDefault="001A5E03" w:rsidP="00B42F9C">
      <w:pPr>
        <w:pStyle w:val="SMHeading"/>
        <w:rPr>
          <w:rFonts w:ascii="Arial" w:hAnsi="Arial" w:cs="Arial"/>
          <w:b w:val="0"/>
          <w:bCs w:val="0"/>
          <w:sz w:val="20"/>
          <w:szCs w:val="20"/>
        </w:rPr>
      </w:pPr>
      <w:r w:rsidRPr="001A5E03">
        <w:rPr>
          <w:rFonts w:ascii="Arial" w:hAnsi="Arial" w:cs="Arial"/>
          <w:b w:val="0"/>
          <w:bCs w:val="0"/>
          <w:sz w:val="20"/>
          <w:szCs w:val="20"/>
        </w:rPr>
        <w:t xml:space="preserve">Source: </w:t>
      </w:r>
      <w:r>
        <w:rPr>
          <w:rFonts w:ascii="Arial" w:hAnsi="Arial" w:cs="Arial"/>
          <w:b w:val="0"/>
          <w:bCs w:val="0"/>
          <w:sz w:val="20"/>
          <w:szCs w:val="20"/>
        </w:rPr>
        <w:t>T</w:t>
      </w:r>
      <w:r w:rsidRPr="001A5E03">
        <w:rPr>
          <w:rFonts w:ascii="Arial" w:hAnsi="Arial" w:cs="Arial"/>
          <w:b w:val="0"/>
          <w:bCs w:val="0"/>
          <w:color w:val="000000"/>
          <w:sz w:val="20"/>
          <w:szCs w:val="20"/>
        </w:rPr>
        <w:t>he Ministry of Environment’s publicly available database provided the name of the sites containing enrolled households</w:t>
      </w:r>
    </w:p>
    <w:p w14:paraId="1C26226A" w14:textId="4FACD2D3" w:rsidR="00EE1132" w:rsidRDefault="00EE1132" w:rsidP="00B42F9C">
      <w:pPr>
        <w:pStyle w:val="SMHeading"/>
        <w:rPr>
          <w:rFonts w:ascii="Arial" w:hAnsi="Arial" w:cs="Arial"/>
          <w:b w:val="0"/>
          <w:bCs w:val="0"/>
          <w:sz w:val="20"/>
          <w:szCs w:val="20"/>
        </w:rPr>
      </w:pPr>
      <w:r w:rsidRPr="004753A1">
        <w:rPr>
          <w:rFonts w:ascii="Arial" w:hAnsi="Arial" w:cs="Arial"/>
          <w:sz w:val="20"/>
          <w:szCs w:val="20"/>
        </w:rPr>
        <w:lastRenderedPageBreak/>
        <w:t>Fig. S</w:t>
      </w:r>
      <w:r>
        <w:rPr>
          <w:rFonts w:ascii="Arial" w:hAnsi="Arial" w:cs="Arial"/>
          <w:sz w:val="20"/>
          <w:szCs w:val="20"/>
        </w:rPr>
        <w:t>3</w:t>
      </w:r>
      <w:r w:rsidRPr="004753A1">
        <w:rPr>
          <w:rFonts w:ascii="Arial" w:hAnsi="Arial" w:cs="Arial"/>
          <w:sz w:val="20"/>
          <w:szCs w:val="20"/>
        </w:rPr>
        <w:t>.</w:t>
      </w:r>
      <w:r w:rsidRPr="007F5279">
        <w:rPr>
          <w:rFonts w:ascii="Arial" w:hAnsi="Arial" w:cs="Arial"/>
          <w:b w:val="0"/>
          <w:bCs w:val="0"/>
          <w:sz w:val="20"/>
          <w:szCs w:val="20"/>
        </w:rPr>
        <w:t xml:space="preserve"> </w:t>
      </w:r>
      <w:r w:rsidR="00A0366E">
        <w:rPr>
          <w:rFonts w:ascii="Arial" w:hAnsi="Arial" w:cs="Arial"/>
          <w:b w:val="0"/>
          <w:bCs w:val="0"/>
          <w:sz w:val="20"/>
          <w:szCs w:val="20"/>
        </w:rPr>
        <w:t>Tree cover and tree cover loss in enrolled sites</w:t>
      </w:r>
      <w:r w:rsidR="000305FE">
        <w:rPr>
          <w:rFonts w:ascii="Arial" w:hAnsi="Arial" w:cs="Arial"/>
          <w:b w:val="0"/>
          <w:bCs w:val="0"/>
          <w:sz w:val="20"/>
          <w:szCs w:val="20"/>
        </w:rPr>
        <w:t>.</w:t>
      </w:r>
    </w:p>
    <w:p w14:paraId="5EA693D9" w14:textId="77777777" w:rsidR="001A5E03" w:rsidRDefault="00505913" w:rsidP="00B42F9C">
      <w:pPr>
        <w:pStyle w:val="SMHeading"/>
        <w:rPr>
          <w:rFonts w:ascii="Arial" w:hAnsi="Arial" w:cs="Arial"/>
          <w:sz w:val="20"/>
          <w:szCs w:val="20"/>
        </w:rPr>
      </w:pPr>
      <w:r>
        <w:rPr>
          <w:rFonts w:ascii="Arial" w:hAnsi="Arial" w:cs="Arial"/>
          <w:noProof/>
          <w:sz w:val="20"/>
          <w:szCs w:val="20"/>
        </w:rPr>
        <w:drawing>
          <wp:inline distT="0" distB="0" distL="0" distR="0" wp14:anchorId="44BDD0C2" wp14:editId="059D797A">
            <wp:extent cx="8134350" cy="4699847"/>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47636" cy="4707523"/>
                    </a:xfrm>
                    <a:prstGeom prst="rect">
                      <a:avLst/>
                    </a:prstGeom>
                    <a:noFill/>
                    <a:ln>
                      <a:noFill/>
                    </a:ln>
                  </pic:spPr>
                </pic:pic>
              </a:graphicData>
            </a:graphic>
          </wp:inline>
        </w:drawing>
      </w:r>
    </w:p>
    <w:p w14:paraId="187FD4A4" w14:textId="381B7343" w:rsidR="00A03029" w:rsidRDefault="001A5E03" w:rsidP="00B42F9C">
      <w:pPr>
        <w:pStyle w:val="SMHeading"/>
        <w:rPr>
          <w:rFonts w:ascii="Arial" w:hAnsi="Arial" w:cs="Arial"/>
          <w:sz w:val="20"/>
          <w:szCs w:val="20"/>
        </w:rPr>
      </w:pPr>
      <w:r w:rsidRPr="00BC5FFF">
        <w:rPr>
          <w:rFonts w:ascii="Arial" w:hAnsi="Arial" w:cs="Arial"/>
          <w:b w:val="0"/>
          <w:bCs w:val="0"/>
          <w:sz w:val="20"/>
          <w:szCs w:val="20"/>
        </w:rPr>
        <w:t xml:space="preserve">Source: </w:t>
      </w:r>
      <w:r w:rsidRPr="00BC5FFF">
        <w:rPr>
          <w:rFonts w:ascii="Arial" w:hAnsi="Arial" w:cs="Arial"/>
          <w:b w:val="0"/>
          <w:bCs w:val="0"/>
          <w:sz w:val="20"/>
          <w:szCs w:val="20"/>
        </w:rPr>
        <w:t>Source: T</w:t>
      </w:r>
      <w:r w:rsidRPr="00BC5FFF">
        <w:rPr>
          <w:rFonts w:ascii="Arial" w:hAnsi="Arial" w:cs="Arial"/>
          <w:b w:val="0"/>
          <w:bCs w:val="0"/>
          <w:color w:val="000000"/>
          <w:sz w:val="20"/>
          <w:szCs w:val="20"/>
        </w:rPr>
        <w:t>he Ministry of Environment’s publicly available database provided the name of the sites containing enrolled households</w:t>
      </w:r>
      <w:r w:rsidRPr="00BC5FFF">
        <w:rPr>
          <w:rFonts w:ascii="Arial" w:hAnsi="Arial" w:cs="Arial"/>
          <w:b w:val="0"/>
          <w:bCs w:val="0"/>
          <w:color w:val="000000"/>
          <w:sz w:val="20"/>
          <w:szCs w:val="20"/>
        </w:rPr>
        <w:t xml:space="preserve"> and </w:t>
      </w:r>
      <w:hyperlink r:id="rId14" w:history="1">
        <w:r w:rsidR="00BC5FFF" w:rsidRPr="00BC5FFF">
          <w:rPr>
            <w:rStyle w:val="Hyperlink"/>
            <w:rFonts w:ascii="Arial" w:hAnsi="Arial" w:cs="Arial"/>
            <w:b w:val="0"/>
            <w:bCs w:val="0"/>
            <w:sz w:val="20"/>
            <w:szCs w:val="20"/>
          </w:rPr>
          <w:t>MapBiomas version 6.0</w:t>
        </w:r>
      </w:hyperlink>
      <w:r w:rsidR="00BC5FFF" w:rsidRPr="00BC5FFF">
        <w:rPr>
          <w:rStyle w:val="Hyperlink"/>
          <w:rFonts w:ascii="Arial" w:hAnsi="Arial" w:cs="Arial"/>
          <w:b w:val="0"/>
          <w:bCs w:val="0"/>
          <w:sz w:val="20"/>
          <w:szCs w:val="20"/>
        </w:rPr>
        <w:t xml:space="preserve"> .</w:t>
      </w:r>
      <w:r w:rsidR="00A03029">
        <w:rPr>
          <w:rFonts w:ascii="Arial" w:hAnsi="Arial" w:cs="Arial"/>
          <w:sz w:val="20"/>
          <w:szCs w:val="20"/>
        </w:rPr>
        <w:br w:type="page"/>
      </w:r>
    </w:p>
    <w:p w14:paraId="7CCE987A" w14:textId="3420CDBB" w:rsidR="00FD1666" w:rsidRDefault="007411A1" w:rsidP="00B42F9C">
      <w:pPr>
        <w:pStyle w:val="SMHeading"/>
        <w:rPr>
          <w:rFonts w:ascii="Arial" w:hAnsi="Arial" w:cs="Arial"/>
          <w:sz w:val="20"/>
          <w:szCs w:val="20"/>
        </w:rPr>
      </w:pPr>
      <w:r w:rsidRPr="00DC623A">
        <w:rPr>
          <w:rFonts w:ascii="Arial" w:hAnsi="Arial" w:cs="Arial"/>
          <w:sz w:val="20"/>
          <w:szCs w:val="20"/>
        </w:rPr>
        <w:lastRenderedPageBreak/>
        <w:t>Fig. S</w:t>
      </w:r>
      <w:r w:rsidR="00A03029">
        <w:rPr>
          <w:rFonts w:ascii="Arial" w:hAnsi="Arial" w:cs="Arial"/>
          <w:sz w:val="20"/>
          <w:szCs w:val="20"/>
        </w:rPr>
        <w:t>4</w:t>
      </w:r>
      <w:r w:rsidRPr="00DC623A">
        <w:rPr>
          <w:rFonts w:ascii="Arial" w:hAnsi="Arial" w:cs="Arial"/>
          <w:sz w:val="20"/>
          <w:szCs w:val="20"/>
        </w:rPr>
        <w:t>.</w:t>
      </w:r>
      <w:r w:rsidR="00B42F9C" w:rsidRPr="00DC623A">
        <w:rPr>
          <w:rFonts w:ascii="Arial" w:hAnsi="Arial" w:cs="Arial"/>
          <w:sz w:val="20"/>
          <w:szCs w:val="20"/>
        </w:rPr>
        <w:t xml:space="preserve"> </w:t>
      </w:r>
      <w:r w:rsidR="001A6AAB">
        <w:rPr>
          <w:rFonts w:ascii="Arial" w:hAnsi="Arial" w:cs="Arial"/>
          <w:sz w:val="20"/>
          <w:szCs w:val="20"/>
        </w:rPr>
        <w:t>Variable distribution across biomes and sites</w:t>
      </w:r>
      <w:r w:rsidR="000305FE">
        <w:rPr>
          <w:rFonts w:ascii="Arial" w:hAnsi="Arial" w:cs="Arial"/>
          <w:sz w:val="20"/>
          <w:szCs w:val="20"/>
        </w:rPr>
        <w:t>.</w:t>
      </w:r>
    </w:p>
    <w:p w14:paraId="06E90303" w14:textId="0B3E7D78" w:rsidR="00FD1666" w:rsidRDefault="00FD1666" w:rsidP="00B42F9C">
      <w:pPr>
        <w:pStyle w:val="SMHeading"/>
        <w:rPr>
          <w:rFonts w:ascii="Arial" w:hAnsi="Arial" w:cs="Arial"/>
          <w:sz w:val="20"/>
          <w:szCs w:val="20"/>
        </w:rPr>
      </w:pPr>
      <w:r>
        <w:rPr>
          <w:noProof/>
        </w:rPr>
        <w:drawing>
          <wp:inline distT="0" distB="0" distL="0" distR="0" wp14:anchorId="77601645" wp14:editId="0A5AD472">
            <wp:extent cx="9064798" cy="4562475"/>
            <wp:effectExtent l="0" t="0" r="3175" b="0"/>
            <wp:docPr id="28" name="Picture 28" descr="A picture containing sky, different, colorful,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ky, different, colorful, screenshot&#10;&#10;Description automatically generated"/>
                    <pic:cNvPicPr/>
                  </pic:nvPicPr>
                  <pic:blipFill>
                    <a:blip r:embed="rId15"/>
                    <a:stretch>
                      <a:fillRect/>
                    </a:stretch>
                  </pic:blipFill>
                  <pic:spPr>
                    <a:xfrm>
                      <a:off x="0" y="0"/>
                      <a:ext cx="9068337" cy="4564256"/>
                    </a:xfrm>
                    <a:prstGeom prst="rect">
                      <a:avLst/>
                    </a:prstGeom>
                  </pic:spPr>
                </pic:pic>
              </a:graphicData>
            </a:graphic>
          </wp:inline>
        </w:drawing>
      </w:r>
    </w:p>
    <w:p w14:paraId="0310F3FB" w14:textId="04A49303" w:rsidR="00FD1666" w:rsidRDefault="000E0780" w:rsidP="00B42F9C">
      <w:pPr>
        <w:pStyle w:val="SMHeading"/>
        <w:rPr>
          <w:rFonts w:ascii="Arial" w:hAnsi="Arial" w:cs="Arial"/>
          <w:b w:val="0"/>
          <w:sz w:val="20"/>
          <w:szCs w:val="20"/>
        </w:rPr>
      </w:pPr>
      <w:r>
        <w:rPr>
          <w:rFonts w:ascii="Arial" w:hAnsi="Arial" w:cs="Arial"/>
          <w:b w:val="0"/>
          <w:sz w:val="20"/>
          <w:szCs w:val="20"/>
        </w:rPr>
        <w:t xml:space="preserve">Note: </w:t>
      </w:r>
      <w:r w:rsidR="000305FE">
        <w:rPr>
          <w:rFonts w:ascii="Arial" w:hAnsi="Arial" w:cs="Arial"/>
          <w:b w:val="0"/>
          <w:sz w:val="20"/>
          <w:szCs w:val="20"/>
        </w:rPr>
        <w:t xml:space="preserve">In the violin plot for each continuous variables, each black dot is a single observation point, while </w:t>
      </w:r>
      <w:r w:rsidR="00570D71">
        <w:rPr>
          <w:rFonts w:ascii="Arial" w:hAnsi="Arial" w:cs="Arial"/>
          <w:b w:val="0"/>
          <w:sz w:val="20"/>
          <w:szCs w:val="20"/>
        </w:rPr>
        <w:t xml:space="preserve">the blue dot is the average </w:t>
      </w:r>
      <w:r w:rsidR="00BA37AC">
        <w:rPr>
          <w:rFonts w:ascii="Arial" w:hAnsi="Arial" w:cs="Arial"/>
          <w:b w:val="0"/>
          <w:sz w:val="20"/>
          <w:szCs w:val="20"/>
        </w:rPr>
        <w:t xml:space="preserve">(and confidence interval) </w:t>
      </w:r>
      <w:r w:rsidR="00A57368">
        <w:rPr>
          <w:rFonts w:ascii="Arial" w:hAnsi="Arial" w:cs="Arial"/>
          <w:b w:val="0"/>
          <w:sz w:val="20"/>
          <w:szCs w:val="20"/>
        </w:rPr>
        <w:t xml:space="preserve">and </w:t>
      </w:r>
      <w:r w:rsidR="00570D71">
        <w:rPr>
          <w:rFonts w:ascii="Arial" w:hAnsi="Arial" w:cs="Arial"/>
          <w:b w:val="0"/>
          <w:sz w:val="20"/>
          <w:szCs w:val="20"/>
        </w:rPr>
        <w:t>of each group.</w:t>
      </w:r>
      <w:r w:rsidR="00BA37AC">
        <w:rPr>
          <w:rFonts w:ascii="Arial" w:hAnsi="Arial" w:cs="Arial"/>
          <w:b w:val="0"/>
          <w:sz w:val="20"/>
          <w:szCs w:val="20"/>
        </w:rPr>
        <w:t xml:space="preserve"> In the histogram for the </w:t>
      </w:r>
      <w:r w:rsidR="00C727A3">
        <w:rPr>
          <w:rFonts w:ascii="Arial" w:hAnsi="Arial" w:cs="Arial"/>
          <w:b w:val="0"/>
          <w:sz w:val="20"/>
          <w:szCs w:val="20"/>
        </w:rPr>
        <w:t>discrete variable</w:t>
      </w:r>
      <w:r w:rsidR="003D6426">
        <w:rPr>
          <w:rFonts w:ascii="Arial" w:hAnsi="Arial" w:cs="Arial"/>
          <w:b w:val="0"/>
          <w:sz w:val="20"/>
          <w:szCs w:val="20"/>
        </w:rPr>
        <w:t xml:space="preserve"> (topography)</w:t>
      </w:r>
      <w:r w:rsidR="00C727A3">
        <w:rPr>
          <w:rFonts w:ascii="Arial" w:hAnsi="Arial" w:cs="Arial"/>
          <w:b w:val="0"/>
          <w:sz w:val="20"/>
          <w:szCs w:val="20"/>
        </w:rPr>
        <w:t xml:space="preserve">, </w:t>
      </w:r>
      <w:r w:rsidR="00C714E9">
        <w:rPr>
          <w:rFonts w:ascii="Arial" w:hAnsi="Arial" w:cs="Arial"/>
          <w:b w:val="0"/>
          <w:sz w:val="20"/>
          <w:szCs w:val="20"/>
        </w:rPr>
        <w:t xml:space="preserve">the graph </w:t>
      </w:r>
      <w:r w:rsidR="004D7740">
        <w:rPr>
          <w:rFonts w:ascii="Arial" w:hAnsi="Arial" w:cs="Arial"/>
          <w:b w:val="0"/>
          <w:sz w:val="20"/>
          <w:szCs w:val="20"/>
        </w:rPr>
        <w:t>represents</w:t>
      </w:r>
      <w:r w:rsidR="00C714E9">
        <w:rPr>
          <w:rFonts w:ascii="Arial" w:hAnsi="Arial" w:cs="Arial"/>
          <w:b w:val="0"/>
          <w:sz w:val="20"/>
          <w:szCs w:val="20"/>
        </w:rPr>
        <w:t xml:space="preserve"> the relative frequency of each topographic value across each </w:t>
      </w:r>
      <w:r w:rsidR="004D7740">
        <w:rPr>
          <w:rFonts w:ascii="Arial" w:hAnsi="Arial" w:cs="Arial"/>
          <w:b w:val="0"/>
          <w:sz w:val="20"/>
          <w:szCs w:val="20"/>
        </w:rPr>
        <w:t>site</w:t>
      </w:r>
      <w:r w:rsidR="00C714E9">
        <w:rPr>
          <w:rFonts w:ascii="Arial" w:hAnsi="Arial" w:cs="Arial"/>
          <w:b w:val="0"/>
          <w:sz w:val="20"/>
          <w:szCs w:val="20"/>
        </w:rPr>
        <w:t>.</w:t>
      </w:r>
    </w:p>
    <w:p w14:paraId="2CA9E414" w14:textId="07B2D2D7" w:rsidR="00FD1666" w:rsidRDefault="00FD1666" w:rsidP="00B42F9C">
      <w:pPr>
        <w:pStyle w:val="SMHeading"/>
        <w:rPr>
          <w:rFonts w:ascii="Arial" w:hAnsi="Arial" w:cs="Arial"/>
          <w:b w:val="0"/>
          <w:sz w:val="20"/>
          <w:szCs w:val="20"/>
        </w:rPr>
      </w:pPr>
    </w:p>
    <w:p w14:paraId="3C7A3A15" w14:textId="506D7AD9" w:rsidR="00896A48" w:rsidRPr="00896A48" w:rsidRDefault="00896A48" w:rsidP="00B42F9C">
      <w:pPr>
        <w:pStyle w:val="SMHeading"/>
        <w:rPr>
          <w:rFonts w:ascii="Arial" w:hAnsi="Arial" w:cs="Arial"/>
          <w:sz w:val="20"/>
          <w:szCs w:val="20"/>
        </w:rPr>
      </w:pPr>
      <w:r w:rsidRPr="00DC623A">
        <w:rPr>
          <w:rFonts w:ascii="Arial" w:hAnsi="Arial" w:cs="Arial"/>
          <w:sz w:val="20"/>
          <w:szCs w:val="20"/>
        </w:rPr>
        <w:t>Fig. S</w:t>
      </w:r>
      <w:r>
        <w:rPr>
          <w:rFonts w:ascii="Arial" w:hAnsi="Arial" w:cs="Arial"/>
          <w:sz w:val="20"/>
          <w:szCs w:val="20"/>
        </w:rPr>
        <w:t>5</w:t>
      </w:r>
      <w:r w:rsidRPr="00DC623A">
        <w:rPr>
          <w:rFonts w:ascii="Arial" w:hAnsi="Arial" w:cs="Arial"/>
          <w:sz w:val="20"/>
          <w:szCs w:val="20"/>
        </w:rPr>
        <w:t xml:space="preserve">. </w:t>
      </w:r>
      <w:r w:rsidR="007658EF">
        <w:rPr>
          <w:rFonts w:ascii="Arial" w:hAnsi="Arial" w:cs="Arial"/>
          <w:sz w:val="20"/>
          <w:szCs w:val="20"/>
        </w:rPr>
        <w:t>Effects of the program on deforestation rate across biomes and sites</w:t>
      </w:r>
    </w:p>
    <w:p w14:paraId="724F3116" w14:textId="417B9119" w:rsidR="00896A48" w:rsidRDefault="00896A48" w:rsidP="00B42F9C">
      <w:pPr>
        <w:pStyle w:val="SMHeading"/>
        <w:rPr>
          <w:rFonts w:ascii="Arial" w:hAnsi="Arial" w:cs="Arial"/>
          <w:b w:val="0"/>
          <w:sz w:val="20"/>
          <w:szCs w:val="20"/>
        </w:rPr>
      </w:pPr>
      <w:r>
        <w:rPr>
          <w:noProof/>
        </w:rPr>
        <w:drawing>
          <wp:inline distT="0" distB="0" distL="0" distR="0" wp14:anchorId="22022C9C" wp14:editId="041E6559">
            <wp:extent cx="7981950" cy="4017530"/>
            <wp:effectExtent l="0" t="0" r="0" b="2540"/>
            <wp:docPr id="33" name="Picture 3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with medium confidence"/>
                    <pic:cNvPicPr/>
                  </pic:nvPicPr>
                  <pic:blipFill>
                    <a:blip r:embed="rId16"/>
                    <a:stretch>
                      <a:fillRect/>
                    </a:stretch>
                  </pic:blipFill>
                  <pic:spPr>
                    <a:xfrm>
                      <a:off x="0" y="0"/>
                      <a:ext cx="7988390" cy="4020771"/>
                    </a:xfrm>
                    <a:prstGeom prst="rect">
                      <a:avLst/>
                    </a:prstGeom>
                  </pic:spPr>
                </pic:pic>
              </a:graphicData>
            </a:graphic>
          </wp:inline>
        </w:drawing>
      </w:r>
    </w:p>
    <w:p w14:paraId="53BEC2F4" w14:textId="4E04A2A7" w:rsidR="00E85052" w:rsidRDefault="000E0780">
      <w:pPr>
        <w:rPr>
          <w:rFonts w:ascii="Arial" w:hAnsi="Arial" w:cs="Arial"/>
          <w:bCs/>
          <w:kern w:val="32"/>
          <w:sz w:val="20"/>
        </w:rPr>
      </w:pPr>
      <w:r>
        <w:rPr>
          <w:rFonts w:ascii="Arial" w:hAnsi="Arial" w:cs="Arial"/>
          <w:color w:val="000000"/>
          <w:sz w:val="20"/>
        </w:rPr>
        <w:t xml:space="preserve">Note: </w:t>
      </w:r>
      <w:r w:rsidR="00097F7C">
        <w:rPr>
          <w:rFonts w:ascii="Arial" w:hAnsi="Arial" w:cs="Arial"/>
          <w:color w:val="000000"/>
          <w:sz w:val="20"/>
        </w:rPr>
        <w:t xml:space="preserve">Fig. S5. plots the standardized effect size of the program on annual forest cover rate </w:t>
      </w:r>
      <w:r w:rsidR="00097F7C">
        <w:rPr>
          <w:rFonts w:ascii="Arial" w:hAnsi="Arial" w:cs="Arial"/>
          <w:color w:val="000000"/>
          <w:sz w:val="20"/>
        </w:rPr>
        <w:fldChar w:fldCharType="begin"/>
      </w:r>
      <w:r w:rsidR="00097F7C">
        <w:rPr>
          <w:rFonts w:ascii="Arial" w:hAnsi="Arial" w:cs="Arial"/>
          <w:color w:val="000000"/>
          <w:sz w:val="20"/>
        </w:rPr>
        <w:instrText xml:space="preserve"> ADDIN ZOTERO_ITEM CSL_CITATION {"citationID":"bk2PCAyV","properties":{"formattedCitation":"(1)","plainCitation":"(1)","noteIndex":0},"citationItems":[{"id":8029,"uris":["http://zotero.org/users/1252903/items/HW3Q2RHE"],"itemData":{"id":8029,"type":"article-journal","container-title":"Campbell Systematic Reviews","issue":"11","source":"Google Scholar","title":"Effects of payment for environmental services (PES) on deforestation and poverty in low and middle income countries: a systematic review","title-short":"Effects of payment for environmental services (PES) on deforestation and poverty in low and middle income countries","URL":"http://search.proquest.com/openview/9836497e08109af44c2a82b37662927b/1?pq-origsite=gscholar&amp;cbl=2040247","volume":"10","author":[{"family":"Samii","given":"Cyrus"},{"family":"Lisiecki","given":"Matthew"},{"family":"Kulkarni","given":"Parashar"},{"family":"Paler","given":"Laura"},{"family":"Chavis","given":"Larry"}],"accessed":{"date-parts":[["2017",2,2]]},"issued":{"date-parts":[["2014"]]},"citation-key":"samiiEffectsPaymentEnvironmental2014"}}],"schema":"https://github.com/citation-style-language/schema/raw/master/csl-citation.json"} </w:instrText>
      </w:r>
      <w:r w:rsidR="00097F7C">
        <w:rPr>
          <w:rFonts w:ascii="Arial" w:hAnsi="Arial" w:cs="Arial"/>
          <w:color w:val="000000"/>
          <w:sz w:val="20"/>
        </w:rPr>
        <w:fldChar w:fldCharType="separate"/>
      </w:r>
      <w:r w:rsidR="00097F7C" w:rsidRPr="009E37C3">
        <w:rPr>
          <w:rFonts w:ascii="Arial" w:hAnsi="Arial" w:cs="Arial"/>
          <w:sz w:val="20"/>
        </w:rPr>
        <w:t>(1)</w:t>
      </w:r>
      <w:r w:rsidR="00097F7C">
        <w:rPr>
          <w:rFonts w:ascii="Arial" w:hAnsi="Arial" w:cs="Arial"/>
          <w:color w:val="000000"/>
          <w:sz w:val="20"/>
        </w:rPr>
        <w:fldChar w:fldCharType="end"/>
      </w:r>
      <w:r w:rsidR="00097F7C">
        <w:rPr>
          <w:rFonts w:ascii="Arial" w:hAnsi="Arial" w:cs="Arial"/>
          <w:color w:val="000000"/>
          <w:sz w:val="20"/>
        </w:rPr>
        <w:t>, respectively at program scale for all settlements and all PAs (first row) and then disaggregated for our 4 regions of interest. Standardized effect sizes provide a summary of the impact of the program over the studied period, rearranged as if the forest cove change was uniform across years. The black slope represents the observed average annualized forest cover change in the enrolled sites, while the blue areas represent the estimated counterfactual annualized forest cover change. If the black slope overlaps the blue areas, the difference between the observed and counterfactual rates is statistically non-significant.</w:t>
      </w:r>
      <w:r w:rsidR="00E85052">
        <w:rPr>
          <w:rFonts w:ascii="Arial" w:hAnsi="Arial" w:cs="Arial"/>
          <w:b/>
          <w:sz w:val="20"/>
        </w:rPr>
        <w:br w:type="page"/>
      </w:r>
    </w:p>
    <w:p w14:paraId="4E4ED6CB" w14:textId="49C47B9D" w:rsidR="00015F74" w:rsidRPr="00DC623A" w:rsidRDefault="00252228" w:rsidP="00B42F9C">
      <w:pPr>
        <w:pStyle w:val="SMHeading"/>
        <w:rPr>
          <w:rFonts w:ascii="Arial" w:hAnsi="Arial" w:cs="Arial"/>
          <w:b w:val="0"/>
          <w:sz w:val="20"/>
          <w:szCs w:val="20"/>
        </w:rPr>
      </w:pPr>
      <w:r w:rsidRPr="00DC623A">
        <w:rPr>
          <w:rFonts w:ascii="Arial" w:hAnsi="Arial" w:cs="Arial"/>
          <w:sz w:val="20"/>
          <w:szCs w:val="20"/>
        </w:rPr>
        <w:lastRenderedPageBreak/>
        <w:t>Fig. S</w:t>
      </w:r>
      <w:r>
        <w:rPr>
          <w:rFonts w:ascii="Arial" w:hAnsi="Arial" w:cs="Arial"/>
          <w:sz w:val="20"/>
          <w:szCs w:val="20"/>
        </w:rPr>
        <w:t>6</w:t>
      </w:r>
      <w:r w:rsidRPr="00DC623A">
        <w:rPr>
          <w:rFonts w:ascii="Arial" w:hAnsi="Arial" w:cs="Arial"/>
          <w:sz w:val="20"/>
          <w:szCs w:val="20"/>
        </w:rPr>
        <w:t xml:space="preserve">. </w:t>
      </w:r>
      <w:r w:rsidR="00C923A5">
        <w:rPr>
          <w:rFonts w:ascii="Arial" w:hAnsi="Arial" w:cs="Arial"/>
          <w:b w:val="0"/>
          <w:sz w:val="20"/>
          <w:szCs w:val="20"/>
        </w:rPr>
        <w:t xml:space="preserve">Group-time Average Treatment Effects for </w:t>
      </w:r>
      <w:r w:rsidR="00F02D84">
        <w:rPr>
          <w:rFonts w:ascii="Arial" w:hAnsi="Arial" w:cs="Arial"/>
          <w:b w:val="0"/>
          <w:sz w:val="20"/>
          <w:szCs w:val="20"/>
        </w:rPr>
        <w:t>e</w:t>
      </w:r>
      <w:r w:rsidR="00C923A5">
        <w:rPr>
          <w:rFonts w:ascii="Arial" w:hAnsi="Arial" w:cs="Arial"/>
          <w:b w:val="0"/>
          <w:sz w:val="20"/>
          <w:szCs w:val="20"/>
        </w:rPr>
        <w:t>nrolled Settlements</w:t>
      </w:r>
      <w:r w:rsidR="001269E3">
        <w:rPr>
          <w:rFonts w:ascii="Arial" w:hAnsi="Arial" w:cs="Arial"/>
          <w:b w:val="0"/>
          <w:sz w:val="20"/>
          <w:szCs w:val="20"/>
        </w:rPr>
        <w:t xml:space="preserve"> (2011-2020)</w:t>
      </w:r>
      <w:r w:rsidR="00C923A5">
        <w:rPr>
          <w:rFonts w:ascii="Arial" w:hAnsi="Arial" w:cs="Arial"/>
          <w:b w:val="0"/>
          <w:sz w:val="20"/>
          <w:szCs w:val="20"/>
        </w:rPr>
        <w:t xml:space="preserve"> in Amazonia</w:t>
      </w:r>
      <w:r w:rsidR="003E1247">
        <w:rPr>
          <w:rFonts w:ascii="Arial" w:hAnsi="Arial" w:cs="Arial"/>
          <w:b w:val="0"/>
          <w:sz w:val="20"/>
          <w:szCs w:val="20"/>
        </w:rPr>
        <w:t xml:space="preserve"> (</w:t>
      </w:r>
      <w:r w:rsidR="006A1764">
        <w:rPr>
          <w:rFonts w:ascii="Arial" w:hAnsi="Arial" w:cs="Arial"/>
          <w:b w:val="0"/>
          <w:sz w:val="20"/>
          <w:szCs w:val="20"/>
        </w:rPr>
        <w:t xml:space="preserve">with </w:t>
      </w:r>
      <w:r w:rsidR="000A5787" w:rsidRPr="000A5787">
        <w:rPr>
          <w:rFonts w:ascii="Arial" w:hAnsi="Arial" w:cs="Arial"/>
          <w:b w:val="0"/>
          <w:sz w:val="20"/>
          <w:szCs w:val="20"/>
        </w:rPr>
        <w:t xml:space="preserve">95% </w:t>
      </w:r>
      <w:r w:rsidR="00D33848">
        <w:rPr>
          <w:rFonts w:ascii="Arial" w:hAnsi="Arial" w:cs="Arial"/>
          <w:b w:val="0"/>
          <w:sz w:val="20"/>
          <w:szCs w:val="20"/>
        </w:rPr>
        <w:t>pointwise confidence intervals</w:t>
      </w:r>
      <w:r w:rsidR="000A5787">
        <w:rPr>
          <w:rFonts w:ascii="Arial" w:hAnsi="Arial" w:cs="Arial"/>
          <w:b w:val="0"/>
          <w:sz w:val="20"/>
          <w:szCs w:val="20"/>
        </w:rPr>
        <w:t>)</w:t>
      </w:r>
    </w:p>
    <w:p w14:paraId="419317AB" w14:textId="11C715DF" w:rsidR="009A5287" w:rsidRDefault="001A4F52" w:rsidP="00B9440A">
      <w:pPr>
        <w:pStyle w:val="SMcaption"/>
        <w:rPr>
          <w:rFonts w:ascii="Arial" w:hAnsi="Arial" w:cs="Arial"/>
          <w:sz w:val="20"/>
        </w:rPr>
      </w:pPr>
      <w:r>
        <w:rPr>
          <w:rFonts w:ascii="Arial" w:hAnsi="Arial" w:cs="Arial"/>
          <w:noProof/>
          <w:sz w:val="20"/>
        </w:rPr>
        <w:drawing>
          <wp:inline distT="0" distB="0" distL="0" distR="0" wp14:anchorId="2F0E5999" wp14:editId="254C9471">
            <wp:extent cx="8110903" cy="468630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19780" cy="4691429"/>
                    </a:xfrm>
                    <a:prstGeom prst="rect">
                      <a:avLst/>
                    </a:prstGeom>
                    <a:noFill/>
                    <a:ln>
                      <a:noFill/>
                    </a:ln>
                  </pic:spPr>
                </pic:pic>
              </a:graphicData>
            </a:graphic>
          </wp:inline>
        </w:drawing>
      </w:r>
    </w:p>
    <w:p w14:paraId="1D9ECBB4" w14:textId="110E73B3" w:rsidR="001269E3" w:rsidRPr="00DC623A" w:rsidRDefault="000E0780" w:rsidP="00B9440A">
      <w:pPr>
        <w:pStyle w:val="SMcaption"/>
        <w:rPr>
          <w:rFonts w:ascii="Arial" w:hAnsi="Arial" w:cs="Arial"/>
          <w:sz w:val="20"/>
        </w:rPr>
      </w:pPr>
      <w:r>
        <w:rPr>
          <w:rFonts w:ascii="Arial" w:hAnsi="Arial" w:cs="Arial"/>
          <w:sz w:val="20"/>
        </w:rPr>
        <w:t xml:space="preserve">Note: </w:t>
      </w:r>
      <w:r w:rsidR="001269E3">
        <w:rPr>
          <w:rFonts w:ascii="Arial" w:hAnsi="Arial" w:cs="Arial"/>
          <w:sz w:val="20"/>
        </w:rPr>
        <w:t xml:space="preserve">Each group represents the samples characterized by the first year of enrollment into the program. </w:t>
      </w:r>
      <w:r w:rsidR="00410413">
        <w:rPr>
          <w:rFonts w:ascii="Arial" w:hAnsi="Arial" w:cs="Arial"/>
          <w:sz w:val="20"/>
        </w:rPr>
        <w:t xml:space="preserve">Red bars represent the difference </w:t>
      </w:r>
      <w:r w:rsidR="002C3B20">
        <w:rPr>
          <w:rFonts w:ascii="Arial" w:hAnsi="Arial" w:cs="Arial"/>
          <w:sz w:val="20"/>
        </w:rPr>
        <w:t>between enrolled and respective controls before the first years of enrollment in the program while blue bars represent the difference after the first year of enrollment in the program.</w:t>
      </w:r>
      <w:r w:rsidR="006E478F">
        <w:rPr>
          <w:rFonts w:ascii="Arial" w:hAnsi="Arial" w:cs="Arial"/>
          <w:sz w:val="20"/>
        </w:rPr>
        <w:t xml:space="preserve"> A negative value corresponds to less forest cover loss than in controls</w:t>
      </w:r>
      <w:r w:rsidR="004D7740">
        <w:rPr>
          <w:rFonts w:ascii="Arial" w:hAnsi="Arial" w:cs="Arial"/>
          <w:sz w:val="20"/>
        </w:rPr>
        <w:t>, and a positive value corresponds to more forest cover loss than in controls.</w:t>
      </w:r>
    </w:p>
    <w:p w14:paraId="6888F658" w14:textId="71265031" w:rsidR="00477182" w:rsidRPr="00DC623A" w:rsidRDefault="00112C5B" w:rsidP="00B42F9C">
      <w:pPr>
        <w:pStyle w:val="SMHeading"/>
        <w:rPr>
          <w:rFonts w:ascii="Arial" w:hAnsi="Arial" w:cs="Arial"/>
          <w:sz w:val="20"/>
          <w:szCs w:val="20"/>
        </w:rPr>
      </w:pPr>
      <w:r w:rsidRPr="00DC623A">
        <w:rPr>
          <w:rFonts w:ascii="Arial" w:hAnsi="Arial" w:cs="Arial"/>
          <w:sz w:val="20"/>
          <w:szCs w:val="20"/>
        </w:rPr>
        <w:lastRenderedPageBreak/>
        <w:t>Fig. S</w:t>
      </w:r>
      <w:r w:rsidR="00252228">
        <w:rPr>
          <w:rFonts w:ascii="Arial" w:hAnsi="Arial" w:cs="Arial"/>
          <w:sz w:val="20"/>
          <w:szCs w:val="20"/>
        </w:rPr>
        <w:t>7</w:t>
      </w:r>
      <w:r w:rsidR="00B42F9C" w:rsidRPr="00DC623A">
        <w:rPr>
          <w:rFonts w:ascii="Arial" w:hAnsi="Arial" w:cs="Arial"/>
          <w:sz w:val="20"/>
          <w:szCs w:val="20"/>
        </w:rPr>
        <w:t xml:space="preserve">. </w:t>
      </w:r>
      <w:r w:rsidR="00C923A5">
        <w:rPr>
          <w:rFonts w:ascii="Arial" w:hAnsi="Arial" w:cs="Arial"/>
          <w:b w:val="0"/>
          <w:sz w:val="20"/>
          <w:szCs w:val="20"/>
        </w:rPr>
        <w:t>Event-study graph</w:t>
      </w:r>
      <w:r w:rsidR="00C923A5" w:rsidRPr="00C923A5">
        <w:rPr>
          <w:rFonts w:ascii="Arial" w:hAnsi="Arial" w:cs="Arial"/>
          <w:b w:val="0"/>
          <w:sz w:val="20"/>
          <w:szCs w:val="20"/>
        </w:rPr>
        <w:t xml:space="preserve"> </w:t>
      </w:r>
      <w:r w:rsidR="00C923A5">
        <w:rPr>
          <w:rFonts w:ascii="Arial" w:hAnsi="Arial" w:cs="Arial"/>
          <w:b w:val="0"/>
          <w:sz w:val="20"/>
          <w:szCs w:val="20"/>
        </w:rPr>
        <w:t xml:space="preserve">for </w:t>
      </w:r>
      <w:r w:rsidR="00F02D84">
        <w:rPr>
          <w:rFonts w:ascii="Arial" w:hAnsi="Arial" w:cs="Arial"/>
          <w:b w:val="0"/>
          <w:sz w:val="20"/>
          <w:szCs w:val="20"/>
        </w:rPr>
        <w:t>e</w:t>
      </w:r>
      <w:r w:rsidR="00C923A5">
        <w:rPr>
          <w:rFonts w:ascii="Arial" w:hAnsi="Arial" w:cs="Arial"/>
          <w:b w:val="0"/>
          <w:sz w:val="20"/>
          <w:szCs w:val="20"/>
        </w:rPr>
        <w:t xml:space="preserve">nrolled Settlements </w:t>
      </w:r>
      <w:r w:rsidR="00E82D8E">
        <w:rPr>
          <w:rFonts w:ascii="Arial" w:hAnsi="Arial" w:cs="Arial"/>
          <w:b w:val="0"/>
          <w:sz w:val="20"/>
          <w:szCs w:val="20"/>
        </w:rPr>
        <w:t xml:space="preserve">(2011-2017) </w:t>
      </w:r>
      <w:r w:rsidR="00C923A5">
        <w:rPr>
          <w:rFonts w:ascii="Arial" w:hAnsi="Arial" w:cs="Arial"/>
          <w:b w:val="0"/>
          <w:sz w:val="20"/>
          <w:szCs w:val="20"/>
        </w:rPr>
        <w:t>in Amazonia</w:t>
      </w:r>
      <w:r w:rsidR="006A1764">
        <w:rPr>
          <w:rFonts w:ascii="Arial" w:hAnsi="Arial" w:cs="Arial"/>
          <w:b w:val="0"/>
          <w:sz w:val="20"/>
          <w:szCs w:val="20"/>
        </w:rPr>
        <w:t xml:space="preserve"> (with </w:t>
      </w:r>
      <w:r w:rsidR="006A1764" w:rsidRPr="000A5787">
        <w:rPr>
          <w:rFonts w:ascii="Arial" w:hAnsi="Arial" w:cs="Arial"/>
          <w:b w:val="0"/>
          <w:sz w:val="20"/>
          <w:szCs w:val="20"/>
        </w:rPr>
        <w:t xml:space="preserve">95% </w:t>
      </w:r>
      <w:r w:rsidR="00DD7090">
        <w:rPr>
          <w:rFonts w:ascii="Arial" w:hAnsi="Arial" w:cs="Arial"/>
          <w:b w:val="0"/>
          <w:sz w:val="20"/>
          <w:szCs w:val="20"/>
        </w:rPr>
        <w:t>pointwise confidence intervals</w:t>
      </w:r>
      <w:r w:rsidR="006A1764">
        <w:rPr>
          <w:rFonts w:ascii="Arial" w:hAnsi="Arial" w:cs="Arial"/>
          <w:b w:val="0"/>
          <w:sz w:val="20"/>
          <w:szCs w:val="20"/>
        </w:rPr>
        <w:t>)</w:t>
      </w:r>
    </w:p>
    <w:p w14:paraId="018E917E" w14:textId="77777777" w:rsidR="002C3B20" w:rsidRDefault="000F3B61" w:rsidP="00B42F9C">
      <w:pPr>
        <w:pStyle w:val="SMHeading"/>
        <w:rPr>
          <w:rFonts w:ascii="Arial" w:hAnsi="Arial" w:cs="Arial"/>
          <w:sz w:val="20"/>
          <w:szCs w:val="20"/>
        </w:rPr>
      </w:pPr>
      <w:r>
        <w:rPr>
          <w:noProof/>
        </w:rPr>
        <w:drawing>
          <wp:inline distT="0" distB="0" distL="0" distR="0" wp14:anchorId="52DA7538" wp14:editId="61767B9F">
            <wp:extent cx="6238875" cy="4513428"/>
            <wp:effectExtent l="0" t="0" r="0" b="1905"/>
            <wp:docPr id="1" name="Picture 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ox and whisker chart&#10;&#10;Description automatically generated"/>
                    <pic:cNvPicPr/>
                  </pic:nvPicPr>
                  <pic:blipFill>
                    <a:blip r:embed="rId18"/>
                    <a:stretch>
                      <a:fillRect/>
                    </a:stretch>
                  </pic:blipFill>
                  <pic:spPr>
                    <a:xfrm>
                      <a:off x="0" y="0"/>
                      <a:ext cx="6260384" cy="4528989"/>
                    </a:xfrm>
                    <a:prstGeom prst="rect">
                      <a:avLst/>
                    </a:prstGeom>
                  </pic:spPr>
                </pic:pic>
              </a:graphicData>
            </a:graphic>
          </wp:inline>
        </w:drawing>
      </w:r>
      <w:r w:rsidR="000A578C">
        <w:rPr>
          <w:rFonts w:ascii="Arial" w:hAnsi="Arial" w:cs="Arial"/>
          <w:sz w:val="20"/>
          <w:szCs w:val="20"/>
        </w:rPr>
        <w:t xml:space="preserve"> </w:t>
      </w:r>
    </w:p>
    <w:p w14:paraId="18E362CF" w14:textId="35A43D00" w:rsidR="00C923A5" w:rsidRDefault="000E0780" w:rsidP="00B44AE6">
      <w:pPr>
        <w:pStyle w:val="SMcaption"/>
        <w:rPr>
          <w:rFonts w:ascii="Arial" w:hAnsi="Arial" w:cs="Arial"/>
          <w:sz w:val="20"/>
        </w:rPr>
      </w:pPr>
      <w:r>
        <w:rPr>
          <w:rFonts w:ascii="Arial" w:hAnsi="Arial" w:cs="Arial"/>
          <w:sz w:val="20"/>
        </w:rPr>
        <w:t xml:space="preserve">Note: </w:t>
      </w:r>
      <w:r w:rsidR="002C3B20">
        <w:rPr>
          <w:rFonts w:ascii="Arial" w:hAnsi="Arial" w:cs="Arial"/>
          <w:sz w:val="20"/>
        </w:rPr>
        <w:t xml:space="preserve">The event-study graph corresponds to the </w:t>
      </w:r>
      <w:r w:rsidR="00B44AE6">
        <w:rPr>
          <w:rFonts w:ascii="Arial" w:hAnsi="Arial" w:cs="Arial"/>
          <w:sz w:val="20"/>
        </w:rPr>
        <w:t xml:space="preserve">average effect of the program expressed in relative length of exposure to the program, both before and after the first year of enrollment in the program. </w:t>
      </w:r>
      <w:r w:rsidR="002C3B20">
        <w:rPr>
          <w:rFonts w:ascii="Arial" w:hAnsi="Arial" w:cs="Arial"/>
          <w:sz w:val="20"/>
        </w:rPr>
        <w:t>Red bars represent the difference between enrolled and respective controls before the first years of enrollment in the program while blue bars represent the difference after the first year of enrollment in the program.</w:t>
      </w:r>
      <w:r w:rsidR="004D7740" w:rsidRPr="004D7740">
        <w:rPr>
          <w:rFonts w:ascii="Arial" w:hAnsi="Arial" w:cs="Arial"/>
          <w:sz w:val="20"/>
        </w:rPr>
        <w:t xml:space="preserve"> </w:t>
      </w:r>
      <w:r w:rsidR="004D7740">
        <w:rPr>
          <w:rFonts w:ascii="Arial" w:hAnsi="Arial" w:cs="Arial"/>
          <w:sz w:val="20"/>
        </w:rPr>
        <w:t>A negative value corresponds to less forest cover loss than in controls, and a positive value corresponds to more forest cover loss than in controls.</w:t>
      </w:r>
    </w:p>
    <w:p w14:paraId="5DB8CCE6" w14:textId="422AD3A3" w:rsidR="00C923A5" w:rsidRPr="00DC623A" w:rsidRDefault="00C923A5" w:rsidP="00C923A5">
      <w:pPr>
        <w:pStyle w:val="SMHeading"/>
        <w:rPr>
          <w:rFonts w:ascii="Arial" w:hAnsi="Arial" w:cs="Arial"/>
          <w:sz w:val="20"/>
          <w:szCs w:val="20"/>
        </w:rPr>
      </w:pPr>
      <w:r w:rsidRPr="00DC623A">
        <w:rPr>
          <w:rFonts w:ascii="Arial" w:hAnsi="Arial" w:cs="Arial"/>
          <w:sz w:val="20"/>
          <w:szCs w:val="20"/>
        </w:rPr>
        <w:lastRenderedPageBreak/>
        <w:t>Fig. S</w:t>
      </w:r>
      <w:r w:rsidR="00252228">
        <w:rPr>
          <w:rFonts w:ascii="Arial" w:hAnsi="Arial" w:cs="Arial"/>
          <w:sz w:val="20"/>
          <w:szCs w:val="20"/>
        </w:rPr>
        <w:t>8</w:t>
      </w:r>
      <w:r w:rsidRPr="00DC623A">
        <w:rPr>
          <w:rFonts w:ascii="Arial" w:hAnsi="Arial" w:cs="Arial"/>
          <w:sz w:val="20"/>
          <w:szCs w:val="20"/>
        </w:rPr>
        <w:t xml:space="preserve">. </w:t>
      </w:r>
      <w:r w:rsidR="00395A39">
        <w:rPr>
          <w:rFonts w:ascii="Arial" w:hAnsi="Arial" w:cs="Arial"/>
          <w:b w:val="0"/>
          <w:sz w:val="20"/>
          <w:szCs w:val="20"/>
        </w:rPr>
        <w:t xml:space="preserve">Group Average Treatment Effects </w:t>
      </w:r>
      <w:r>
        <w:rPr>
          <w:rFonts w:ascii="Arial" w:hAnsi="Arial" w:cs="Arial"/>
          <w:b w:val="0"/>
          <w:sz w:val="20"/>
          <w:szCs w:val="20"/>
        </w:rPr>
        <w:t xml:space="preserve">for </w:t>
      </w:r>
      <w:r w:rsidR="00F02D84">
        <w:rPr>
          <w:rFonts w:ascii="Arial" w:hAnsi="Arial" w:cs="Arial"/>
          <w:b w:val="0"/>
          <w:sz w:val="20"/>
          <w:szCs w:val="20"/>
        </w:rPr>
        <w:t>e</w:t>
      </w:r>
      <w:r>
        <w:rPr>
          <w:rFonts w:ascii="Arial" w:hAnsi="Arial" w:cs="Arial"/>
          <w:b w:val="0"/>
          <w:sz w:val="20"/>
          <w:szCs w:val="20"/>
        </w:rPr>
        <w:t>nrolled Settlements</w:t>
      </w:r>
      <w:r w:rsidR="00E67462">
        <w:rPr>
          <w:rFonts w:ascii="Arial" w:hAnsi="Arial" w:cs="Arial"/>
          <w:b w:val="0"/>
          <w:sz w:val="20"/>
          <w:szCs w:val="20"/>
        </w:rPr>
        <w:t xml:space="preserve"> (2011-2017)</w:t>
      </w:r>
      <w:r>
        <w:rPr>
          <w:rFonts w:ascii="Arial" w:hAnsi="Arial" w:cs="Arial"/>
          <w:b w:val="0"/>
          <w:sz w:val="20"/>
          <w:szCs w:val="20"/>
        </w:rPr>
        <w:t xml:space="preserve"> in Amazonia</w:t>
      </w:r>
      <w:r w:rsidR="006A1764">
        <w:rPr>
          <w:rFonts w:ascii="Arial" w:hAnsi="Arial" w:cs="Arial"/>
          <w:b w:val="0"/>
          <w:sz w:val="20"/>
          <w:szCs w:val="20"/>
        </w:rPr>
        <w:t xml:space="preserve"> (with </w:t>
      </w:r>
      <w:r w:rsidR="006A1764" w:rsidRPr="000A5787">
        <w:rPr>
          <w:rFonts w:ascii="Arial" w:hAnsi="Arial" w:cs="Arial"/>
          <w:b w:val="0"/>
          <w:sz w:val="20"/>
          <w:szCs w:val="20"/>
        </w:rPr>
        <w:t xml:space="preserve">95% </w:t>
      </w:r>
      <w:r w:rsidR="00E67462">
        <w:rPr>
          <w:rFonts w:ascii="Arial" w:hAnsi="Arial" w:cs="Arial"/>
          <w:b w:val="0"/>
          <w:sz w:val="20"/>
          <w:szCs w:val="20"/>
        </w:rPr>
        <w:t>pointwise</w:t>
      </w:r>
      <w:r w:rsidR="004D18BD" w:rsidRPr="000A5787">
        <w:rPr>
          <w:rFonts w:ascii="Arial" w:hAnsi="Arial" w:cs="Arial"/>
          <w:b w:val="0"/>
          <w:sz w:val="20"/>
          <w:szCs w:val="20"/>
        </w:rPr>
        <w:t xml:space="preserve"> </w:t>
      </w:r>
      <w:r w:rsidR="006A1764" w:rsidRPr="000A5787">
        <w:rPr>
          <w:rFonts w:ascii="Arial" w:hAnsi="Arial" w:cs="Arial"/>
          <w:b w:val="0"/>
          <w:sz w:val="20"/>
          <w:szCs w:val="20"/>
        </w:rPr>
        <w:t xml:space="preserve">confidence </w:t>
      </w:r>
      <w:r w:rsidR="00E67462">
        <w:rPr>
          <w:rFonts w:ascii="Arial" w:hAnsi="Arial" w:cs="Arial"/>
          <w:b w:val="0"/>
          <w:sz w:val="20"/>
          <w:szCs w:val="20"/>
        </w:rPr>
        <w:t>intervals</w:t>
      </w:r>
      <w:r w:rsidR="006A1764">
        <w:rPr>
          <w:rFonts w:ascii="Arial" w:hAnsi="Arial" w:cs="Arial"/>
          <w:b w:val="0"/>
          <w:sz w:val="20"/>
          <w:szCs w:val="20"/>
        </w:rPr>
        <w:t>)</w:t>
      </w:r>
    </w:p>
    <w:p w14:paraId="44BF6B4A" w14:textId="0A542FDA" w:rsidR="001C0975" w:rsidRDefault="0080310C" w:rsidP="00477182">
      <w:pPr>
        <w:pStyle w:val="SMcaption"/>
        <w:rPr>
          <w:rFonts w:ascii="Arial" w:hAnsi="Arial" w:cs="Arial"/>
          <w:sz w:val="20"/>
        </w:rPr>
      </w:pPr>
      <w:r>
        <w:rPr>
          <w:noProof/>
        </w:rPr>
        <w:drawing>
          <wp:inline distT="0" distB="0" distL="0" distR="0" wp14:anchorId="26B00CC5" wp14:editId="2107FF94">
            <wp:extent cx="6657975" cy="4816622"/>
            <wp:effectExtent l="0" t="0" r="0" b="3175"/>
            <wp:docPr id="17" name="Picture 17"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ox and whisker chart&#10;&#10;Description automatically generated"/>
                    <pic:cNvPicPr/>
                  </pic:nvPicPr>
                  <pic:blipFill>
                    <a:blip r:embed="rId19"/>
                    <a:stretch>
                      <a:fillRect/>
                    </a:stretch>
                  </pic:blipFill>
                  <pic:spPr>
                    <a:xfrm>
                      <a:off x="0" y="0"/>
                      <a:ext cx="6673073" cy="4827544"/>
                    </a:xfrm>
                    <a:prstGeom prst="rect">
                      <a:avLst/>
                    </a:prstGeom>
                  </pic:spPr>
                </pic:pic>
              </a:graphicData>
            </a:graphic>
          </wp:inline>
        </w:drawing>
      </w:r>
    </w:p>
    <w:p w14:paraId="5ABC7198" w14:textId="085165B1" w:rsidR="00B44AE6" w:rsidRPr="00DC623A" w:rsidRDefault="000E0780" w:rsidP="00477182">
      <w:pPr>
        <w:pStyle w:val="SMcaption"/>
        <w:rPr>
          <w:rFonts w:ascii="Arial" w:hAnsi="Arial" w:cs="Arial"/>
          <w:sz w:val="20"/>
        </w:rPr>
      </w:pPr>
      <w:proofErr w:type="spellStart"/>
      <w:r>
        <w:rPr>
          <w:rFonts w:ascii="Arial" w:hAnsi="Arial" w:cs="Arial"/>
          <w:sz w:val="20"/>
        </w:rPr>
        <w:t>Note:</w:t>
      </w:r>
      <w:r w:rsidR="00B44AE6">
        <w:rPr>
          <w:rFonts w:ascii="Arial" w:hAnsi="Arial" w:cs="Arial"/>
          <w:sz w:val="20"/>
        </w:rPr>
        <w:t>This</w:t>
      </w:r>
      <w:proofErr w:type="spellEnd"/>
      <w:r w:rsidR="00B44AE6">
        <w:rPr>
          <w:rFonts w:ascii="Arial" w:hAnsi="Arial" w:cs="Arial"/>
          <w:sz w:val="20"/>
        </w:rPr>
        <w:t xml:space="preserve"> graph aggregates the group-time ATT from Fig. S6 to obtain an </w:t>
      </w:r>
      <w:r w:rsidR="00414581">
        <w:rPr>
          <w:rFonts w:ascii="Arial" w:hAnsi="Arial" w:cs="Arial"/>
          <w:sz w:val="20"/>
        </w:rPr>
        <w:t>average impact for each group, characterized by the year of first enrollment into the program.</w:t>
      </w:r>
      <w:r w:rsidR="004D7740" w:rsidRPr="004D7740">
        <w:rPr>
          <w:rFonts w:ascii="Arial" w:hAnsi="Arial" w:cs="Arial"/>
          <w:sz w:val="20"/>
        </w:rPr>
        <w:t xml:space="preserve"> </w:t>
      </w:r>
      <w:r w:rsidR="004D7740">
        <w:rPr>
          <w:rFonts w:ascii="Arial" w:hAnsi="Arial" w:cs="Arial"/>
          <w:sz w:val="20"/>
        </w:rPr>
        <w:t>A negative value corresponds to less forest cover loss than in controls, and a positive value corresponds to more forest cover loss than in controls.</w:t>
      </w:r>
    </w:p>
    <w:p w14:paraId="4670C861" w14:textId="0E46E41D" w:rsidR="00405CD8" w:rsidRDefault="00395A39" w:rsidP="00405CD8">
      <w:pPr>
        <w:pStyle w:val="SMHeading"/>
        <w:rPr>
          <w:rFonts w:ascii="Arial" w:hAnsi="Arial" w:cs="Arial"/>
          <w:sz w:val="20"/>
          <w:szCs w:val="20"/>
        </w:rPr>
      </w:pPr>
      <w:r w:rsidRPr="00DC623A">
        <w:rPr>
          <w:rFonts w:ascii="Arial" w:hAnsi="Arial" w:cs="Arial"/>
          <w:sz w:val="20"/>
          <w:szCs w:val="20"/>
        </w:rPr>
        <w:lastRenderedPageBreak/>
        <w:t>Fig. S</w:t>
      </w:r>
      <w:r w:rsidR="00252228">
        <w:rPr>
          <w:rFonts w:ascii="Arial" w:hAnsi="Arial" w:cs="Arial"/>
          <w:sz w:val="20"/>
          <w:szCs w:val="20"/>
        </w:rPr>
        <w:t>9</w:t>
      </w:r>
      <w:r w:rsidRPr="00DC623A">
        <w:rPr>
          <w:rFonts w:ascii="Arial" w:hAnsi="Arial" w:cs="Arial"/>
          <w:sz w:val="20"/>
          <w:szCs w:val="20"/>
        </w:rPr>
        <w:t>.</w:t>
      </w:r>
      <w:r w:rsidR="00405CD8" w:rsidRPr="00DC623A">
        <w:rPr>
          <w:rFonts w:ascii="Arial" w:hAnsi="Arial" w:cs="Arial"/>
          <w:sz w:val="20"/>
          <w:szCs w:val="20"/>
        </w:rPr>
        <w:t xml:space="preserve"> </w:t>
      </w:r>
      <w:r w:rsidR="00405CD8">
        <w:rPr>
          <w:rFonts w:ascii="Arial" w:hAnsi="Arial" w:cs="Arial"/>
          <w:sz w:val="20"/>
          <w:szCs w:val="20"/>
        </w:rPr>
        <w:t>Variable distribution across groups in enrolled settlements of Amazonia</w:t>
      </w:r>
    </w:p>
    <w:p w14:paraId="2342BFEE" w14:textId="5693E276" w:rsidR="00405CD8" w:rsidRDefault="00405CD8" w:rsidP="00395A39">
      <w:pPr>
        <w:pStyle w:val="SMHeading"/>
        <w:rPr>
          <w:rFonts w:ascii="Arial" w:hAnsi="Arial" w:cs="Arial"/>
          <w:sz w:val="20"/>
          <w:szCs w:val="20"/>
        </w:rPr>
      </w:pPr>
      <w:r>
        <w:rPr>
          <w:noProof/>
        </w:rPr>
        <w:drawing>
          <wp:inline distT="0" distB="0" distL="0" distR="0" wp14:anchorId="21FE3D39" wp14:editId="430624CD">
            <wp:extent cx="8478141" cy="4267200"/>
            <wp:effectExtent l="0" t="0" r="0" b="0"/>
            <wp:docPr id="27" name="Picture 27" descr="A picture containing sky, indoor, differen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sky, indoor, different, colorful&#10;&#10;Description automatically generated"/>
                    <pic:cNvPicPr/>
                  </pic:nvPicPr>
                  <pic:blipFill>
                    <a:blip r:embed="rId20"/>
                    <a:stretch>
                      <a:fillRect/>
                    </a:stretch>
                  </pic:blipFill>
                  <pic:spPr>
                    <a:xfrm>
                      <a:off x="0" y="0"/>
                      <a:ext cx="8478649" cy="4267456"/>
                    </a:xfrm>
                    <a:prstGeom prst="rect">
                      <a:avLst/>
                    </a:prstGeom>
                  </pic:spPr>
                </pic:pic>
              </a:graphicData>
            </a:graphic>
          </wp:inline>
        </w:drawing>
      </w:r>
    </w:p>
    <w:p w14:paraId="2DA34AF6" w14:textId="23D5EBC2" w:rsidR="000C54A5" w:rsidRDefault="000E0780" w:rsidP="00C714E9">
      <w:pPr>
        <w:pStyle w:val="SMHeading"/>
        <w:rPr>
          <w:rFonts w:ascii="Arial" w:hAnsi="Arial" w:cs="Arial"/>
          <w:bCs w:val="0"/>
          <w:sz w:val="20"/>
        </w:rPr>
      </w:pPr>
      <w:proofErr w:type="spellStart"/>
      <w:r>
        <w:rPr>
          <w:rFonts w:ascii="Arial" w:hAnsi="Arial" w:cs="Arial"/>
          <w:b w:val="0"/>
          <w:sz w:val="20"/>
          <w:szCs w:val="20"/>
        </w:rPr>
        <w:t>Note:</w:t>
      </w:r>
      <w:r w:rsidR="00C714E9">
        <w:rPr>
          <w:rFonts w:ascii="Arial" w:hAnsi="Arial" w:cs="Arial"/>
          <w:b w:val="0"/>
          <w:sz w:val="20"/>
          <w:szCs w:val="20"/>
        </w:rPr>
        <w:t>In</w:t>
      </w:r>
      <w:proofErr w:type="spellEnd"/>
      <w:r w:rsidR="00C714E9">
        <w:rPr>
          <w:rFonts w:ascii="Arial" w:hAnsi="Arial" w:cs="Arial"/>
          <w:b w:val="0"/>
          <w:sz w:val="20"/>
          <w:szCs w:val="20"/>
        </w:rPr>
        <w:t xml:space="preserve"> the violin plot for each continuous variables, each black dot is a single observation point, while the blue dot is the average (and confidence interval) and of each group. In the histogram for the discrete variable (topography), the graph </w:t>
      </w:r>
      <w:r w:rsidR="004D7740">
        <w:rPr>
          <w:rFonts w:ascii="Arial" w:hAnsi="Arial" w:cs="Arial"/>
          <w:b w:val="0"/>
          <w:sz w:val="20"/>
          <w:szCs w:val="20"/>
        </w:rPr>
        <w:t>represents</w:t>
      </w:r>
      <w:r w:rsidR="00C714E9">
        <w:rPr>
          <w:rFonts w:ascii="Arial" w:hAnsi="Arial" w:cs="Arial"/>
          <w:b w:val="0"/>
          <w:sz w:val="20"/>
          <w:szCs w:val="20"/>
        </w:rPr>
        <w:t xml:space="preserve"> the relative frequency of each topographic value across each </w:t>
      </w:r>
      <w:r w:rsidR="004D7740">
        <w:rPr>
          <w:rFonts w:ascii="Arial" w:hAnsi="Arial" w:cs="Arial"/>
          <w:b w:val="0"/>
          <w:sz w:val="20"/>
          <w:szCs w:val="20"/>
        </w:rPr>
        <w:t>site</w:t>
      </w:r>
      <w:r w:rsidR="00C714E9">
        <w:rPr>
          <w:rFonts w:ascii="Arial" w:hAnsi="Arial" w:cs="Arial"/>
          <w:b w:val="0"/>
          <w:sz w:val="20"/>
          <w:szCs w:val="20"/>
        </w:rPr>
        <w:t>.</w:t>
      </w:r>
      <w:r w:rsidR="000C54A5">
        <w:rPr>
          <w:rFonts w:ascii="Arial" w:hAnsi="Arial" w:cs="Arial"/>
          <w:b w:val="0"/>
          <w:sz w:val="20"/>
          <w:szCs w:val="20"/>
        </w:rPr>
        <w:br w:type="page"/>
      </w:r>
    </w:p>
    <w:p w14:paraId="388385A3" w14:textId="6B89A0C7" w:rsidR="00395A39" w:rsidRPr="00DC623A" w:rsidRDefault="00405CD8" w:rsidP="00395A39">
      <w:pPr>
        <w:pStyle w:val="SMHeading"/>
        <w:rPr>
          <w:rFonts w:ascii="Arial" w:hAnsi="Arial" w:cs="Arial"/>
          <w:sz w:val="20"/>
          <w:szCs w:val="20"/>
        </w:rPr>
      </w:pPr>
      <w:r>
        <w:rPr>
          <w:rFonts w:ascii="Arial" w:hAnsi="Arial" w:cs="Arial"/>
          <w:b w:val="0"/>
          <w:sz w:val="20"/>
          <w:szCs w:val="20"/>
        </w:rPr>
        <w:lastRenderedPageBreak/>
        <w:t xml:space="preserve">Fig. S10. </w:t>
      </w:r>
      <w:r w:rsidR="00395A39">
        <w:rPr>
          <w:rFonts w:ascii="Arial" w:hAnsi="Arial" w:cs="Arial"/>
          <w:b w:val="0"/>
          <w:sz w:val="20"/>
          <w:szCs w:val="20"/>
        </w:rPr>
        <w:t xml:space="preserve">Calendar Average Treatment Effects for </w:t>
      </w:r>
      <w:r w:rsidR="00F02D84">
        <w:rPr>
          <w:rFonts w:ascii="Arial" w:hAnsi="Arial" w:cs="Arial"/>
          <w:b w:val="0"/>
          <w:sz w:val="20"/>
          <w:szCs w:val="20"/>
        </w:rPr>
        <w:t>e</w:t>
      </w:r>
      <w:r w:rsidR="00395A39">
        <w:rPr>
          <w:rFonts w:ascii="Arial" w:hAnsi="Arial" w:cs="Arial"/>
          <w:b w:val="0"/>
          <w:sz w:val="20"/>
          <w:szCs w:val="20"/>
        </w:rPr>
        <w:t>nrolled Settlements in Amazonia</w:t>
      </w:r>
      <w:r w:rsidR="007C2ECF">
        <w:rPr>
          <w:rFonts w:ascii="Arial" w:hAnsi="Arial" w:cs="Arial"/>
          <w:b w:val="0"/>
          <w:sz w:val="20"/>
          <w:szCs w:val="20"/>
        </w:rPr>
        <w:t xml:space="preserve"> (</w:t>
      </w:r>
      <w:r w:rsidR="00E67183">
        <w:rPr>
          <w:rFonts w:ascii="Arial" w:hAnsi="Arial" w:cs="Arial"/>
          <w:b w:val="0"/>
          <w:sz w:val="20"/>
          <w:szCs w:val="20"/>
        </w:rPr>
        <w:t xml:space="preserve">with </w:t>
      </w:r>
      <w:r w:rsidR="00E67183" w:rsidRPr="000A5787">
        <w:rPr>
          <w:rFonts w:ascii="Arial" w:hAnsi="Arial" w:cs="Arial"/>
          <w:b w:val="0"/>
          <w:sz w:val="20"/>
          <w:szCs w:val="20"/>
        </w:rPr>
        <w:t xml:space="preserve">95% </w:t>
      </w:r>
      <w:r w:rsidR="00E67183">
        <w:rPr>
          <w:rFonts w:ascii="Arial" w:hAnsi="Arial" w:cs="Arial"/>
          <w:b w:val="0"/>
          <w:sz w:val="20"/>
          <w:szCs w:val="20"/>
        </w:rPr>
        <w:t>pointwise</w:t>
      </w:r>
      <w:r w:rsidR="00E67183" w:rsidRPr="000A5787">
        <w:rPr>
          <w:rFonts w:ascii="Arial" w:hAnsi="Arial" w:cs="Arial"/>
          <w:b w:val="0"/>
          <w:sz w:val="20"/>
          <w:szCs w:val="20"/>
        </w:rPr>
        <w:t xml:space="preserve"> confidence </w:t>
      </w:r>
      <w:r w:rsidR="00E67183">
        <w:rPr>
          <w:rFonts w:ascii="Arial" w:hAnsi="Arial" w:cs="Arial"/>
          <w:b w:val="0"/>
          <w:sz w:val="20"/>
          <w:szCs w:val="20"/>
        </w:rPr>
        <w:t>intervals</w:t>
      </w:r>
      <w:r w:rsidR="007C2ECF">
        <w:rPr>
          <w:rFonts w:ascii="Arial" w:hAnsi="Arial" w:cs="Arial"/>
          <w:b w:val="0"/>
          <w:sz w:val="20"/>
          <w:szCs w:val="20"/>
        </w:rPr>
        <w:t>)</w:t>
      </w:r>
    </w:p>
    <w:p w14:paraId="4D0081B4" w14:textId="77777777" w:rsidR="004D7740" w:rsidRDefault="005C39F5" w:rsidP="00395A39">
      <w:pPr>
        <w:pStyle w:val="SMHeading"/>
        <w:rPr>
          <w:rFonts w:ascii="Arial" w:hAnsi="Arial" w:cs="Arial"/>
          <w:sz w:val="20"/>
          <w:szCs w:val="20"/>
        </w:rPr>
      </w:pPr>
      <w:r>
        <w:rPr>
          <w:noProof/>
        </w:rPr>
        <w:drawing>
          <wp:inline distT="0" distB="0" distL="0" distR="0" wp14:anchorId="78E4F846" wp14:editId="03157E1C">
            <wp:extent cx="8229600" cy="414210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1"/>
                    <a:stretch>
                      <a:fillRect/>
                    </a:stretch>
                  </pic:blipFill>
                  <pic:spPr>
                    <a:xfrm>
                      <a:off x="0" y="0"/>
                      <a:ext cx="8229600" cy="4142105"/>
                    </a:xfrm>
                    <a:prstGeom prst="rect">
                      <a:avLst/>
                    </a:prstGeom>
                  </pic:spPr>
                </pic:pic>
              </a:graphicData>
            </a:graphic>
          </wp:inline>
        </w:drawing>
      </w:r>
      <w:r>
        <w:rPr>
          <w:rFonts w:ascii="Arial" w:hAnsi="Arial" w:cs="Arial"/>
          <w:sz w:val="20"/>
          <w:szCs w:val="20"/>
        </w:rPr>
        <w:t xml:space="preserve"> </w:t>
      </w:r>
    </w:p>
    <w:p w14:paraId="277CC19D" w14:textId="2995BB93" w:rsidR="004D7740" w:rsidRPr="00DC623A" w:rsidRDefault="000E0780" w:rsidP="00177C8E">
      <w:pPr>
        <w:pStyle w:val="SMcaption"/>
        <w:rPr>
          <w:rFonts w:ascii="Arial" w:hAnsi="Arial" w:cs="Arial"/>
          <w:sz w:val="20"/>
        </w:rPr>
      </w:pPr>
      <w:proofErr w:type="spellStart"/>
      <w:r>
        <w:rPr>
          <w:rFonts w:ascii="Arial" w:hAnsi="Arial" w:cs="Arial"/>
          <w:sz w:val="20"/>
        </w:rPr>
        <w:t>Note:</w:t>
      </w:r>
      <w:r w:rsidR="004D7740">
        <w:rPr>
          <w:rFonts w:ascii="Arial" w:hAnsi="Arial" w:cs="Arial"/>
          <w:sz w:val="20"/>
        </w:rPr>
        <w:t>This</w:t>
      </w:r>
      <w:proofErr w:type="spellEnd"/>
      <w:r w:rsidR="004D7740">
        <w:rPr>
          <w:rFonts w:ascii="Arial" w:hAnsi="Arial" w:cs="Arial"/>
          <w:sz w:val="20"/>
        </w:rPr>
        <w:t xml:space="preserve"> graph aggregates the group-time ATT from Fig. S6 to obtain an average impact for each calendar year, </w:t>
      </w:r>
      <w:r w:rsidR="00177C8E">
        <w:rPr>
          <w:rFonts w:ascii="Arial" w:hAnsi="Arial" w:cs="Arial"/>
          <w:sz w:val="20"/>
        </w:rPr>
        <w:t>i.e.,</w:t>
      </w:r>
      <w:r w:rsidR="004D7740">
        <w:rPr>
          <w:rFonts w:ascii="Arial" w:hAnsi="Arial" w:cs="Arial"/>
          <w:sz w:val="20"/>
        </w:rPr>
        <w:t xml:space="preserve"> combining </w:t>
      </w:r>
      <w:r w:rsidR="00177C8E">
        <w:rPr>
          <w:rFonts w:ascii="Arial" w:hAnsi="Arial" w:cs="Arial"/>
          <w:sz w:val="20"/>
        </w:rPr>
        <w:t>the effects form different groups that have started enrollment at different points in time.</w:t>
      </w:r>
      <w:r w:rsidR="004D7740" w:rsidRPr="004D7740">
        <w:rPr>
          <w:rFonts w:ascii="Arial" w:hAnsi="Arial" w:cs="Arial"/>
          <w:sz w:val="20"/>
        </w:rPr>
        <w:t xml:space="preserve"> </w:t>
      </w:r>
      <w:r w:rsidR="004D7740">
        <w:rPr>
          <w:rFonts w:ascii="Arial" w:hAnsi="Arial" w:cs="Arial"/>
          <w:sz w:val="20"/>
        </w:rPr>
        <w:t>A negative value corresponds to less forest cover loss than in controls, and a positive value corresponds to more forest cover loss than in controls.</w:t>
      </w:r>
    </w:p>
    <w:p w14:paraId="06A622F9" w14:textId="2D345DD5" w:rsidR="00B637B6" w:rsidRDefault="00B637B6" w:rsidP="00395A39">
      <w:pPr>
        <w:pStyle w:val="SMHeading"/>
        <w:rPr>
          <w:rFonts w:ascii="Arial" w:hAnsi="Arial" w:cs="Arial"/>
          <w:sz w:val="20"/>
          <w:szCs w:val="20"/>
        </w:rPr>
      </w:pPr>
      <w:r>
        <w:rPr>
          <w:rFonts w:ascii="Arial" w:hAnsi="Arial" w:cs="Arial"/>
          <w:sz w:val="20"/>
          <w:szCs w:val="20"/>
        </w:rPr>
        <w:br w:type="page"/>
      </w:r>
    </w:p>
    <w:p w14:paraId="2A59CF7F" w14:textId="3C9EBF9D" w:rsidR="00B637B6" w:rsidRDefault="00B637B6" w:rsidP="00B637B6">
      <w:pPr>
        <w:pStyle w:val="SMHeading"/>
        <w:rPr>
          <w:rFonts w:ascii="Arial" w:hAnsi="Arial" w:cs="Arial"/>
          <w:b w:val="0"/>
          <w:sz w:val="20"/>
          <w:szCs w:val="20"/>
        </w:rPr>
      </w:pPr>
      <w:r w:rsidRPr="00DC623A">
        <w:rPr>
          <w:rFonts w:ascii="Arial" w:hAnsi="Arial" w:cs="Arial"/>
          <w:sz w:val="20"/>
          <w:szCs w:val="20"/>
        </w:rPr>
        <w:lastRenderedPageBreak/>
        <w:t>Fig. S</w:t>
      </w:r>
      <w:r w:rsidR="00252228">
        <w:rPr>
          <w:rFonts w:ascii="Arial" w:hAnsi="Arial" w:cs="Arial"/>
          <w:sz w:val="20"/>
          <w:szCs w:val="20"/>
        </w:rPr>
        <w:t>1</w:t>
      </w:r>
      <w:r w:rsidR="00405CD8">
        <w:rPr>
          <w:rFonts w:ascii="Arial" w:hAnsi="Arial" w:cs="Arial"/>
          <w:sz w:val="20"/>
          <w:szCs w:val="20"/>
        </w:rPr>
        <w:t>1</w:t>
      </w:r>
      <w:r w:rsidRPr="00DC623A">
        <w:rPr>
          <w:rFonts w:ascii="Arial" w:hAnsi="Arial" w:cs="Arial"/>
          <w:sz w:val="20"/>
          <w:szCs w:val="20"/>
        </w:rPr>
        <w:t xml:space="preserve">. </w:t>
      </w:r>
      <w:r>
        <w:rPr>
          <w:rFonts w:ascii="Arial" w:hAnsi="Arial" w:cs="Arial"/>
          <w:b w:val="0"/>
          <w:sz w:val="20"/>
          <w:szCs w:val="20"/>
        </w:rPr>
        <w:t>Specification charts for enrolled Settlements in Amazonia</w:t>
      </w:r>
      <w:r w:rsidR="007C2ECF">
        <w:rPr>
          <w:rFonts w:ascii="Arial" w:hAnsi="Arial" w:cs="Arial"/>
          <w:b w:val="0"/>
          <w:sz w:val="20"/>
          <w:szCs w:val="20"/>
        </w:rPr>
        <w:t xml:space="preserve"> (with 90%</w:t>
      </w:r>
      <w:r w:rsidR="002471BA">
        <w:rPr>
          <w:rFonts w:ascii="Arial" w:hAnsi="Arial" w:cs="Arial"/>
          <w:b w:val="0"/>
          <w:sz w:val="20"/>
          <w:szCs w:val="20"/>
        </w:rPr>
        <w:t xml:space="preserve"> </w:t>
      </w:r>
      <w:r w:rsidR="007C2ECF">
        <w:rPr>
          <w:rFonts w:ascii="Arial" w:hAnsi="Arial" w:cs="Arial"/>
          <w:b w:val="0"/>
          <w:sz w:val="20"/>
          <w:szCs w:val="20"/>
        </w:rPr>
        <w:t>and 95%</w:t>
      </w:r>
      <w:r w:rsidR="009116C0">
        <w:rPr>
          <w:rFonts w:ascii="Arial" w:hAnsi="Arial" w:cs="Arial"/>
          <w:b w:val="0"/>
          <w:sz w:val="20"/>
          <w:szCs w:val="20"/>
        </w:rPr>
        <w:t xml:space="preserve"> </w:t>
      </w:r>
      <w:r w:rsidR="007C2ECF">
        <w:rPr>
          <w:rFonts w:ascii="Arial" w:hAnsi="Arial" w:cs="Arial"/>
          <w:b w:val="0"/>
          <w:sz w:val="20"/>
          <w:szCs w:val="20"/>
        </w:rPr>
        <w:t>pointwise</w:t>
      </w:r>
      <w:r w:rsidR="006138C1">
        <w:rPr>
          <w:rFonts w:ascii="Arial" w:hAnsi="Arial" w:cs="Arial"/>
          <w:b w:val="0"/>
          <w:sz w:val="20"/>
          <w:szCs w:val="20"/>
        </w:rPr>
        <w:t xml:space="preserve"> confidence interval</w:t>
      </w:r>
      <w:r w:rsidR="00EC6615">
        <w:rPr>
          <w:rFonts w:ascii="Arial" w:hAnsi="Arial" w:cs="Arial"/>
          <w:b w:val="0"/>
          <w:sz w:val="20"/>
          <w:szCs w:val="20"/>
        </w:rPr>
        <w:t>s</w:t>
      </w:r>
      <w:r w:rsidR="006138C1">
        <w:rPr>
          <w:rFonts w:ascii="Arial" w:hAnsi="Arial" w:cs="Arial"/>
          <w:b w:val="0"/>
          <w:sz w:val="20"/>
          <w:szCs w:val="20"/>
        </w:rPr>
        <w:t>)</w:t>
      </w:r>
    </w:p>
    <w:p w14:paraId="7CC8BCBA" w14:textId="0C8BD5A5" w:rsidR="00177C8E" w:rsidRDefault="004C36A1" w:rsidP="00D1173D">
      <w:pPr>
        <w:pStyle w:val="SMHeading"/>
        <w:rPr>
          <w:rFonts w:ascii="Arial" w:hAnsi="Arial" w:cs="Arial"/>
          <w:sz w:val="20"/>
        </w:rPr>
      </w:pPr>
      <w:r>
        <w:rPr>
          <w:noProof/>
        </w:rPr>
        <w:drawing>
          <wp:inline distT="0" distB="0" distL="0" distR="0" wp14:anchorId="038A912C" wp14:editId="68B770C5">
            <wp:extent cx="6124575" cy="4430740"/>
            <wp:effectExtent l="0" t="0" r="0" b="8255"/>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with medium confidence"/>
                    <pic:cNvPicPr/>
                  </pic:nvPicPr>
                  <pic:blipFill>
                    <a:blip r:embed="rId22"/>
                    <a:stretch>
                      <a:fillRect/>
                    </a:stretch>
                  </pic:blipFill>
                  <pic:spPr>
                    <a:xfrm>
                      <a:off x="0" y="0"/>
                      <a:ext cx="6140572" cy="4442313"/>
                    </a:xfrm>
                    <a:prstGeom prst="rect">
                      <a:avLst/>
                    </a:prstGeom>
                  </pic:spPr>
                </pic:pic>
              </a:graphicData>
            </a:graphic>
          </wp:inline>
        </w:drawing>
      </w:r>
    </w:p>
    <w:p w14:paraId="2D1D14F6" w14:textId="39B00633" w:rsidR="00E26716" w:rsidRDefault="000E0780" w:rsidP="00D1173D">
      <w:pPr>
        <w:pStyle w:val="SMHeading"/>
        <w:rPr>
          <w:rFonts w:ascii="Arial" w:hAnsi="Arial" w:cs="Arial"/>
          <w:bCs w:val="0"/>
          <w:sz w:val="20"/>
        </w:rPr>
      </w:pPr>
      <w:proofErr w:type="spellStart"/>
      <w:r>
        <w:rPr>
          <w:rFonts w:ascii="Arial" w:hAnsi="Arial" w:cs="Arial"/>
          <w:b w:val="0"/>
          <w:bCs w:val="0"/>
          <w:sz w:val="20"/>
        </w:rPr>
        <w:t>Note:</w:t>
      </w:r>
      <w:r w:rsidR="00FF2C7A">
        <w:rPr>
          <w:rFonts w:ascii="Arial" w:hAnsi="Arial" w:cs="Arial"/>
          <w:b w:val="0"/>
          <w:bCs w:val="0"/>
          <w:sz w:val="20"/>
        </w:rPr>
        <w:t>The</w:t>
      </w:r>
      <w:proofErr w:type="spellEnd"/>
      <w:r w:rsidR="00FF2C7A">
        <w:rPr>
          <w:rFonts w:ascii="Arial" w:hAnsi="Arial" w:cs="Arial"/>
          <w:b w:val="0"/>
          <w:bCs w:val="0"/>
          <w:sz w:val="20"/>
        </w:rPr>
        <w:t xml:space="preserve"> specification charts asses the sensitive of the main estimates to different changes in matching variables and other </w:t>
      </w:r>
      <w:r w:rsidR="0025399A">
        <w:rPr>
          <w:rFonts w:ascii="Arial" w:hAnsi="Arial" w:cs="Arial"/>
          <w:b w:val="0"/>
          <w:bCs w:val="0"/>
          <w:sz w:val="20"/>
        </w:rPr>
        <w:t xml:space="preserve">parameters and subgroups. </w:t>
      </w:r>
      <w:r w:rsidR="00FF2C7A">
        <w:rPr>
          <w:rFonts w:ascii="Arial" w:hAnsi="Arial" w:cs="Arial"/>
          <w:b w:val="0"/>
          <w:bCs w:val="0"/>
          <w:sz w:val="20"/>
        </w:rPr>
        <w:t xml:space="preserve">The </w:t>
      </w:r>
      <w:r w:rsidR="00FF2C7A" w:rsidRPr="00FF2C7A">
        <w:rPr>
          <w:rFonts w:ascii="Arial" w:hAnsi="Arial" w:cs="Arial"/>
          <w:b w:val="0"/>
          <w:bCs w:val="0"/>
          <w:sz w:val="20"/>
        </w:rPr>
        <w:t>base model is in Orange and alternative models are in Black. On the main model, bright orange interval corresponds to 90% pointwise confidence interval and light orange is 95%. On the other models, black interval is 90% and grey interval is 95%.</w:t>
      </w:r>
      <w:r w:rsidR="003A0625">
        <w:rPr>
          <w:rFonts w:ascii="Arial" w:hAnsi="Arial" w:cs="Arial"/>
          <w:sz w:val="20"/>
        </w:rPr>
        <w:t xml:space="preserve"> </w:t>
      </w:r>
      <w:r w:rsidR="00E26716">
        <w:rPr>
          <w:rFonts w:ascii="Arial" w:hAnsi="Arial" w:cs="Arial"/>
          <w:sz w:val="20"/>
        </w:rPr>
        <w:br w:type="page"/>
      </w:r>
    </w:p>
    <w:p w14:paraId="34B1DA7A" w14:textId="16EF098A" w:rsidR="00DA4E83" w:rsidRDefault="00DA4E83" w:rsidP="00DA4E83">
      <w:pPr>
        <w:pStyle w:val="SMHeading"/>
        <w:rPr>
          <w:rFonts w:ascii="Arial" w:hAnsi="Arial" w:cs="Arial"/>
          <w:b w:val="0"/>
          <w:sz w:val="20"/>
          <w:szCs w:val="20"/>
        </w:rPr>
      </w:pPr>
      <w:r w:rsidRPr="00DC623A">
        <w:rPr>
          <w:rFonts w:ascii="Arial" w:hAnsi="Arial" w:cs="Arial"/>
          <w:sz w:val="20"/>
          <w:szCs w:val="20"/>
        </w:rPr>
        <w:lastRenderedPageBreak/>
        <w:t>Fig. S</w:t>
      </w:r>
      <w:r>
        <w:rPr>
          <w:rFonts w:ascii="Arial" w:hAnsi="Arial" w:cs="Arial"/>
          <w:sz w:val="20"/>
          <w:szCs w:val="20"/>
        </w:rPr>
        <w:t>12</w:t>
      </w:r>
      <w:r w:rsidRPr="00DC623A">
        <w:rPr>
          <w:rFonts w:ascii="Arial" w:hAnsi="Arial" w:cs="Arial"/>
          <w:sz w:val="20"/>
          <w:szCs w:val="20"/>
        </w:rPr>
        <w:t xml:space="preserve">. </w:t>
      </w:r>
      <w:r>
        <w:rPr>
          <w:rFonts w:ascii="Arial" w:hAnsi="Arial" w:cs="Arial"/>
          <w:b w:val="0"/>
          <w:sz w:val="20"/>
          <w:szCs w:val="20"/>
        </w:rPr>
        <w:t>Specification charts for enrolled Protected Areas in Amazonia (with 90% and 95% pointwise confidence interval)</w:t>
      </w:r>
    </w:p>
    <w:p w14:paraId="2FAF5D80" w14:textId="77777777" w:rsidR="0025399A" w:rsidRDefault="00DA4E83" w:rsidP="0025399A">
      <w:pPr>
        <w:pStyle w:val="SMHeading"/>
        <w:rPr>
          <w:rFonts w:ascii="Arial" w:hAnsi="Arial" w:cs="Arial"/>
          <w:b w:val="0"/>
          <w:bCs w:val="0"/>
          <w:sz w:val="20"/>
        </w:rPr>
      </w:pPr>
      <w:r>
        <w:rPr>
          <w:noProof/>
        </w:rPr>
        <w:drawing>
          <wp:inline distT="0" distB="0" distL="0" distR="0" wp14:anchorId="66B429B2" wp14:editId="79853D5B">
            <wp:extent cx="6124575" cy="4430740"/>
            <wp:effectExtent l="0" t="0" r="0" b="8255"/>
            <wp:docPr id="22" name="Picture 2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box and whisker chart&#10;&#10;Description automatically generated"/>
                    <pic:cNvPicPr/>
                  </pic:nvPicPr>
                  <pic:blipFill>
                    <a:blip r:embed="rId23"/>
                    <a:stretch>
                      <a:fillRect/>
                    </a:stretch>
                  </pic:blipFill>
                  <pic:spPr>
                    <a:xfrm>
                      <a:off x="0" y="0"/>
                      <a:ext cx="6139622" cy="4441626"/>
                    </a:xfrm>
                    <a:prstGeom prst="rect">
                      <a:avLst/>
                    </a:prstGeom>
                  </pic:spPr>
                </pic:pic>
              </a:graphicData>
            </a:graphic>
          </wp:inline>
        </w:drawing>
      </w:r>
    </w:p>
    <w:p w14:paraId="13C1984E" w14:textId="22983AFB" w:rsidR="0025399A" w:rsidRPr="00FF2C7A" w:rsidRDefault="000E0780" w:rsidP="0025399A">
      <w:pPr>
        <w:pStyle w:val="SMHeading"/>
        <w:rPr>
          <w:rFonts w:ascii="Arial" w:hAnsi="Arial" w:cs="Arial"/>
          <w:b w:val="0"/>
          <w:bCs w:val="0"/>
          <w:sz w:val="20"/>
        </w:rPr>
      </w:pPr>
      <w:proofErr w:type="spellStart"/>
      <w:r>
        <w:rPr>
          <w:rFonts w:ascii="Arial" w:hAnsi="Arial" w:cs="Arial"/>
          <w:b w:val="0"/>
          <w:bCs w:val="0"/>
          <w:sz w:val="20"/>
        </w:rPr>
        <w:t>Note:</w:t>
      </w:r>
      <w:r w:rsidR="0025399A">
        <w:rPr>
          <w:rFonts w:ascii="Arial" w:hAnsi="Arial" w:cs="Arial"/>
          <w:b w:val="0"/>
          <w:bCs w:val="0"/>
          <w:sz w:val="20"/>
        </w:rPr>
        <w:t>The</w:t>
      </w:r>
      <w:proofErr w:type="spellEnd"/>
      <w:r w:rsidR="0025399A">
        <w:rPr>
          <w:rFonts w:ascii="Arial" w:hAnsi="Arial" w:cs="Arial"/>
          <w:b w:val="0"/>
          <w:bCs w:val="0"/>
          <w:sz w:val="20"/>
        </w:rPr>
        <w:t xml:space="preserve"> specification charts asses the sensitive of the main estimates to different changes in matching variables and other parameters and subgroups. The </w:t>
      </w:r>
      <w:r w:rsidR="0025399A" w:rsidRPr="00FF2C7A">
        <w:rPr>
          <w:rFonts w:ascii="Arial" w:hAnsi="Arial" w:cs="Arial"/>
          <w:b w:val="0"/>
          <w:bCs w:val="0"/>
          <w:sz w:val="20"/>
        </w:rPr>
        <w:t>base model is in Orange and alternative models are in Black. On the main model, bright orange interval corresponds to 90% pointwise confidence interval and light orange is 95%. On the other models, black interval is 90% and grey interval is 95%.</w:t>
      </w:r>
    </w:p>
    <w:p w14:paraId="185654EE" w14:textId="5126492C" w:rsidR="00480F8F" w:rsidRDefault="00480F8F" w:rsidP="00480F8F">
      <w:pPr>
        <w:pStyle w:val="SMHeading"/>
        <w:rPr>
          <w:rFonts w:ascii="Arial" w:hAnsi="Arial" w:cs="Arial"/>
          <w:sz w:val="20"/>
          <w:szCs w:val="20"/>
        </w:rPr>
      </w:pPr>
      <w:r w:rsidRPr="00DC623A">
        <w:rPr>
          <w:rFonts w:ascii="Arial" w:hAnsi="Arial" w:cs="Arial"/>
          <w:sz w:val="20"/>
          <w:szCs w:val="20"/>
        </w:rPr>
        <w:lastRenderedPageBreak/>
        <w:t>Fig. S</w:t>
      </w:r>
      <w:r>
        <w:rPr>
          <w:rFonts w:ascii="Arial" w:hAnsi="Arial" w:cs="Arial"/>
          <w:sz w:val="20"/>
          <w:szCs w:val="20"/>
        </w:rPr>
        <w:t>13</w:t>
      </w:r>
      <w:r w:rsidRPr="00DC623A">
        <w:rPr>
          <w:rFonts w:ascii="Arial" w:hAnsi="Arial" w:cs="Arial"/>
          <w:sz w:val="20"/>
          <w:szCs w:val="20"/>
        </w:rPr>
        <w:t xml:space="preserve">. </w:t>
      </w:r>
      <w:r>
        <w:rPr>
          <w:rFonts w:ascii="Arial" w:hAnsi="Arial" w:cs="Arial"/>
          <w:b w:val="0"/>
          <w:sz w:val="20"/>
          <w:szCs w:val="20"/>
        </w:rPr>
        <w:t>Specification charts for enrolled Protected Areas outside Amazonia (with 90% and 95% pointwise confidence interval)</w:t>
      </w:r>
    </w:p>
    <w:p w14:paraId="466DABDF" w14:textId="77777777" w:rsidR="0025399A" w:rsidRDefault="00480F8F" w:rsidP="0025399A">
      <w:pPr>
        <w:pStyle w:val="SMHeading"/>
        <w:rPr>
          <w:rFonts w:ascii="Arial" w:hAnsi="Arial" w:cs="Arial"/>
          <w:sz w:val="20"/>
          <w:szCs w:val="20"/>
        </w:rPr>
      </w:pPr>
      <w:r>
        <w:rPr>
          <w:noProof/>
        </w:rPr>
        <w:drawing>
          <wp:inline distT="0" distB="0" distL="0" distR="0" wp14:anchorId="30FFDBF6" wp14:editId="6B52267F">
            <wp:extent cx="6172200" cy="4465194"/>
            <wp:effectExtent l="0" t="0" r="0" b="0"/>
            <wp:docPr id="23" name="Picture 23" descr="A picture containing tex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white&#10;&#10;Description automatically generated"/>
                    <pic:cNvPicPr/>
                  </pic:nvPicPr>
                  <pic:blipFill>
                    <a:blip r:embed="rId24"/>
                    <a:stretch>
                      <a:fillRect/>
                    </a:stretch>
                  </pic:blipFill>
                  <pic:spPr>
                    <a:xfrm>
                      <a:off x="0" y="0"/>
                      <a:ext cx="6183752" cy="4473551"/>
                    </a:xfrm>
                    <a:prstGeom prst="rect">
                      <a:avLst/>
                    </a:prstGeom>
                  </pic:spPr>
                </pic:pic>
              </a:graphicData>
            </a:graphic>
          </wp:inline>
        </w:drawing>
      </w:r>
    </w:p>
    <w:p w14:paraId="67F27FB8" w14:textId="6763C074" w:rsidR="0025399A" w:rsidRPr="0025399A" w:rsidRDefault="000E0780" w:rsidP="0025399A">
      <w:pPr>
        <w:pStyle w:val="SMHeading"/>
        <w:rPr>
          <w:rFonts w:ascii="Arial" w:hAnsi="Arial" w:cs="Arial"/>
          <w:sz w:val="20"/>
          <w:szCs w:val="20"/>
        </w:rPr>
      </w:pPr>
      <w:r>
        <w:rPr>
          <w:rFonts w:ascii="Arial" w:hAnsi="Arial" w:cs="Arial"/>
          <w:b w:val="0"/>
          <w:bCs w:val="0"/>
          <w:sz w:val="20"/>
        </w:rPr>
        <w:t xml:space="preserve">Note: </w:t>
      </w:r>
      <w:r w:rsidR="0025399A">
        <w:rPr>
          <w:rFonts w:ascii="Arial" w:hAnsi="Arial" w:cs="Arial"/>
          <w:b w:val="0"/>
          <w:bCs w:val="0"/>
          <w:sz w:val="20"/>
        </w:rPr>
        <w:t xml:space="preserve">The specification charts asses the sensitive of the main estimates to different changes in matching variables and other parameters and subgroups. The </w:t>
      </w:r>
      <w:r w:rsidR="0025399A" w:rsidRPr="00FF2C7A">
        <w:rPr>
          <w:rFonts w:ascii="Arial" w:hAnsi="Arial" w:cs="Arial"/>
          <w:b w:val="0"/>
          <w:bCs w:val="0"/>
          <w:sz w:val="20"/>
        </w:rPr>
        <w:t>base model is in Orange and alternative models are in Black. On the main model, bright orange interval corresponds to 90% pointwise confidence interval and light orange is 95%. On the other models, black interval is 90% and grey interval is 95%.</w:t>
      </w:r>
    </w:p>
    <w:p w14:paraId="01599898" w14:textId="6A443567" w:rsidR="008C39EF" w:rsidRDefault="00D500C4" w:rsidP="008C39EF">
      <w:pPr>
        <w:pStyle w:val="SMHeading"/>
        <w:rPr>
          <w:rFonts w:ascii="Arial" w:hAnsi="Arial" w:cs="Arial"/>
          <w:b w:val="0"/>
          <w:sz w:val="20"/>
          <w:szCs w:val="20"/>
        </w:rPr>
      </w:pPr>
      <w:r w:rsidRPr="00DC623A">
        <w:rPr>
          <w:rFonts w:ascii="Arial" w:hAnsi="Arial" w:cs="Arial"/>
          <w:sz w:val="20"/>
          <w:szCs w:val="20"/>
        </w:rPr>
        <w:lastRenderedPageBreak/>
        <w:t>Fig. S</w:t>
      </w:r>
      <w:r>
        <w:rPr>
          <w:rFonts w:ascii="Arial" w:hAnsi="Arial" w:cs="Arial"/>
          <w:sz w:val="20"/>
          <w:szCs w:val="20"/>
        </w:rPr>
        <w:t>1</w:t>
      </w:r>
      <w:r w:rsidR="00BF2A5F">
        <w:rPr>
          <w:rFonts w:ascii="Arial" w:hAnsi="Arial" w:cs="Arial"/>
          <w:sz w:val="20"/>
          <w:szCs w:val="20"/>
        </w:rPr>
        <w:t>4</w:t>
      </w:r>
      <w:r w:rsidRPr="00DC623A">
        <w:rPr>
          <w:rFonts w:ascii="Arial" w:hAnsi="Arial" w:cs="Arial"/>
          <w:sz w:val="20"/>
          <w:szCs w:val="20"/>
        </w:rPr>
        <w:t xml:space="preserve">. </w:t>
      </w:r>
      <w:r w:rsidR="008C39EF">
        <w:rPr>
          <w:rFonts w:ascii="Arial" w:hAnsi="Arial" w:cs="Arial"/>
          <w:b w:val="0"/>
          <w:sz w:val="20"/>
          <w:szCs w:val="20"/>
        </w:rPr>
        <w:t xml:space="preserve">Specification charts for enrolled Settlements </w:t>
      </w:r>
      <w:r>
        <w:rPr>
          <w:rFonts w:ascii="Arial" w:hAnsi="Arial" w:cs="Arial"/>
          <w:b w:val="0"/>
          <w:sz w:val="20"/>
          <w:szCs w:val="20"/>
        </w:rPr>
        <w:t>outside Amazonia</w:t>
      </w:r>
      <w:r w:rsidR="008C39EF">
        <w:rPr>
          <w:rFonts w:ascii="Arial" w:hAnsi="Arial" w:cs="Arial"/>
          <w:b w:val="0"/>
          <w:sz w:val="20"/>
          <w:szCs w:val="20"/>
        </w:rPr>
        <w:t xml:space="preserve"> (with 90% and 95% pointwise confidence interval)</w:t>
      </w:r>
    </w:p>
    <w:p w14:paraId="30675D60" w14:textId="77777777" w:rsidR="0025399A" w:rsidRDefault="00F04F69" w:rsidP="00F64286">
      <w:pPr>
        <w:rPr>
          <w:rFonts w:ascii="Arial" w:hAnsi="Arial" w:cs="Arial"/>
          <w:sz w:val="20"/>
        </w:rPr>
      </w:pPr>
      <w:r>
        <w:rPr>
          <w:noProof/>
        </w:rPr>
        <w:drawing>
          <wp:inline distT="0" distB="0" distL="0" distR="0" wp14:anchorId="669C41EE" wp14:editId="5A58EFD1">
            <wp:extent cx="6238875" cy="4513429"/>
            <wp:effectExtent l="0" t="0" r="0" b="1905"/>
            <wp:docPr id="21" name="Picture 2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hart&#10;&#10;Description automatically generated"/>
                    <pic:cNvPicPr/>
                  </pic:nvPicPr>
                  <pic:blipFill>
                    <a:blip r:embed="rId25"/>
                    <a:stretch>
                      <a:fillRect/>
                    </a:stretch>
                  </pic:blipFill>
                  <pic:spPr>
                    <a:xfrm>
                      <a:off x="0" y="0"/>
                      <a:ext cx="6269108" cy="4535300"/>
                    </a:xfrm>
                    <a:prstGeom prst="rect">
                      <a:avLst/>
                    </a:prstGeom>
                  </pic:spPr>
                </pic:pic>
              </a:graphicData>
            </a:graphic>
          </wp:inline>
        </w:drawing>
      </w:r>
      <w:r>
        <w:rPr>
          <w:rFonts w:ascii="Arial" w:hAnsi="Arial" w:cs="Arial"/>
          <w:sz w:val="20"/>
        </w:rPr>
        <w:t xml:space="preserve"> </w:t>
      </w:r>
    </w:p>
    <w:p w14:paraId="0875FE26" w14:textId="6F9AD8AC" w:rsidR="000E0780" w:rsidRDefault="000E0780" w:rsidP="0025399A">
      <w:pPr>
        <w:pStyle w:val="SMHeading"/>
        <w:rPr>
          <w:rFonts w:ascii="Arial" w:hAnsi="Arial" w:cs="Arial"/>
          <w:b w:val="0"/>
          <w:bCs w:val="0"/>
          <w:sz w:val="20"/>
        </w:rPr>
      </w:pPr>
      <w:proofErr w:type="spellStart"/>
      <w:r>
        <w:rPr>
          <w:rFonts w:ascii="Arial" w:hAnsi="Arial" w:cs="Arial"/>
          <w:b w:val="0"/>
          <w:bCs w:val="0"/>
          <w:sz w:val="20"/>
        </w:rPr>
        <w:t>Note:</w:t>
      </w:r>
      <w:r w:rsidR="0025399A">
        <w:rPr>
          <w:rFonts w:ascii="Arial" w:hAnsi="Arial" w:cs="Arial"/>
          <w:b w:val="0"/>
          <w:bCs w:val="0"/>
          <w:sz w:val="20"/>
        </w:rPr>
        <w:t>The</w:t>
      </w:r>
      <w:proofErr w:type="spellEnd"/>
      <w:r w:rsidR="0025399A">
        <w:rPr>
          <w:rFonts w:ascii="Arial" w:hAnsi="Arial" w:cs="Arial"/>
          <w:b w:val="0"/>
          <w:bCs w:val="0"/>
          <w:sz w:val="20"/>
        </w:rPr>
        <w:t xml:space="preserve"> specification charts asses the sensitive of the main estimates to different changes in matching variables and other parameters and subgroups. The </w:t>
      </w:r>
      <w:r w:rsidR="0025399A" w:rsidRPr="00FF2C7A">
        <w:rPr>
          <w:rFonts w:ascii="Arial" w:hAnsi="Arial" w:cs="Arial"/>
          <w:b w:val="0"/>
          <w:bCs w:val="0"/>
          <w:sz w:val="20"/>
        </w:rPr>
        <w:t>base model is in Orange and alternative models are in Black. On the main model, bright orange interval corresponds to 90% pointwise confidence interval and light orange is 95%. On the other models, black interval is 90% and grey interval is 95%.</w:t>
      </w:r>
    </w:p>
    <w:p w14:paraId="22772DE8" w14:textId="77777777" w:rsidR="000E0780" w:rsidRDefault="000E0780">
      <w:pPr>
        <w:rPr>
          <w:rFonts w:ascii="Arial" w:hAnsi="Arial" w:cs="Arial"/>
          <w:kern w:val="32"/>
          <w:sz w:val="20"/>
          <w:szCs w:val="24"/>
        </w:rPr>
      </w:pPr>
      <w:r>
        <w:rPr>
          <w:rFonts w:ascii="Arial" w:hAnsi="Arial" w:cs="Arial"/>
          <w:b/>
          <w:bCs/>
          <w:sz w:val="20"/>
        </w:rPr>
        <w:br w:type="page"/>
      </w:r>
    </w:p>
    <w:p w14:paraId="1B38EABE" w14:textId="227729EF" w:rsidR="0025399A" w:rsidRPr="0025399A" w:rsidRDefault="0025399A" w:rsidP="0025399A">
      <w:pPr>
        <w:pStyle w:val="SMHeading"/>
        <w:rPr>
          <w:rFonts w:ascii="Arial" w:hAnsi="Arial" w:cs="Arial"/>
          <w:b w:val="0"/>
          <w:sz w:val="20"/>
          <w:szCs w:val="20"/>
        </w:rPr>
      </w:pPr>
      <w:r w:rsidRPr="00DC623A">
        <w:rPr>
          <w:rFonts w:ascii="Arial" w:hAnsi="Arial" w:cs="Arial"/>
          <w:sz w:val="20"/>
          <w:szCs w:val="20"/>
        </w:rPr>
        <w:lastRenderedPageBreak/>
        <w:t>Fig. S</w:t>
      </w:r>
      <w:r>
        <w:rPr>
          <w:rFonts w:ascii="Arial" w:hAnsi="Arial" w:cs="Arial"/>
          <w:sz w:val="20"/>
          <w:szCs w:val="20"/>
        </w:rPr>
        <w:t>1</w:t>
      </w:r>
      <w:r w:rsidR="000E0780">
        <w:rPr>
          <w:rFonts w:ascii="Arial" w:hAnsi="Arial" w:cs="Arial"/>
          <w:sz w:val="20"/>
          <w:szCs w:val="20"/>
        </w:rPr>
        <w:t>5</w:t>
      </w:r>
      <w:r w:rsidRPr="00DC623A">
        <w:rPr>
          <w:rFonts w:ascii="Arial" w:hAnsi="Arial" w:cs="Arial"/>
          <w:sz w:val="20"/>
          <w:szCs w:val="20"/>
        </w:rPr>
        <w:t>.</w:t>
      </w:r>
      <w:r>
        <w:rPr>
          <w:rFonts w:ascii="Arial" w:hAnsi="Arial" w:cs="Arial"/>
          <w:sz w:val="20"/>
          <w:szCs w:val="20"/>
        </w:rPr>
        <w:t xml:space="preserve"> </w:t>
      </w:r>
      <w:r>
        <w:rPr>
          <w:rFonts w:ascii="Arial" w:hAnsi="Arial" w:cs="Arial"/>
          <w:b w:val="0"/>
          <w:sz w:val="20"/>
          <w:szCs w:val="20"/>
        </w:rPr>
        <w:t>Benefits and costs estimate</w:t>
      </w:r>
      <w:r w:rsidR="00AD3ADF">
        <w:rPr>
          <w:rFonts w:ascii="Arial" w:hAnsi="Arial" w:cs="Arial"/>
          <w:b w:val="0"/>
          <w:sz w:val="20"/>
          <w:szCs w:val="20"/>
        </w:rPr>
        <w:t>s</w:t>
      </w:r>
      <w:r>
        <w:rPr>
          <w:rFonts w:ascii="Arial" w:hAnsi="Arial" w:cs="Arial"/>
          <w:b w:val="0"/>
          <w:sz w:val="20"/>
          <w:szCs w:val="20"/>
        </w:rPr>
        <w:t xml:space="preserve"> in enrolled settlements in Amazonia (2.5% discount rate)</w:t>
      </w:r>
    </w:p>
    <w:p w14:paraId="31112B60" w14:textId="39EE086D" w:rsidR="00B7765A" w:rsidRDefault="00526C46" w:rsidP="005005AB">
      <w:pPr>
        <w:pStyle w:val="SMHeading"/>
        <w:ind w:left="360"/>
        <w:rPr>
          <w:rFonts w:ascii="Arial" w:hAnsi="Arial" w:cs="Arial"/>
          <w:sz w:val="20"/>
          <w:szCs w:val="20"/>
        </w:rPr>
      </w:pPr>
      <w:r>
        <w:rPr>
          <w:rFonts w:ascii="Arial" w:hAnsi="Arial" w:cs="Arial"/>
          <w:noProof/>
          <w:sz w:val="20"/>
          <w:szCs w:val="20"/>
        </w:rPr>
        <w:drawing>
          <wp:inline distT="0" distB="0" distL="0" distR="0" wp14:anchorId="17CA878B" wp14:editId="48BA9B8B">
            <wp:extent cx="8328025" cy="3408045"/>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28025" cy="3408045"/>
                    </a:xfrm>
                    <a:prstGeom prst="rect">
                      <a:avLst/>
                    </a:prstGeom>
                    <a:noFill/>
                  </pic:spPr>
                </pic:pic>
              </a:graphicData>
            </a:graphic>
          </wp:inline>
        </w:drawing>
      </w:r>
    </w:p>
    <w:p w14:paraId="0CBCA5E3" w14:textId="1AEA0B11" w:rsidR="000A2F58" w:rsidRPr="00BD3BBE" w:rsidRDefault="00BD3BBE" w:rsidP="005005AB">
      <w:pPr>
        <w:pStyle w:val="SMHeading"/>
        <w:ind w:left="360"/>
        <w:rPr>
          <w:rFonts w:ascii="Arial" w:hAnsi="Arial" w:cs="Arial"/>
          <w:b w:val="0"/>
          <w:bCs w:val="0"/>
          <w:sz w:val="20"/>
          <w:szCs w:val="20"/>
        </w:rPr>
      </w:pPr>
      <w:r w:rsidRPr="00BD3BBE">
        <w:rPr>
          <w:rFonts w:ascii="Arial" w:hAnsi="Arial" w:cs="Arial"/>
          <w:b w:val="0"/>
          <w:bCs w:val="0"/>
          <w:sz w:val="20"/>
          <w:szCs w:val="20"/>
        </w:rPr>
        <w:t>This graph is built using similar assumptions than Fig. 3, but with a discount rate of 2.5% instead of 3%</w:t>
      </w:r>
      <w:r w:rsidR="00E160FE">
        <w:rPr>
          <w:rFonts w:ascii="Arial" w:hAnsi="Arial" w:cs="Arial"/>
          <w:b w:val="0"/>
          <w:bCs w:val="0"/>
          <w:sz w:val="20"/>
          <w:szCs w:val="20"/>
        </w:rPr>
        <w:t xml:space="preserve"> (i.e., putting a higher value on the future than the present). The </w:t>
      </w:r>
      <w:r w:rsidR="00AD3ADF">
        <w:rPr>
          <w:rFonts w:ascii="Arial" w:hAnsi="Arial" w:cs="Arial"/>
          <w:b w:val="0"/>
          <w:bCs w:val="0"/>
          <w:sz w:val="20"/>
          <w:szCs w:val="20"/>
        </w:rPr>
        <w:t xml:space="preserve">plots are lines instead of bars, to reflect the fact that in our model the benefits are essentially a function of the years for delayed deforestation, while the </w:t>
      </w:r>
      <w:r w:rsidR="00CA7C0F">
        <w:rPr>
          <w:rFonts w:ascii="Arial" w:hAnsi="Arial" w:cs="Arial"/>
          <w:b w:val="0"/>
          <w:bCs w:val="0"/>
          <w:sz w:val="20"/>
          <w:szCs w:val="20"/>
        </w:rPr>
        <w:t xml:space="preserve">average </w:t>
      </w:r>
      <w:r w:rsidR="00AD3ADF">
        <w:rPr>
          <w:rFonts w:ascii="Arial" w:hAnsi="Arial" w:cs="Arial"/>
          <w:b w:val="0"/>
          <w:bCs w:val="0"/>
          <w:sz w:val="20"/>
          <w:szCs w:val="20"/>
        </w:rPr>
        <w:t xml:space="preserve">costs are fixed </w:t>
      </w:r>
      <w:r w:rsidR="00526C46">
        <w:rPr>
          <w:rFonts w:ascii="Arial" w:hAnsi="Arial" w:cs="Arial"/>
          <w:b w:val="0"/>
          <w:bCs w:val="0"/>
          <w:sz w:val="20"/>
          <w:szCs w:val="20"/>
        </w:rPr>
        <w:t xml:space="preserve">because all the budget of the program </w:t>
      </w:r>
      <w:r w:rsidR="00432573">
        <w:rPr>
          <w:rFonts w:ascii="Arial" w:hAnsi="Arial" w:cs="Arial"/>
          <w:b w:val="0"/>
          <w:bCs w:val="0"/>
          <w:sz w:val="20"/>
          <w:szCs w:val="20"/>
        </w:rPr>
        <w:t xml:space="preserve">in this region </w:t>
      </w:r>
      <w:r w:rsidR="00526C46">
        <w:rPr>
          <w:rFonts w:ascii="Arial" w:hAnsi="Arial" w:cs="Arial"/>
          <w:b w:val="0"/>
          <w:bCs w:val="0"/>
          <w:sz w:val="20"/>
          <w:szCs w:val="20"/>
        </w:rPr>
        <w:t>has been spent during program implementation. 95% CI are 95% confidence intervals.</w:t>
      </w:r>
    </w:p>
    <w:p w14:paraId="2A9139AA" w14:textId="77777777" w:rsidR="0025399A" w:rsidRDefault="0025399A" w:rsidP="005005AB">
      <w:pPr>
        <w:pStyle w:val="SMHeading"/>
        <w:ind w:left="360"/>
        <w:rPr>
          <w:rFonts w:ascii="Arial" w:hAnsi="Arial" w:cs="Arial"/>
          <w:sz w:val="20"/>
          <w:szCs w:val="20"/>
        </w:rPr>
      </w:pPr>
    </w:p>
    <w:p w14:paraId="3AE8EB02" w14:textId="77777777" w:rsidR="00B7765A" w:rsidRDefault="00B7765A">
      <w:pPr>
        <w:rPr>
          <w:rFonts w:ascii="Arial" w:hAnsi="Arial" w:cs="Arial"/>
          <w:b/>
          <w:bCs/>
          <w:kern w:val="32"/>
          <w:sz w:val="20"/>
        </w:rPr>
      </w:pPr>
      <w:r>
        <w:rPr>
          <w:rFonts w:ascii="Arial" w:hAnsi="Arial" w:cs="Arial"/>
          <w:sz w:val="20"/>
        </w:rPr>
        <w:br w:type="page"/>
      </w:r>
    </w:p>
    <w:p w14:paraId="7EAA621D" w14:textId="74FDCB2E" w:rsidR="00B7765A" w:rsidRDefault="00B7765A" w:rsidP="00B7765A">
      <w:pPr>
        <w:pStyle w:val="SMHeading"/>
        <w:rPr>
          <w:rFonts w:ascii="Arial" w:hAnsi="Arial" w:cs="Arial"/>
          <w:b w:val="0"/>
          <w:sz w:val="20"/>
          <w:szCs w:val="20"/>
        </w:rPr>
      </w:pPr>
      <w:r w:rsidRPr="00DC623A">
        <w:rPr>
          <w:rFonts w:ascii="Arial" w:hAnsi="Arial" w:cs="Arial"/>
          <w:sz w:val="20"/>
          <w:szCs w:val="20"/>
        </w:rPr>
        <w:lastRenderedPageBreak/>
        <w:t>Fig. S</w:t>
      </w:r>
      <w:r w:rsidR="00D017AB">
        <w:rPr>
          <w:rFonts w:ascii="Arial" w:hAnsi="Arial" w:cs="Arial"/>
          <w:sz w:val="20"/>
          <w:szCs w:val="20"/>
        </w:rPr>
        <w:t>16</w:t>
      </w:r>
      <w:r w:rsidRPr="00DC623A">
        <w:rPr>
          <w:rFonts w:ascii="Arial" w:hAnsi="Arial" w:cs="Arial"/>
          <w:sz w:val="20"/>
          <w:szCs w:val="20"/>
        </w:rPr>
        <w:t>.</w:t>
      </w:r>
      <w:r>
        <w:rPr>
          <w:rFonts w:ascii="Arial" w:hAnsi="Arial" w:cs="Arial"/>
          <w:sz w:val="20"/>
          <w:szCs w:val="20"/>
        </w:rPr>
        <w:t xml:space="preserve"> </w:t>
      </w:r>
      <w:r>
        <w:rPr>
          <w:rFonts w:ascii="Arial" w:hAnsi="Arial" w:cs="Arial"/>
          <w:b w:val="0"/>
          <w:sz w:val="20"/>
          <w:szCs w:val="20"/>
        </w:rPr>
        <w:t xml:space="preserve">Benefits and costs </w:t>
      </w:r>
      <w:r w:rsidR="00082AC5">
        <w:rPr>
          <w:rFonts w:ascii="Arial" w:hAnsi="Arial" w:cs="Arial"/>
          <w:b w:val="0"/>
          <w:sz w:val="20"/>
          <w:szCs w:val="20"/>
        </w:rPr>
        <w:t>estimate</w:t>
      </w:r>
      <w:r w:rsidR="00D864C5">
        <w:rPr>
          <w:rFonts w:ascii="Arial" w:hAnsi="Arial" w:cs="Arial"/>
          <w:b w:val="0"/>
          <w:sz w:val="20"/>
          <w:szCs w:val="20"/>
        </w:rPr>
        <w:t xml:space="preserve"> at program scale</w:t>
      </w:r>
      <w:r>
        <w:rPr>
          <w:rFonts w:ascii="Arial" w:hAnsi="Arial" w:cs="Arial"/>
          <w:b w:val="0"/>
          <w:sz w:val="20"/>
          <w:szCs w:val="20"/>
        </w:rPr>
        <w:t xml:space="preserve"> (2.5% discount rate)</w:t>
      </w:r>
    </w:p>
    <w:p w14:paraId="0D848BBB" w14:textId="5A1F7CD3" w:rsidR="00D864C5" w:rsidRDefault="00B674EC" w:rsidP="00B7765A">
      <w:pPr>
        <w:pStyle w:val="SMHeading"/>
        <w:rPr>
          <w:rFonts w:ascii="Arial" w:hAnsi="Arial" w:cs="Arial"/>
          <w:b w:val="0"/>
          <w:sz w:val="20"/>
          <w:szCs w:val="20"/>
        </w:rPr>
      </w:pPr>
      <w:r>
        <w:rPr>
          <w:rFonts w:ascii="Arial" w:hAnsi="Arial" w:cs="Arial"/>
          <w:b w:val="0"/>
          <w:noProof/>
          <w:sz w:val="20"/>
          <w:szCs w:val="20"/>
        </w:rPr>
        <w:drawing>
          <wp:inline distT="0" distB="0" distL="0" distR="0" wp14:anchorId="2B459FE1" wp14:editId="52805197">
            <wp:extent cx="8436766" cy="308610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472762" cy="3099267"/>
                    </a:xfrm>
                    <a:prstGeom prst="rect">
                      <a:avLst/>
                    </a:prstGeom>
                    <a:noFill/>
                  </pic:spPr>
                </pic:pic>
              </a:graphicData>
            </a:graphic>
          </wp:inline>
        </w:drawing>
      </w:r>
    </w:p>
    <w:p w14:paraId="1DE7DE89" w14:textId="1A7EA508" w:rsidR="00526C46" w:rsidRPr="00BD3BBE" w:rsidRDefault="00526C46" w:rsidP="00526C46">
      <w:pPr>
        <w:pStyle w:val="SMHeading"/>
        <w:ind w:left="360"/>
        <w:rPr>
          <w:rFonts w:ascii="Arial" w:hAnsi="Arial" w:cs="Arial"/>
          <w:b w:val="0"/>
          <w:bCs w:val="0"/>
          <w:sz w:val="20"/>
          <w:szCs w:val="20"/>
        </w:rPr>
      </w:pPr>
      <w:r w:rsidRPr="00BD3BBE">
        <w:rPr>
          <w:rFonts w:ascii="Arial" w:hAnsi="Arial" w:cs="Arial"/>
          <w:b w:val="0"/>
          <w:bCs w:val="0"/>
          <w:sz w:val="20"/>
          <w:szCs w:val="20"/>
        </w:rPr>
        <w:t xml:space="preserve">This graph is built using similar assumptions than Fig. </w:t>
      </w:r>
      <w:r w:rsidR="00CA7C0F">
        <w:rPr>
          <w:rFonts w:ascii="Arial" w:hAnsi="Arial" w:cs="Arial"/>
          <w:b w:val="0"/>
          <w:bCs w:val="0"/>
          <w:sz w:val="20"/>
          <w:szCs w:val="20"/>
        </w:rPr>
        <w:t>S15</w:t>
      </w:r>
      <w:r w:rsidR="00CA7C0F" w:rsidRPr="00BD3BBE">
        <w:rPr>
          <w:rFonts w:ascii="Arial" w:hAnsi="Arial" w:cs="Arial"/>
          <w:b w:val="0"/>
          <w:bCs w:val="0"/>
          <w:sz w:val="20"/>
          <w:szCs w:val="20"/>
        </w:rPr>
        <w:t xml:space="preserve"> but</w:t>
      </w:r>
      <w:r w:rsidR="0072248E">
        <w:rPr>
          <w:rFonts w:ascii="Arial" w:hAnsi="Arial" w:cs="Arial"/>
          <w:b w:val="0"/>
          <w:bCs w:val="0"/>
          <w:sz w:val="20"/>
          <w:szCs w:val="20"/>
        </w:rPr>
        <w:t xml:space="preserve"> </w:t>
      </w:r>
      <w:r w:rsidR="00CA7C0F">
        <w:rPr>
          <w:rFonts w:ascii="Arial" w:hAnsi="Arial" w:cs="Arial"/>
          <w:b w:val="0"/>
          <w:bCs w:val="0"/>
          <w:sz w:val="20"/>
          <w:szCs w:val="20"/>
        </w:rPr>
        <w:t xml:space="preserve">calculate the average costs of the whole program instead of just the costs in the Amazonian Settlements. </w:t>
      </w:r>
      <w:r>
        <w:rPr>
          <w:rFonts w:ascii="Arial" w:hAnsi="Arial" w:cs="Arial"/>
          <w:b w:val="0"/>
          <w:bCs w:val="0"/>
          <w:sz w:val="20"/>
          <w:szCs w:val="20"/>
        </w:rPr>
        <w:t>The plots are lines instead of bars, to reflect the fact that in our model the benefits are essentially a function of the years for delayed deforestation, while the costs are fixed because all the budget of the program has been spent during program implementation. 95% CI are 95% confidence intervals.</w:t>
      </w:r>
      <w:r w:rsidR="00432573">
        <w:rPr>
          <w:rFonts w:ascii="Arial" w:hAnsi="Arial" w:cs="Arial"/>
          <w:b w:val="0"/>
          <w:bCs w:val="0"/>
          <w:sz w:val="20"/>
          <w:szCs w:val="20"/>
        </w:rPr>
        <w:t xml:space="preserve"> The benefits curve between Figs S15 and S16 are exactly the same, as they correspond to the average </w:t>
      </w:r>
      <w:r w:rsidR="00FE279C">
        <w:rPr>
          <w:rFonts w:ascii="Arial" w:hAnsi="Arial" w:cs="Arial"/>
          <w:b w:val="0"/>
          <w:bCs w:val="0"/>
          <w:sz w:val="20"/>
          <w:szCs w:val="20"/>
        </w:rPr>
        <w:t xml:space="preserve">monetized </w:t>
      </w:r>
      <w:r w:rsidR="00432573">
        <w:rPr>
          <w:rFonts w:ascii="Arial" w:hAnsi="Arial" w:cs="Arial"/>
          <w:b w:val="0"/>
          <w:bCs w:val="0"/>
          <w:sz w:val="20"/>
          <w:szCs w:val="20"/>
        </w:rPr>
        <w:t>value</w:t>
      </w:r>
      <w:r w:rsidR="00FE279C">
        <w:rPr>
          <w:rFonts w:ascii="Arial" w:hAnsi="Arial" w:cs="Arial"/>
          <w:b w:val="0"/>
          <w:bCs w:val="0"/>
          <w:sz w:val="20"/>
          <w:szCs w:val="20"/>
        </w:rPr>
        <w:t>s</w:t>
      </w:r>
      <w:r w:rsidR="00432573">
        <w:rPr>
          <w:rFonts w:ascii="Arial" w:hAnsi="Arial" w:cs="Arial"/>
          <w:b w:val="0"/>
          <w:bCs w:val="0"/>
          <w:sz w:val="20"/>
          <w:szCs w:val="20"/>
        </w:rPr>
        <w:t xml:space="preserve"> as a function of years of delayed emissions.</w:t>
      </w:r>
    </w:p>
    <w:p w14:paraId="0504A2D8" w14:textId="77777777" w:rsidR="00526C46" w:rsidRDefault="00526C46" w:rsidP="00B7765A">
      <w:pPr>
        <w:pStyle w:val="SMHeading"/>
        <w:rPr>
          <w:rFonts w:ascii="Arial" w:hAnsi="Arial" w:cs="Arial"/>
          <w:b w:val="0"/>
          <w:sz w:val="20"/>
          <w:szCs w:val="20"/>
        </w:rPr>
      </w:pPr>
    </w:p>
    <w:p w14:paraId="7260DA4F" w14:textId="41976DA6" w:rsidR="00082AC5" w:rsidRDefault="00082AC5">
      <w:pPr>
        <w:rPr>
          <w:rFonts w:ascii="Arial" w:hAnsi="Arial" w:cs="Arial"/>
          <w:b/>
          <w:bCs/>
          <w:kern w:val="32"/>
          <w:sz w:val="20"/>
        </w:rPr>
      </w:pPr>
      <w:r>
        <w:rPr>
          <w:rFonts w:ascii="Arial" w:hAnsi="Arial" w:cs="Arial"/>
          <w:sz w:val="20"/>
        </w:rPr>
        <w:br w:type="page"/>
      </w:r>
    </w:p>
    <w:p w14:paraId="1E406317" w14:textId="363531E6" w:rsidR="00395A39" w:rsidRPr="00DC623A" w:rsidRDefault="00395A39" w:rsidP="00395A39">
      <w:pPr>
        <w:pStyle w:val="SMHeading"/>
        <w:rPr>
          <w:rFonts w:ascii="Arial" w:hAnsi="Arial" w:cs="Arial"/>
          <w:b w:val="0"/>
          <w:sz w:val="20"/>
          <w:szCs w:val="20"/>
        </w:rPr>
      </w:pPr>
      <w:r w:rsidRPr="00DC623A">
        <w:rPr>
          <w:rFonts w:ascii="Arial" w:hAnsi="Arial" w:cs="Arial"/>
          <w:sz w:val="20"/>
          <w:szCs w:val="20"/>
        </w:rPr>
        <w:lastRenderedPageBreak/>
        <w:t xml:space="preserve">Table S1. </w:t>
      </w:r>
      <w:r w:rsidR="009E3797">
        <w:rPr>
          <w:rFonts w:ascii="Arial" w:hAnsi="Arial" w:cs="Arial"/>
          <w:sz w:val="20"/>
          <w:szCs w:val="20"/>
        </w:rPr>
        <w:t xml:space="preserve">Covariate </w:t>
      </w:r>
      <w:r w:rsidR="009E3797">
        <w:rPr>
          <w:rFonts w:ascii="Arial" w:hAnsi="Arial" w:cs="Arial"/>
          <w:b w:val="0"/>
          <w:sz w:val="20"/>
          <w:szCs w:val="20"/>
        </w:rPr>
        <w:t>Balance Table for enrolled Settlements in Amazonia</w:t>
      </w:r>
    </w:p>
    <w:tbl>
      <w:tblPr>
        <w:tblW w:w="13718" w:type="dxa"/>
        <w:tblLook w:val="04A0" w:firstRow="1" w:lastRow="0" w:firstColumn="1" w:lastColumn="0" w:noHBand="0" w:noVBand="1"/>
      </w:tblPr>
      <w:tblGrid>
        <w:gridCol w:w="4844"/>
        <w:gridCol w:w="986"/>
        <w:gridCol w:w="1164"/>
        <w:gridCol w:w="1276"/>
        <w:gridCol w:w="1559"/>
        <w:gridCol w:w="1276"/>
        <w:gridCol w:w="1276"/>
        <w:gridCol w:w="1465"/>
      </w:tblGrid>
      <w:tr w:rsidR="009E3797" w:rsidRPr="009E3797" w14:paraId="3F5D7081" w14:textId="77777777" w:rsidTr="00EC65EB">
        <w:trPr>
          <w:trHeight w:val="531"/>
        </w:trPr>
        <w:tc>
          <w:tcPr>
            <w:tcW w:w="48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92431"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 </w:t>
            </w:r>
          </w:p>
        </w:tc>
        <w:tc>
          <w:tcPr>
            <w:tcW w:w="964" w:type="dxa"/>
            <w:tcBorders>
              <w:top w:val="single" w:sz="4" w:space="0" w:color="auto"/>
              <w:left w:val="nil"/>
              <w:bottom w:val="single" w:sz="4" w:space="0" w:color="auto"/>
              <w:right w:val="single" w:sz="4" w:space="0" w:color="auto"/>
            </w:tcBorders>
            <w:shd w:val="clear" w:color="auto" w:fill="auto"/>
            <w:noWrap/>
            <w:vAlign w:val="bottom"/>
            <w:hideMark/>
          </w:tcPr>
          <w:p w14:paraId="53DE42F1"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 </w:t>
            </w:r>
          </w:p>
        </w:tc>
        <w:tc>
          <w:tcPr>
            <w:tcW w:w="3947" w:type="dxa"/>
            <w:gridSpan w:val="3"/>
            <w:tcBorders>
              <w:top w:val="single" w:sz="4" w:space="0" w:color="auto"/>
              <w:left w:val="nil"/>
              <w:bottom w:val="single" w:sz="4" w:space="0" w:color="auto"/>
              <w:right w:val="single" w:sz="4" w:space="0" w:color="auto"/>
            </w:tcBorders>
            <w:shd w:val="clear" w:color="auto" w:fill="auto"/>
            <w:vAlign w:val="bottom"/>
            <w:hideMark/>
          </w:tcPr>
          <w:p w14:paraId="10BAFAE9" w14:textId="77777777" w:rsidR="009E3797" w:rsidRPr="009E3797" w:rsidRDefault="009E3797" w:rsidP="009E3797">
            <w:pPr>
              <w:jc w:val="center"/>
              <w:rPr>
                <w:rFonts w:ascii="Calibri" w:hAnsi="Calibri" w:cs="Calibri"/>
                <w:color w:val="000000"/>
                <w:sz w:val="22"/>
                <w:szCs w:val="22"/>
              </w:rPr>
            </w:pPr>
            <w:r w:rsidRPr="009E3797">
              <w:rPr>
                <w:rFonts w:ascii="Calibri" w:hAnsi="Calibri" w:cs="Calibri"/>
                <w:color w:val="000000"/>
                <w:sz w:val="22"/>
                <w:szCs w:val="22"/>
              </w:rPr>
              <w:t>Before Weighting on                                        the Propensity Score</w:t>
            </w:r>
          </w:p>
        </w:tc>
        <w:tc>
          <w:tcPr>
            <w:tcW w:w="3963" w:type="dxa"/>
            <w:gridSpan w:val="3"/>
            <w:tcBorders>
              <w:top w:val="single" w:sz="4" w:space="0" w:color="auto"/>
              <w:left w:val="nil"/>
              <w:bottom w:val="single" w:sz="4" w:space="0" w:color="auto"/>
              <w:right w:val="single" w:sz="4" w:space="0" w:color="auto"/>
            </w:tcBorders>
            <w:shd w:val="clear" w:color="auto" w:fill="auto"/>
            <w:noWrap/>
            <w:vAlign w:val="bottom"/>
            <w:hideMark/>
          </w:tcPr>
          <w:p w14:paraId="70386A93" w14:textId="77777777" w:rsidR="009E3797" w:rsidRPr="009E3797" w:rsidRDefault="009E3797" w:rsidP="009E3797">
            <w:pPr>
              <w:jc w:val="center"/>
              <w:rPr>
                <w:rFonts w:ascii="Calibri" w:hAnsi="Calibri" w:cs="Calibri"/>
                <w:color w:val="000000"/>
                <w:sz w:val="22"/>
                <w:szCs w:val="22"/>
              </w:rPr>
            </w:pPr>
            <w:r w:rsidRPr="009E3797">
              <w:rPr>
                <w:rFonts w:ascii="Calibri" w:hAnsi="Calibri" w:cs="Calibri"/>
                <w:color w:val="000000"/>
                <w:sz w:val="22"/>
                <w:szCs w:val="22"/>
              </w:rPr>
              <w:t>After Weighting</w:t>
            </w:r>
          </w:p>
        </w:tc>
      </w:tr>
      <w:tr w:rsidR="009E3797" w:rsidRPr="009E3797" w14:paraId="52F07A68" w14:textId="77777777" w:rsidTr="0089544B">
        <w:trPr>
          <w:trHeight w:val="6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7EB1DC4D"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 </w:t>
            </w:r>
          </w:p>
        </w:tc>
        <w:tc>
          <w:tcPr>
            <w:tcW w:w="964" w:type="dxa"/>
            <w:tcBorders>
              <w:top w:val="nil"/>
              <w:left w:val="nil"/>
              <w:bottom w:val="single" w:sz="4" w:space="0" w:color="auto"/>
              <w:right w:val="single" w:sz="4" w:space="0" w:color="auto"/>
            </w:tcBorders>
            <w:shd w:val="clear" w:color="auto" w:fill="auto"/>
            <w:noWrap/>
            <w:vAlign w:val="bottom"/>
            <w:hideMark/>
          </w:tcPr>
          <w:p w14:paraId="085D753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Type</w:t>
            </w:r>
          </w:p>
        </w:tc>
        <w:tc>
          <w:tcPr>
            <w:tcW w:w="1139" w:type="dxa"/>
            <w:tcBorders>
              <w:top w:val="nil"/>
              <w:left w:val="nil"/>
              <w:bottom w:val="single" w:sz="4" w:space="0" w:color="auto"/>
              <w:right w:val="single" w:sz="4" w:space="0" w:color="auto"/>
            </w:tcBorders>
            <w:shd w:val="clear" w:color="auto" w:fill="auto"/>
            <w:noWrap/>
            <w:vAlign w:val="bottom"/>
            <w:hideMark/>
          </w:tcPr>
          <w:p w14:paraId="04660FDB"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Control</w:t>
            </w:r>
          </w:p>
        </w:tc>
        <w:tc>
          <w:tcPr>
            <w:tcW w:w="1248" w:type="dxa"/>
            <w:tcBorders>
              <w:top w:val="nil"/>
              <w:left w:val="nil"/>
              <w:bottom w:val="single" w:sz="4" w:space="0" w:color="auto"/>
              <w:right w:val="single" w:sz="4" w:space="0" w:color="auto"/>
            </w:tcBorders>
            <w:shd w:val="clear" w:color="auto" w:fill="auto"/>
            <w:noWrap/>
            <w:vAlign w:val="bottom"/>
            <w:hideMark/>
          </w:tcPr>
          <w:p w14:paraId="5A7AEE5E"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Treated</w:t>
            </w:r>
          </w:p>
        </w:tc>
        <w:tc>
          <w:tcPr>
            <w:tcW w:w="1559" w:type="dxa"/>
            <w:tcBorders>
              <w:top w:val="nil"/>
              <w:left w:val="nil"/>
              <w:bottom w:val="single" w:sz="4" w:space="0" w:color="auto"/>
              <w:right w:val="single" w:sz="4" w:space="0" w:color="auto"/>
            </w:tcBorders>
            <w:shd w:val="clear" w:color="auto" w:fill="A6A6A6" w:themeFill="background1" w:themeFillShade="A6"/>
            <w:vAlign w:val="bottom"/>
            <w:hideMark/>
          </w:tcPr>
          <w:p w14:paraId="391773A0"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Standardized Difference in Means</w:t>
            </w:r>
          </w:p>
        </w:tc>
        <w:tc>
          <w:tcPr>
            <w:tcW w:w="1248" w:type="dxa"/>
            <w:tcBorders>
              <w:top w:val="nil"/>
              <w:left w:val="nil"/>
              <w:bottom w:val="single" w:sz="4" w:space="0" w:color="auto"/>
              <w:right w:val="single" w:sz="4" w:space="0" w:color="auto"/>
            </w:tcBorders>
            <w:shd w:val="clear" w:color="auto" w:fill="auto"/>
            <w:noWrap/>
            <w:vAlign w:val="bottom"/>
            <w:hideMark/>
          </w:tcPr>
          <w:p w14:paraId="53BB950B"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Control</w:t>
            </w:r>
          </w:p>
        </w:tc>
        <w:tc>
          <w:tcPr>
            <w:tcW w:w="1248" w:type="dxa"/>
            <w:tcBorders>
              <w:top w:val="nil"/>
              <w:left w:val="nil"/>
              <w:bottom w:val="single" w:sz="4" w:space="0" w:color="auto"/>
              <w:right w:val="single" w:sz="4" w:space="0" w:color="auto"/>
            </w:tcBorders>
            <w:shd w:val="clear" w:color="auto" w:fill="auto"/>
            <w:noWrap/>
            <w:vAlign w:val="bottom"/>
            <w:hideMark/>
          </w:tcPr>
          <w:p w14:paraId="5E51B19E"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Treated</w:t>
            </w:r>
          </w:p>
        </w:tc>
        <w:tc>
          <w:tcPr>
            <w:tcW w:w="1465" w:type="dxa"/>
            <w:tcBorders>
              <w:top w:val="nil"/>
              <w:left w:val="nil"/>
              <w:bottom w:val="single" w:sz="4" w:space="0" w:color="auto"/>
              <w:right w:val="single" w:sz="4" w:space="0" w:color="auto"/>
            </w:tcBorders>
            <w:shd w:val="clear" w:color="auto" w:fill="A6A6A6" w:themeFill="background1" w:themeFillShade="A6"/>
            <w:vAlign w:val="bottom"/>
            <w:hideMark/>
          </w:tcPr>
          <w:p w14:paraId="7F17E671"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Standardized Difference in Means</w:t>
            </w:r>
          </w:p>
        </w:tc>
      </w:tr>
      <w:tr w:rsidR="009E3797" w:rsidRPr="009E3797" w14:paraId="286A1F54"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6E94BD46"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Propensity Score</w:t>
            </w:r>
          </w:p>
        </w:tc>
        <w:tc>
          <w:tcPr>
            <w:tcW w:w="964" w:type="dxa"/>
            <w:tcBorders>
              <w:top w:val="nil"/>
              <w:left w:val="nil"/>
              <w:bottom w:val="single" w:sz="4" w:space="0" w:color="auto"/>
              <w:right w:val="single" w:sz="4" w:space="0" w:color="auto"/>
            </w:tcBorders>
            <w:shd w:val="clear" w:color="auto" w:fill="auto"/>
            <w:noWrap/>
            <w:vAlign w:val="bottom"/>
            <w:hideMark/>
          </w:tcPr>
          <w:p w14:paraId="5B2E09EF"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Distance</w:t>
            </w:r>
          </w:p>
        </w:tc>
        <w:tc>
          <w:tcPr>
            <w:tcW w:w="1139" w:type="dxa"/>
            <w:tcBorders>
              <w:top w:val="nil"/>
              <w:left w:val="nil"/>
              <w:bottom w:val="single" w:sz="4" w:space="0" w:color="auto"/>
              <w:right w:val="single" w:sz="4" w:space="0" w:color="auto"/>
            </w:tcBorders>
            <w:shd w:val="clear" w:color="auto" w:fill="auto"/>
            <w:noWrap/>
            <w:vAlign w:val="bottom"/>
          </w:tcPr>
          <w:p w14:paraId="103FF80F" w14:textId="14539B9D"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0.0713      </w:t>
            </w:r>
          </w:p>
        </w:tc>
        <w:tc>
          <w:tcPr>
            <w:tcW w:w="1248" w:type="dxa"/>
            <w:tcBorders>
              <w:top w:val="nil"/>
              <w:left w:val="nil"/>
              <w:bottom w:val="single" w:sz="4" w:space="0" w:color="auto"/>
              <w:right w:val="single" w:sz="4" w:space="0" w:color="auto"/>
            </w:tcBorders>
            <w:shd w:val="clear" w:color="auto" w:fill="auto"/>
            <w:noWrap/>
            <w:vAlign w:val="bottom"/>
          </w:tcPr>
          <w:p w14:paraId="011C0FF3" w14:textId="55AB8C90"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0.6168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2C9C8F1B" w14:textId="34F3B0F6"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1.8176       </w:t>
            </w:r>
          </w:p>
        </w:tc>
        <w:tc>
          <w:tcPr>
            <w:tcW w:w="1248" w:type="dxa"/>
            <w:tcBorders>
              <w:top w:val="nil"/>
              <w:left w:val="nil"/>
              <w:bottom w:val="single" w:sz="4" w:space="0" w:color="auto"/>
              <w:right w:val="single" w:sz="4" w:space="0" w:color="auto"/>
            </w:tcBorders>
            <w:shd w:val="clear" w:color="auto" w:fill="auto"/>
            <w:noWrap/>
            <w:vAlign w:val="bottom"/>
          </w:tcPr>
          <w:p w14:paraId="0D2AD0A3" w14:textId="454B301E"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0.6070       </w:t>
            </w:r>
          </w:p>
        </w:tc>
        <w:tc>
          <w:tcPr>
            <w:tcW w:w="1248" w:type="dxa"/>
            <w:tcBorders>
              <w:top w:val="nil"/>
              <w:left w:val="nil"/>
              <w:bottom w:val="single" w:sz="4" w:space="0" w:color="auto"/>
              <w:right w:val="single" w:sz="4" w:space="0" w:color="auto"/>
            </w:tcBorders>
            <w:shd w:val="clear" w:color="auto" w:fill="auto"/>
            <w:noWrap/>
            <w:vAlign w:val="bottom"/>
          </w:tcPr>
          <w:p w14:paraId="3E92A351" w14:textId="0B44BA79"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0.6168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1A902F0F" w14:textId="66B27452"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0.0326</w:t>
            </w:r>
          </w:p>
        </w:tc>
      </w:tr>
      <w:tr w:rsidR="009E3797" w:rsidRPr="009E3797" w14:paraId="206599E0"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0A409AEE"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Distance to road in km</w:t>
            </w:r>
          </w:p>
        </w:tc>
        <w:tc>
          <w:tcPr>
            <w:tcW w:w="964" w:type="dxa"/>
            <w:tcBorders>
              <w:top w:val="nil"/>
              <w:left w:val="nil"/>
              <w:bottom w:val="single" w:sz="4" w:space="0" w:color="auto"/>
              <w:right w:val="single" w:sz="4" w:space="0" w:color="auto"/>
            </w:tcBorders>
            <w:shd w:val="clear" w:color="auto" w:fill="auto"/>
            <w:noWrap/>
            <w:vAlign w:val="bottom"/>
            <w:hideMark/>
          </w:tcPr>
          <w:p w14:paraId="6B8465E3"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nil"/>
              <w:left w:val="nil"/>
              <w:bottom w:val="single" w:sz="4" w:space="0" w:color="auto"/>
              <w:right w:val="single" w:sz="4" w:space="0" w:color="auto"/>
            </w:tcBorders>
            <w:shd w:val="clear" w:color="auto" w:fill="auto"/>
            <w:noWrap/>
            <w:vAlign w:val="bottom"/>
          </w:tcPr>
          <w:p w14:paraId="5145B5F7" w14:textId="30946574"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15.9942     </w:t>
            </w:r>
          </w:p>
        </w:tc>
        <w:tc>
          <w:tcPr>
            <w:tcW w:w="1248" w:type="dxa"/>
            <w:tcBorders>
              <w:top w:val="nil"/>
              <w:left w:val="nil"/>
              <w:bottom w:val="single" w:sz="4" w:space="0" w:color="auto"/>
              <w:right w:val="single" w:sz="4" w:space="0" w:color="auto"/>
            </w:tcBorders>
            <w:shd w:val="clear" w:color="auto" w:fill="auto"/>
            <w:noWrap/>
            <w:vAlign w:val="bottom"/>
          </w:tcPr>
          <w:p w14:paraId="7A62B259" w14:textId="643D7958"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26.6237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3760F692" w14:textId="6EB35B48"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0.4434      </w:t>
            </w:r>
          </w:p>
        </w:tc>
        <w:tc>
          <w:tcPr>
            <w:tcW w:w="1248" w:type="dxa"/>
            <w:tcBorders>
              <w:top w:val="nil"/>
              <w:left w:val="nil"/>
              <w:bottom w:val="single" w:sz="4" w:space="0" w:color="auto"/>
              <w:right w:val="single" w:sz="4" w:space="0" w:color="auto"/>
            </w:tcBorders>
            <w:shd w:val="clear" w:color="auto" w:fill="auto"/>
            <w:noWrap/>
            <w:vAlign w:val="bottom"/>
          </w:tcPr>
          <w:p w14:paraId="1DE00ACB" w14:textId="0D835A43"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26.6237      </w:t>
            </w:r>
          </w:p>
        </w:tc>
        <w:tc>
          <w:tcPr>
            <w:tcW w:w="1248" w:type="dxa"/>
            <w:tcBorders>
              <w:top w:val="nil"/>
              <w:left w:val="nil"/>
              <w:bottom w:val="single" w:sz="4" w:space="0" w:color="auto"/>
              <w:right w:val="single" w:sz="4" w:space="0" w:color="auto"/>
            </w:tcBorders>
            <w:shd w:val="clear" w:color="auto" w:fill="auto"/>
            <w:noWrap/>
            <w:vAlign w:val="bottom"/>
          </w:tcPr>
          <w:p w14:paraId="370AD9B9" w14:textId="06CB3FFE"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26.6237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364F6F17" w14:textId="3E62A4E0"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0.0000</w:t>
            </w:r>
          </w:p>
        </w:tc>
      </w:tr>
      <w:tr w:rsidR="009E3797" w:rsidRPr="009E3797" w14:paraId="7A1EBC92"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74CCFC0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Distance to rivers in km</w:t>
            </w:r>
          </w:p>
        </w:tc>
        <w:tc>
          <w:tcPr>
            <w:tcW w:w="964" w:type="dxa"/>
            <w:tcBorders>
              <w:top w:val="nil"/>
              <w:left w:val="nil"/>
              <w:bottom w:val="single" w:sz="4" w:space="0" w:color="auto"/>
              <w:right w:val="single" w:sz="4" w:space="0" w:color="auto"/>
            </w:tcBorders>
            <w:shd w:val="clear" w:color="auto" w:fill="auto"/>
            <w:noWrap/>
            <w:vAlign w:val="bottom"/>
            <w:hideMark/>
          </w:tcPr>
          <w:p w14:paraId="76ED16E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nil"/>
              <w:left w:val="nil"/>
              <w:bottom w:val="single" w:sz="4" w:space="0" w:color="auto"/>
              <w:right w:val="single" w:sz="4" w:space="0" w:color="auto"/>
            </w:tcBorders>
            <w:shd w:val="clear" w:color="auto" w:fill="auto"/>
            <w:noWrap/>
            <w:vAlign w:val="bottom"/>
          </w:tcPr>
          <w:p w14:paraId="00942956" w14:textId="41106D32"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56.9225     </w:t>
            </w:r>
          </w:p>
        </w:tc>
        <w:tc>
          <w:tcPr>
            <w:tcW w:w="1248" w:type="dxa"/>
            <w:tcBorders>
              <w:top w:val="nil"/>
              <w:left w:val="nil"/>
              <w:bottom w:val="single" w:sz="4" w:space="0" w:color="auto"/>
              <w:right w:val="single" w:sz="4" w:space="0" w:color="auto"/>
            </w:tcBorders>
            <w:shd w:val="clear" w:color="auto" w:fill="auto"/>
            <w:noWrap/>
            <w:vAlign w:val="bottom"/>
          </w:tcPr>
          <w:p w14:paraId="4F026923" w14:textId="0CC72DC4"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85.8478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2A883397" w14:textId="2A1AE7B6"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0.5297      </w:t>
            </w:r>
          </w:p>
        </w:tc>
        <w:tc>
          <w:tcPr>
            <w:tcW w:w="1248" w:type="dxa"/>
            <w:tcBorders>
              <w:top w:val="nil"/>
              <w:left w:val="nil"/>
              <w:bottom w:val="single" w:sz="4" w:space="0" w:color="auto"/>
              <w:right w:val="single" w:sz="4" w:space="0" w:color="auto"/>
            </w:tcBorders>
            <w:shd w:val="clear" w:color="auto" w:fill="auto"/>
            <w:noWrap/>
            <w:vAlign w:val="bottom"/>
          </w:tcPr>
          <w:p w14:paraId="462FFEEC" w14:textId="039DA8E7"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85.8478      </w:t>
            </w:r>
          </w:p>
        </w:tc>
        <w:tc>
          <w:tcPr>
            <w:tcW w:w="1248" w:type="dxa"/>
            <w:tcBorders>
              <w:top w:val="nil"/>
              <w:left w:val="nil"/>
              <w:bottom w:val="single" w:sz="4" w:space="0" w:color="auto"/>
              <w:right w:val="single" w:sz="4" w:space="0" w:color="auto"/>
            </w:tcBorders>
            <w:shd w:val="clear" w:color="auto" w:fill="auto"/>
            <w:noWrap/>
            <w:vAlign w:val="bottom"/>
          </w:tcPr>
          <w:p w14:paraId="3A53801F" w14:textId="67170CD3"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 xml:space="preserve">85.8478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3066FDAE" w14:textId="7A53FAB4" w:rsidR="009E3797" w:rsidRPr="009E3797" w:rsidRDefault="0089544B" w:rsidP="009E3797">
            <w:pPr>
              <w:jc w:val="right"/>
              <w:rPr>
                <w:rFonts w:ascii="Calibri" w:hAnsi="Calibri" w:cs="Calibri"/>
                <w:color w:val="000000"/>
                <w:sz w:val="22"/>
                <w:szCs w:val="22"/>
              </w:rPr>
            </w:pPr>
            <w:r w:rsidRPr="0089544B">
              <w:rPr>
                <w:rFonts w:ascii="Calibri" w:hAnsi="Calibri" w:cs="Calibri"/>
                <w:color w:val="000000"/>
                <w:sz w:val="22"/>
                <w:szCs w:val="22"/>
              </w:rPr>
              <w:t>0.0000</w:t>
            </w:r>
          </w:p>
        </w:tc>
      </w:tr>
      <w:tr w:rsidR="009E3797" w:rsidRPr="009E3797" w14:paraId="4D34B669"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08352E5E" w14:textId="4ABF61C8"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 xml:space="preserve">Travelling time to nearest city (in </w:t>
            </w:r>
            <w:r w:rsidR="00F11CAA">
              <w:rPr>
                <w:rFonts w:ascii="Calibri" w:hAnsi="Calibri" w:cs="Calibri"/>
                <w:color w:val="000000"/>
                <w:sz w:val="22"/>
                <w:szCs w:val="22"/>
              </w:rPr>
              <w:t>hours</w:t>
            </w:r>
            <w:r w:rsidRPr="009E3797">
              <w:rPr>
                <w:rFonts w:ascii="Calibri" w:hAnsi="Calibri" w:cs="Calibri"/>
                <w:color w:val="000000"/>
                <w:sz w:val="22"/>
                <w:szCs w:val="22"/>
              </w:rPr>
              <w:t>)</w:t>
            </w:r>
          </w:p>
        </w:tc>
        <w:tc>
          <w:tcPr>
            <w:tcW w:w="964" w:type="dxa"/>
            <w:tcBorders>
              <w:top w:val="nil"/>
              <w:left w:val="nil"/>
              <w:bottom w:val="single" w:sz="4" w:space="0" w:color="auto"/>
              <w:right w:val="single" w:sz="4" w:space="0" w:color="auto"/>
            </w:tcBorders>
            <w:shd w:val="clear" w:color="auto" w:fill="auto"/>
            <w:noWrap/>
            <w:vAlign w:val="bottom"/>
            <w:hideMark/>
          </w:tcPr>
          <w:p w14:paraId="7B409367"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nil"/>
              <w:left w:val="nil"/>
              <w:bottom w:val="single" w:sz="4" w:space="0" w:color="auto"/>
              <w:right w:val="single" w:sz="4" w:space="0" w:color="auto"/>
            </w:tcBorders>
            <w:shd w:val="clear" w:color="auto" w:fill="auto"/>
            <w:noWrap/>
            <w:vAlign w:val="bottom"/>
          </w:tcPr>
          <w:p w14:paraId="7763CCA7" w14:textId="56F30411" w:rsidR="009E3797" w:rsidRPr="009E3797" w:rsidRDefault="00BF55AC" w:rsidP="009E3797">
            <w:pPr>
              <w:jc w:val="right"/>
              <w:rPr>
                <w:rFonts w:ascii="Calibri" w:hAnsi="Calibri" w:cs="Calibri"/>
                <w:color w:val="000000"/>
                <w:sz w:val="22"/>
                <w:szCs w:val="22"/>
              </w:rPr>
            </w:pPr>
            <w:r w:rsidRPr="00BF55AC">
              <w:rPr>
                <w:rFonts w:ascii="Calibri" w:hAnsi="Calibri" w:cs="Calibri"/>
                <w:color w:val="000000"/>
                <w:sz w:val="22"/>
                <w:szCs w:val="22"/>
              </w:rPr>
              <w:t xml:space="preserve">7.2252      </w:t>
            </w:r>
          </w:p>
        </w:tc>
        <w:tc>
          <w:tcPr>
            <w:tcW w:w="1248" w:type="dxa"/>
            <w:tcBorders>
              <w:top w:val="nil"/>
              <w:left w:val="nil"/>
              <w:bottom w:val="single" w:sz="4" w:space="0" w:color="auto"/>
              <w:right w:val="single" w:sz="4" w:space="0" w:color="auto"/>
            </w:tcBorders>
            <w:shd w:val="clear" w:color="auto" w:fill="auto"/>
            <w:noWrap/>
            <w:vAlign w:val="bottom"/>
          </w:tcPr>
          <w:p w14:paraId="4AAF14C9" w14:textId="31AF65C2"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9.1369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39BD2F13" w14:textId="6388A15F"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0.2447       </w:t>
            </w:r>
          </w:p>
        </w:tc>
        <w:tc>
          <w:tcPr>
            <w:tcW w:w="1248" w:type="dxa"/>
            <w:tcBorders>
              <w:top w:val="nil"/>
              <w:left w:val="nil"/>
              <w:bottom w:val="single" w:sz="4" w:space="0" w:color="auto"/>
              <w:right w:val="single" w:sz="4" w:space="0" w:color="auto"/>
            </w:tcBorders>
            <w:shd w:val="clear" w:color="auto" w:fill="auto"/>
            <w:noWrap/>
            <w:vAlign w:val="bottom"/>
          </w:tcPr>
          <w:p w14:paraId="29C3AD64" w14:textId="13A4D17E"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9.1369       </w:t>
            </w:r>
          </w:p>
        </w:tc>
        <w:tc>
          <w:tcPr>
            <w:tcW w:w="1248" w:type="dxa"/>
            <w:tcBorders>
              <w:top w:val="nil"/>
              <w:left w:val="nil"/>
              <w:bottom w:val="single" w:sz="4" w:space="0" w:color="auto"/>
              <w:right w:val="single" w:sz="4" w:space="0" w:color="auto"/>
            </w:tcBorders>
            <w:shd w:val="clear" w:color="auto" w:fill="auto"/>
            <w:noWrap/>
            <w:vAlign w:val="bottom"/>
          </w:tcPr>
          <w:p w14:paraId="52DFA5BA" w14:textId="10E446E4"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9.1369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68E5A696" w14:textId="20805140"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0.0000</w:t>
            </w:r>
          </w:p>
        </w:tc>
      </w:tr>
      <w:tr w:rsidR="009E3797" w:rsidRPr="009E3797" w14:paraId="4CC9DFBE"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7A46C5E3" w14:textId="2902F06E" w:rsidR="009E3797" w:rsidRPr="009E3797" w:rsidRDefault="009E3797" w:rsidP="009E3797">
            <w:pPr>
              <w:rPr>
                <w:rFonts w:ascii="Calibri" w:hAnsi="Calibri" w:cs="Calibri"/>
                <w:color w:val="000000"/>
                <w:sz w:val="22"/>
                <w:szCs w:val="22"/>
              </w:rPr>
            </w:pPr>
            <w:proofErr w:type="spellStart"/>
            <w:r w:rsidRPr="009E3797">
              <w:rPr>
                <w:rFonts w:ascii="Calibri" w:hAnsi="Calibri" w:cs="Calibri"/>
                <w:color w:val="000000"/>
                <w:sz w:val="22"/>
                <w:szCs w:val="22"/>
              </w:rPr>
              <w:t>topology_</w:t>
            </w:r>
            <w:r w:rsidR="00E63539">
              <w:rPr>
                <w:rFonts w:ascii="Calibri" w:hAnsi="Calibri" w:cs="Calibri"/>
                <w:color w:val="000000"/>
                <w:sz w:val="22"/>
                <w:szCs w:val="22"/>
              </w:rPr>
              <w:t>very_undulated</w:t>
            </w:r>
            <w:proofErr w:type="spellEnd"/>
          </w:p>
        </w:tc>
        <w:tc>
          <w:tcPr>
            <w:tcW w:w="964" w:type="dxa"/>
            <w:tcBorders>
              <w:top w:val="nil"/>
              <w:left w:val="nil"/>
              <w:bottom w:val="single" w:sz="4" w:space="0" w:color="auto"/>
              <w:right w:val="single" w:sz="4" w:space="0" w:color="auto"/>
            </w:tcBorders>
            <w:shd w:val="clear" w:color="auto" w:fill="auto"/>
            <w:noWrap/>
            <w:vAlign w:val="bottom"/>
            <w:hideMark/>
          </w:tcPr>
          <w:p w14:paraId="08229D50"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Binary</w:t>
            </w:r>
          </w:p>
        </w:tc>
        <w:tc>
          <w:tcPr>
            <w:tcW w:w="1139" w:type="dxa"/>
            <w:tcBorders>
              <w:top w:val="nil"/>
              <w:left w:val="nil"/>
              <w:bottom w:val="single" w:sz="4" w:space="0" w:color="auto"/>
              <w:right w:val="single" w:sz="4" w:space="0" w:color="auto"/>
            </w:tcBorders>
            <w:shd w:val="clear" w:color="auto" w:fill="auto"/>
            <w:noWrap/>
            <w:vAlign w:val="bottom"/>
          </w:tcPr>
          <w:p w14:paraId="32F9C5AE" w14:textId="34B17E6B" w:rsidR="009E3797" w:rsidRPr="009E3797" w:rsidRDefault="00BF55AC"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0.0030      </w:t>
            </w:r>
          </w:p>
        </w:tc>
        <w:tc>
          <w:tcPr>
            <w:tcW w:w="1248" w:type="dxa"/>
            <w:tcBorders>
              <w:top w:val="nil"/>
              <w:left w:val="nil"/>
              <w:bottom w:val="single" w:sz="4" w:space="0" w:color="auto"/>
              <w:right w:val="single" w:sz="4" w:space="0" w:color="auto"/>
            </w:tcBorders>
            <w:shd w:val="clear" w:color="auto" w:fill="auto"/>
            <w:noWrap/>
            <w:vAlign w:val="bottom"/>
          </w:tcPr>
          <w:p w14:paraId="33215FDB" w14:textId="15EA4436"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0.0033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22671E84" w14:textId="35314D49"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0.0003       </w:t>
            </w:r>
          </w:p>
        </w:tc>
        <w:tc>
          <w:tcPr>
            <w:tcW w:w="1248" w:type="dxa"/>
            <w:tcBorders>
              <w:top w:val="nil"/>
              <w:left w:val="nil"/>
              <w:bottom w:val="single" w:sz="4" w:space="0" w:color="auto"/>
              <w:right w:val="single" w:sz="4" w:space="0" w:color="auto"/>
            </w:tcBorders>
            <w:shd w:val="clear" w:color="auto" w:fill="auto"/>
            <w:noWrap/>
            <w:vAlign w:val="bottom"/>
          </w:tcPr>
          <w:p w14:paraId="690A6C24" w14:textId="58F2A3BA"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0.0033       </w:t>
            </w:r>
          </w:p>
        </w:tc>
        <w:tc>
          <w:tcPr>
            <w:tcW w:w="1248" w:type="dxa"/>
            <w:tcBorders>
              <w:top w:val="nil"/>
              <w:left w:val="nil"/>
              <w:bottom w:val="single" w:sz="4" w:space="0" w:color="auto"/>
              <w:right w:val="single" w:sz="4" w:space="0" w:color="auto"/>
            </w:tcBorders>
            <w:shd w:val="clear" w:color="auto" w:fill="auto"/>
            <w:noWrap/>
            <w:vAlign w:val="bottom"/>
          </w:tcPr>
          <w:p w14:paraId="4FE39823" w14:textId="7ACF5DD8"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0.0033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6950689B" w14:textId="00500F2C"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0.0000</w:t>
            </w:r>
          </w:p>
        </w:tc>
      </w:tr>
      <w:tr w:rsidR="009E3797" w:rsidRPr="009E3797" w14:paraId="3568142B"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77996944" w14:textId="77777777" w:rsidR="009E3797" w:rsidRPr="009E3797" w:rsidRDefault="009E3797" w:rsidP="009E3797">
            <w:pPr>
              <w:rPr>
                <w:rFonts w:ascii="Calibri" w:hAnsi="Calibri" w:cs="Calibri"/>
                <w:color w:val="000000"/>
                <w:sz w:val="22"/>
                <w:szCs w:val="22"/>
              </w:rPr>
            </w:pPr>
            <w:proofErr w:type="spellStart"/>
            <w:r w:rsidRPr="009E3797">
              <w:rPr>
                <w:rFonts w:ascii="Calibri" w:hAnsi="Calibri" w:cs="Calibri"/>
                <w:color w:val="000000"/>
                <w:sz w:val="22"/>
                <w:szCs w:val="22"/>
              </w:rPr>
              <w:t>topology_rugged</w:t>
            </w:r>
            <w:proofErr w:type="spellEnd"/>
          </w:p>
        </w:tc>
        <w:tc>
          <w:tcPr>
            <w:tcW w:w="964" w:type="dxa"/>
            <w:tcBorders>
              <w:top w:val="nil"/>
              <w:left w:val="nil"/>
              <w:bottom w:val="single" w:sz="4" w:space="0" w:color="auto"/>
              <w:right w:val="single" w:sz="4" w:space="0" w:color="auto"/>
            </w:tcBorders>
            <w:shd w:val="clear" w:color="auto" w:fill="auto"/>
            <w:noWrap/>
            <w:vAlign w:val="bottom"/>
            <w:hideMark/>
          </w:tcPr>
          <w:p w14:paraId="53684F76"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Binary</w:t>
            </w:r>
          </w:p>
        </w:tc>
        <w:tc>
          <w:tcPr>
            <w:tcW w:w="1139" w:type="dxa"/>
            <w:tcBorders>
              <w:top w:val="nil"/>
              <w:left w:val="nil"/>
              <w:bottom w:val="single" w:sz="4" w:space="0" w:color="auto"/>
              <w:right w:val="single" w:sz="4" w:space="0" w:color="auto"/>
            </w:tcBorders>
            <w:shd w:val="clear" w:color="auto" w:fill="auto"/>
            <w:noWrap/>
            <w:vAlign w:val="bottom"/>
          </w:tcPr>
          <w:p w14:paraId="63BD4226" w14:textId="63A7D9DB" w:rsidR="009E3797" w:rsidRPr="009E3797" w:rsidRDefault="00BF55AC" w:rsidP="009E3797">
            <w:pPr>
              <w:jc w:val="right"/>
              <w:rPr>
                <w:rFonts w:ascii="Calibri" w:hAnsi="Calibri" w:cs="Calibri"/>
                <w:color w:val="000000"/>
                <w:sz w:val="22"/>
                <w:szCs w:val="22"/>
              </w:rPr>
            </w:pPr>
            <w:r w:rsidRPr="00BF55AC">
              <w:rPr>
                <w:rFonts w:ascii="Calibri" w:hAnsi="Calibri" w:cs="Calibri"/>
                <w:color w:val="000000"/>
                <w:sz w:val="22"/>
                <w:szCs w:val="22"/>
              </w:rPr>
              <w:t xml:space="preserve">0.2273      </w:t>
            </w:r>
          </w:p>
        </w:tc>
        <w:tc>
          <w:tcPr>
            <w:tcW w:w="1248" w:type="dxa"/>
            <w:tcBorders>
              <w:top w:val="nil"/>
              <w:left w:val="nil"/>
              <w:bottom w:val="single" w:sz="4" w:space="0" w:color="auto"/>
              <w:right w:val="single" w:sz="4" w:space="0" w:color="auto"/>
            </w:tcBorders>
            <w:shd w:val="clear" w:color="auto" w:fill="auto"/>
            <w:noWrap/>
            <w:vAlign w:val="bottom"/>
          </w:tcPr>
          <w:p w14:paraId="6E9F954D" w14:textId="760B6109"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0.2567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7B2FA195" w14:textId="7AAE53B1"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0.0293       </w:t>
            </w:r>
          </w:p>
        </w:tc>
        <w:tc>
          <w:tcPr>
            <w:tcW w:w="1248" w:type="dxa"/>
            <w:tcBorders>
              <w:top w:val="nil"/>
              <w:left w:val="nil"/>
              <w:bottom w:val="single" w:sz="4" w:space="0" w:color="auto"/>
              <w:right w:val="single" w:sz="4" w:space="0" w:color="auto"/>
            </w:tcBorders>
            <w:shd w:val="clear" w:color="auto" w:fill="auto"/>
            <w:noWrap/>
            <w:vAlign w:val="bottom"/>
          </w:tcPr>
          <w:p w14:paraId="6D56BFA5" w14:textId="40651536"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0.2567       </w:t>
            </w:r>
          </w:p>
        </w:tc>
        <w:tc>
          <w:tcPr>
            <w:tcW w:w="1248" w:type="dxa"/>
            <w:tcBorders>
              <w:top w:val="nil"/>
              <w:left w:val="nil"/>
              <w:bottom w:val="single" w:sz="4" w:space="0" w:color="auto"/>
              <w:right w:val="single" w:sz="4" w:space="0" w:color="auto"/>
            </w:tcBorders>
            <w:shd w:val="clear" w:color="auto" w:fill="auto"/>
            <w:noWrap/>
            <w:vAlign w:val="bottom"/>
          </w:tcPr>
          <w:p w14:paraId="34031A26" w14:textId="79D6BD7D"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0.2567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760EEB5C" w14:textId="3E30685C"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-0.0000</w:t>
            </w:r>
          </w:p>
        </w:tc>
      </w:tr>
      <w:tr w:rsidR="009E3797" w:rsidRPr="009E3797" w14:paraId="18DB045E"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74DA9740" w14:textId="02C48B7E" w:rsidR="009E3797" w:rsidRPr="009E3797" w:rsidRDefault="009E3797" w:rsidP="009E3797">
            <w:pPr>
              <w:rPr>
                <w:rFonts w:ascii="Calibri" w:hAnsi="Calibri" w:cs="Calibri"/>
                <w:color w:val="000000"/>
                <w:sz w:val="22"/>
                <w:szCs w:val="22"/>
              </w:rPr>
            </w:pPr>
            <w:proofErr w:type="spellStart"/>
            <w:r w:rsidRPr="009E3797">
              <w:rPr>
                <w:rFonts w:ascii="Calibri" w:hAnsi="Calibri" w:cs="Calibri"/>
                <w:color w:val="000000"/>
                <w:sz w:val="22"/>
                <w:szCs w:val="22"/>
              </w:rPr>
              <w:t>topology_</w:t>
            </w:r>
            <w:r w:rsidR="009E1B01">
              <w:rPr>
                <w:rFonts w:ascii="Calibri" w:hAnsi="Calibri" w:cs="Calibri"/>
                <w:color w:val="000000"/>
                <w:sz w:val="22"/>
                <w:szCs w:val="22"/>
              </w:rPr>
              <w:t>mountainous</w:t>
            </w:r>
            <w:proofErr w:type="spellEnd"/>
          </w:p>
        </w:tc>
        <w:tc>
          <w:tcPr>
            <w:tcW w:w="964" w:type="dxa"/>
            <w:tcBorders>
              <w:top w:val="nil"/>
              <w:left w:val="nil"/>
              <w:bottom w:val="single" w:sz="4" w:space="0" w:color="auto"/>
              <w:right w:val="single" w:sz="4" w:space="0" w:color="auto"/>
            </w:tcBorders>
            <w:shd w:val="clear" w:color="auto" w:fill="auto"/>
            <w:noWrap/>
            <w:vAlign w:val="bottom"/>
            <w:hideMark/>
          </w:tcPr>
          <w:p w14:paraId="00E96618"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Binary</w:t>
            </w:r>
          </w:p>
        </w:tc>
        <w:tc>
          <w:tcPr>
            <w:tcW w:w="1139" w:type="dxa"/>
            <w:tcBorders>
              <w:top w:val="nil"/>
              <w:left w:val="nil"/>
              <w:bottom w:val="single" w:sz="4" w:space="0" w:color="auto"/>
              <w:right w:val="single" w:sz="4" w:space="0" w:color="auto"/>
            </w:tcBorders>
            <w:shd w:val="clear" w:color="auto" w:fill="auto"/>
            <w:noWrap/>
            <w:vAlign w:val="bottom"/>
          </w:tcPr>
          <w:p w14:paraId="14FE534E" w14:textId="6A5A9C8F" w:rsidR="009E3797" w:rsidRPr="009E3797" w:rsidRDefault="00BF55AC" w:rsidP="009E3797">
            <w:pPr>
              <w:jc w:val="right"/>
              <w:rPr>
                <w:rFonts w:ascii="Calibri" w:hAnsi="Calibri" w:cs="Calibri"/>
                <w:color w:val="000000"/>
                <w:sz w:val="22"/>
                <w:szCs w:val="22"/>
              </w:rPr>
            </w:pPr>
            <w:r w:rsidRPr="00BF55AC">
              <w:rPr>
                <w:rFonts w:ascii="Calibri" w:hAnsi="Calibri" w:cs="Calibri"/>
                <w:color w:val="000000"/>
                <w:sz w:val="22"/>
                <w:szCs w:val="22"/>
              </w:rPr>
              <w:t xml:space="preserve">0.1487      </w:t>
            </w:r>
          </w:p>
        </w:tc>
        <w:tc>
          <w:tcPr>
            <w:tcW w:w="1248" w:type="dxa"/>
            <w:tcBorders>
              <w:top w:val="nil"/>
              <w:left w:val="nil"/>
              <w:bottom w:val="single" w:sz="4" w:space="0" w:color="auto"/>
              <w:right w:val="single" w:sz="4" w:space="0" w:color="auto"/>
            </w:tcBorders>
            <w:shd w:val="clear" w:color="auto" w:fill="auto"/>
            <w:noWrap/>
            <w:vAlign w:val="bottom"/>
          </w:tcPr>
          <w:p w14:paraId="7BCE8DBB" w14:textId="46FB5527"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0.0033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3E2045B1" w14:textId="36E37DFC"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-0.1454       </w:t>
            </w:r>
          </w:p>
        </w:tc>
        <w:tc>
          <w:tcPr>
            <w:tcW w:w="1248" w:type="dxa"/>
            <w:tcBorders>
              <w:top w:val="nil"/>
              <w:left w:val="nil"/>
              <w:bottom w:val="single" w:sz="4" w:space="0" w:color="auto"/>
              <w:right w:val="single" w:sz="4" w:space="0" w:color="auto"/>
            </w:tcBorders>
            <w:shd w:val="clear" w:color="auto" w:fill="auto"/>
            <w:noWrap/>
            <w:vAlign w:val="bottom"/>
          </w:tcPr>
          <w:p w14:paraId="771E782E" w14:textId="01B3CA8D"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0.0033       </w:t>
            </w:r>
          </w:p>
        </w:tc>
        <w:tc>
          <w:tcPr>
            <w:tcW w:w="1248" w:type="dxa"/>
            <w:tcBorders>
              <w:top w:val="nil"/>
              <w:left w:val="nil"/>
              <w:bottom w:val="single" w:sz="4" w:space="0" w:color="auto"/>
              <w:right w:val="single" w:sz="4" w:space="0" w:color="auto"/>
            </w:tcBorders>
            <w:shd w:val="clear" w:color="auto" w:fill="auto"/>
            <w:noWrap/>
            <w:vAlign w:val="bottom"/>
          </w:tcPr>
          <w:p w14:paraId="66F57797" w14:textId="298160DE"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0.0033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71F9D7DC" w14:textId="636DF9B1"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0.0000</w:t>
            </w:r>
          </w:p>
        </w:tc>
      </w:tr>
      <w:tr w:rsidR="009E3797" w:rsidRPr="009E3797" w14:paraId="4AB36D71"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25433DED" w14:textId="77777777" w:rsidR="009E3797" w:rsidRPr="009E3797" w:rsidRDefault="009E3797" w:rsidP="009E3797">
            <w:pPr>
              <w:rPr>
                <w:rFonts w:ascii="Calibri" w:hAnsi="Calibri" w:cs="Calibri"/>
                <w:color w:val="000000"/>
                <w:sz w:val="22"/>
                <w:szCs w:val="22"/>
              </w:rPr>
            </w:pPr>
            <w:proofErr w:type="spellStart"/>
            <w:r w:rsidRPr="009E3797">
              <w:rPr>
                <w:rFonts w:ascii="Calibri" w:hAnsi="Calibri" w:cs="Calibri"/>
                <w:color w:val="000000"/>
                <w:sz w:val="22"/>
                <w:szCs w:val="22"/>
              </w:rPr>
              <w:t>topology_undulated</w:t>
            </w:r>
            <w:proofErr w:type="spellEnd"/>
          </w:p>
        </w:tc>
        <w:tc>
          <w:tcPr>
            <w:tcW w:w="964" w:type="dxa"/>
            <w:tcBorders>
              <w:top w:val="nil"/>
              <w:left w:val="nil"/>
              <w:bottom w:val="single" w:sz="4" w:space="0" w:color="auto"/>
              <w:right w:val="single" w:sz="4" w:space="0" w:color="auto"/>
            </w:tcBorders>
            <w:shd w:val="clear" w:color="auto" w:fill="auto"/>
            <w:noWrap/>
            <w:vAlign w:val="bottom"/>
            <w:hideMark/>
          </w:tcPr>
          <w:p w14:paraId="1FAB7448"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Binary</w:t>
            </w:r>
          </w:p>
        </w:tc>
        <w:tc>
          <w:tcPr>
            <w:tcW w:w="1139" w:type="dxa"/>
            <w:tcBorders>
              <w:top w:val="nil"/>
              <w:left w:val="nil"/>
              <w:bottom w:val="single" w:sz="4" w:space="0" w:color="auto"/>
              <w:right w:val="single" w:sz="4" w:space="0" w:color="auto"/>
            </w:tcBorders>
            <w:shd w:val="clear" w:color="auto" w:fill="auto"/>
            <w:noWrap/>
            <w:vAlign w:val="bottom"/>
          </w:tcPr>
          <w:p w14:paraId="0F98B711" w14:textId="67F3C82E" w:rsidR="009E3797" w:rsidRPr="009E3797" w:rsidRDefault="00BF55AC" w:rsidP="009E3797">
            <w:pPr>
              <w:jc w:val="right"/>
              <w:rPr>
                <w:rFonts w:ascii="Calibri" w:hAnsi="Calibri" w:cs="Calibri"/>
                <w:color w:val="000000"/>
                <w:sz w:val="22"/>
                <w:szCs w:val="22"/>
              </w:rPr>
            </w:pPr>
            <w:r w:rsidRPr="00BF55AC">
              <w:rPr>
                <w:rFonts w:ascii="Calibri" w:hAnsi="Calibri" w:cs="Calibri"/>
                <w:color w:val="000000"/>
                <w:sz w:val="22"/>
                <w:szCs w:val="22"/>
              </w:rPr>
              <w:t xml:space="preserve">0.0103      </w:t>
            </w:r>
          </w:p>
        </w:tc>
        <w:tc>
          <w:tcPr>
            <w:tcW w:w="1248" w:type="dxa"/>
            <w:tcBorders>
              <w:top w:val="nil"/>
              <w:left w:val="nil"/>
              <w:bottom w:val="single" w:sz="4" w:space="0" w:color="auto"/>
              <w:right w:val="single" w:sz="4" w:space="0" w:color="auto"/>
            </w:tcBorders>
            <w:shd w:val="clear" w:color="auto" w:fill="auto"/>
            <w:noWrap/>
            <w:vAlign w:val="bottom"/>
          </w:tcPr>
          <w:p w14:paraId="70B3B089" w14:textId="53B115B4"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0.0333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38885BCD" w14:textId="62C4EE00"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0.0231       </w:t>
            </w:r>
          </w:p>
        </w:tc>
        <w:tc>
          <w:tcPr>
            <w:tcW w:w="1248" w:type="dxa"/>
            <w:tcBorders>
              <w:top w:val="nil"/>
              <w:left w:val="nil"/>
              <w:bottom w:val="single" w:sz="4" w:space="0" w:color="auto"/>
              <w:right w:val="single" w:sz="4" w:space="0" w:color="auto"/>
            </w:tcBorders>
            <w:shd w:val="clear" w:color="auto" w:fill="auto"/>
            <w:noWrap/>
            <w:vAlign w:val="bottom"/>
          </w:tcPr>
          <w:p w14:paraId="62368DD4" w14:textId="7F3BFF9B"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0.0333       </w:t>
            </w:r>
          </w:p>
        </w:tc>
        <w:tc>
          <w:tcPr>
            <w:tcW w:w="1248" w:type="dxa"/>
            <w:tcBorders>
              <w:top w:val="nil"/>
              <w:left w:val="nil"/>
              <w:bottom w:val="single" w:sz="4" w:space="0" w:color="auto"/>
              <w:right w:val="single" w:sz="4" w:space="0" w:color="auto"/>
            </w:tcBorders>
            <w:shd w:val="clear" w:color="auto" w:fill="auto"/>
            <w:noWrap/>
            <w:vAlign w:val="bottom"/>
          </w:tcPr>
          <w:p w14:paraId="61EBED5B" w14:textId="184BA096"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 xml:space="preserve">0.0333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32FDB91D" w14:textId="285C4BB9" w:rsidR="009E3797" w:rsidRPr="009E3797" w:rsidRDefault="0089544B" w:rsidP="009E3797">
            <w:pPr>
              <w:jc w:val="right"/>
              <w:rPr>
                <w:rFonts w:ascii="Calibri" w:hAnsi="Calibri" w:cs="Calibri"/>
                <w:color w:val="000000"/>
                <w:sz w:val="22"/>
                <w:szCs w:val="22"/>
              </w:rPr>
            </w:pPr>
            <w:r w:rsidRPr="00BF55AC">
              <w:rPr>
                <w:rFonts w:ascii="Calibri" w:hAnsi="Calibri" w:cs="Calibri"/>
                <w:color w:val="000000"/>
                <w:sz w:val="22"/>
                <w:szCs w:val="22"/>
              </w:rPr>
              <w:t>0.0000</w:t>
            </w:r>
          </w:p>
        </w:tc>
      </w:tr>
      <w:tr w:rsidR="009E3797" w:rsidRPr="009E3797" w14:paraId="1393EC12"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607A7512" w14:textId="4889C645" w:rsidR="009E3797" w:rsidRPr="009E3797" w:rsidRDefault="009E3797" w:rsidP="009E3797">
            <w:pPr>
              <w:rPr>
                <w:rFonts w:ascii="Calibri" w:hAnsi="Calibri" w:cs="Calibri"/>
                <w:color w:val="000000"/>
                <w:sz w:val="22"/>
                <w:szCs w:val="22"/>
              </w:rPr>
            </w:pPr>
            <w:proofErr w:type="spellStart"/>
            <w:r w:rsidRPr="009E3797">
              <w:rPr>
                <w:rFonts w:ascii="Calibri" w:hAnsi="Calibri" w:cs="Calibri"/>
                <w:color w:val="000000"/>
                <w:sz w:val="22"/>
                <w:szCs w:val="22"/>
              </w:rPr>
              <w:t>topology_</w:t>
            </w:r>
            <w:r w:rsidR="00B637B6">
              <w:rPr>
                <w:rFonts w:ascii="Calibri" w:hAnsi="Calibri" w:cs="Calibri"/>
                <w:color w:val="000000"/>
                <w:sz w:val="22"/>
                <w:szCs w:val="22"/>
              </w:rPr>
              <w:t>f</w:t>
            </w:r>
            <w:r w:rsidRPr="009E3797">
              <w:rPr>
                <w:rFonts w:ascii="Calibri" w:hAnsi="Calibri" w:cs="Calibri"/>
                <w:color w:val="000000"/>
                <w:sz w:val="22"/>
                <w:szCs w:val="22"/>
              </w:rPr>
              <w:t>lat</w:t>
            </w:r>
            <w:proofErr w:type="spellEnd"/>
          </w:p>
        </w:tc>
        <w:tc>
          <w:tcPr>
            <w:tcW w:w="964" w:type="dxa"/>
            <w:tcBorders>
              <w:top w:val="nil"/>
              <w:left w:val="nil"/>
              <w:bottom w:val="single" w:sz="4" w:space="0" w:color="auto"/>
              <w:right w:val="single" w:sz="4" w:space="0" w:color="auto"/>
            </w:tcBorders>
            <w:shd w:val="clear" w:color="auto" w:fill="auto"/>
            <w:noWrap/>
            <w:vAlign w:val="bottom"/>
            <w:hideMark/>
          </w:tcPr>
          <w:p w14:paraId="54EA186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Binary</w:t>
            </w:r>
          </w:p>
        </w:tc>
        <w:tc>
          <w:tcPr>
            <w:tcW w:w="1139" w:type="dxa"/>
            <w:tcBorders>
              <w:top w:val="nil"/>
              <w:left w:val="nil"/>
              <w:bottom w:val="single" w:sz="4" w:space="0" w:color="auto"/>
              <w:right w:val="single" w:sz="4" w:space="0" w:color="auto"/>
            </w:tcBorders>
            <w:shd w:val="clear" w:color="auto" w:fill="auto"/>
            <w:noWrap/>
            <w:vAlign w:val="bottom"/>
          </w:tcPr>
          <w:p w14:paraId="33B6A0E6" w14:textId="70A4FCCB" w:rsidR="009E3797" w:rsidRPr="009E3797" w:rsidRDefault="00A11512" w:rsidP="009E3797">
            <w:pPr>
              <w:jc w:val="right"/>
              <w:rPr>
                <w:rFonts w:ascii="Calibri" w:hAnsi="Calibri" w:cs="Calibri"/>
                <w:color w:val="000000"/>
                <w:sz w:val="22"/>
                <w:szCs w:val="22"/>
              </w:rPr>
            </w:pPr>
            <w:r w:rsidRPr="00A11512">
              <w:rPr>
                <w:rFonts w:ascii="Calibri" w:hAnsi="Calibri" w:cs="Calibri"/>
                <w:color w:val="000000"/>
                <w:sz w:val="22"/>
                <w:szCs w:val="22"/>
              </w:rPr>
              <w:t xml:space="preserve">0.6106      </w:t>
            </w:r>
          </w:p>
        </w:tc>
        <w:tc>
          <w:tcPr>
            <w:tcW w:w="1248" w:type="dxa"/>
            <w:tcBorders>
              <w:top w:val="nil"/>
              <w:left w:val="nil"/>
              <w:bottom w:val="single" w:sz="4" w:space="0" w:color="auto"/>
              <w:right w:val="single" w:sz="4" w:space="0" w:color="auto"/>
            </w:tcBorders>
            <w:shd w:val="clear" w:color="auto" w:fill="auto"/>
            <w:noWrap/>
            <w:vAlign w:val="bottom"/>
          </w:tcPr>
          <w:p w14:paraId="004778F7" w14:textId="5C010F2F"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0.7033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50F8544D" w14:textId="6EE0CF5C"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0.0927       </w:t>
            </w:r>
          </w:p>
        </w:tc>
        <w:tc>
          <w:tcPr>
            <w:tcW w:w="1248" w:type="dxa"/>
            <w:tcBorders>
              <w:top w:val="nil"/>
              <w:left w:val="nil"/>
              <w:bottom w:val="single" w:sz="4" w:space="0" w:color="auto"/>
              <w:right w:val="single" w:sz="4" w:space="0" w:color="auto"/>
            </w:tcBorders>
            <w:shd w:val="clear" w:color="auto" w:fill="auto"/>
            <w:noWrap/>
            <w:vAlign w:val="bottom"/>
          </w:tcPr>
          <w:p w14:paraId="61C6ED22" w14:textId="6E9018CF"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0.7033       </w:t>
            </w:r>
          </w:p>
        </w:tc>
        <w:tc>
          <w:tcPr>
            <w:tcW w:w="1248" w:type="dxa"/>
            <w:tcBorders>
              <w:top w:val="nil"/>
              <w:left w:val="nil"/>
              <w:bottom w:val="single" w:sz="4" w:space="0" w:color="auto"/>
              <w:right w:val="single" w:sz="4" w:space="0" w:color="auto"/>
            </w:tcBorders>
            <w:shd w:val="clear" w:color="auto" w:fill="auto"/>
            <w:noWrap/>
            <w:vAlign w:val="bottom"/>
          </w:tcPr>
          <w:p w14:paraId="27840D71" w14:textId="358BFD1F"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0.7033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10046499" w14:textId="567A615B"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0.0000</w:t>
            </w:r>
          </w:p>
        </w:tc>
      </w:tr>
      <w:tr w:rsidR="009E3797" w:rsidRPr="009E3797" w14:paraId="785BE351"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2CD421A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forest cover in 2010 in ha</w:t>
            </w:r>
          </w:p>
        </w:tc>
        <w:tc>
          <w:tcPr>
            <w:tcW w:w="964" w:type="dxa"/>
            <w:tcBorders>
              <w:top w:val="nil"/>
              <w:left w:val="nil"/>
              <w:bottom w:val="single" w:sz="4" w:space="0" w:color="auto"/>
              <w:right w:val="single" w:sz="4" w:space="0" w:color="auto"/>
            </w:tcBorders>
            <w:shd w:val="clear" w:color="auto" w:fill="auto"/>
            <w:noWrap/>
            <w:vAlign w:val="bottom"/>
            <w:hideMark/>
          </w:tcPr>
          <w:p w14:paraId="611B65C5"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nil"/>
              <w:left w:val="nil"/>
              <w:bottom w:val="single" w:sz="4" w:space="0" w:color="auto"/>
              <w:right w:val="single" w:sz="4" w:space="0" w:color="auto"/>
            </w:tcBorders>
            <w:shd w:val="clear" w:color="auto" w:fill="auto"/>
            <w:noWrap/>
            <w:vAlign w:val="bottom"/>
          </w:tcPr>
          <w:p w14:paraId="731C248F" w14:textId="24306157" w:rsidR="009E3797" w:rsidRPr="009E3797" w:rsidRDefault="00A11512" w:rsidP="009E3797">
            <w:pPr>
              <w:jc w:val="right"/>
              <w:rPr>
                <w:rFonts w:ascii="Calibri" w:hAnsi="Calibri" w:cs="Calibri"/>
                <w:color w:val="000000"/>
                <w:sz w:val="22"/>
                <w:szCs w:val="22"/>
              </w:rPr>
            </w:pPr>
            <w:r w:rsidRPr="00A11512">
              <w:rPr>
                <w:rFonts w:ascii="Calibri" w:hAnsi="Calibri" w:cs="Calibri"/>
                <w:color w:val="000000"/>
                <w:sz w:val="22"/>
                <w:szCs w:val="22"/>
              </w:rPr>
              <w:t xml:space="preserve">6412.9315  </w:t>
            </w:r>
          </w:p>
        </w:tc>
        <w:tc>
          <w:tcPr>
            <w:tcW w:w="1248" w:type="dxa"/>
            <w:tcBorders>
              <w:top w:val="nil"/>
              <w:left w:val="nil"/>
              <w:bottom w:val="single" w:sz="4" w:space="0" w:color="auto"/>
              <w:right w:val="single" w:sz="4" w:space="0" w:color="auto"/>
            </w:tcBorders>
            <w:shd w:val="clear" w:color="auto" w:fill="auto"/>
            <w:noWrap/>
            <w:vAlign w:val="bottom"/>
          </w:tcPr>
          <w:p w14:paraId="19B374AB" w14:textId="37394912"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25963.0422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148F7B32" w14:textId="63ADB6D0"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0.2087   </w:t>
            </w:r>
          </w:p>
        </w:tc>
        <w:tc>
          <w:tcPr>
            <w:tcW w:w="1248" w:type="dxa"/>
            <w:tcBorders>
              <w:top w:val="nil"/>
              <w:left w:val="nil"/>
              <w:bottom w:val="single" w:sz="4" w:space="0" w:color="auto"/>
              <w:right w:val="single" w:sz="4" w:space="0" w:color="auto"/>
            </w:tcBorders>
            <w:shd w:val="clear" w:color="auto" w:fill="auto"/>
            <w:noWrap/>
            <w:vAlign w:val="bottom"/>
          </w:tcPr>
          <w:p w14:paraId="5F75F40B" w14:textId="50ECC0CE"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25963.0422   </w:t>
            </w:r>
          </w:p>
        </w:tc>
        <w:tc>
          <w:tcPr>
            <w:tcW w:w="1248" w:type="dxa"/>
            <w:tcBorders>
              <w:top w:val="nil"/>
              <w:left w:val="nil"/>
              <w:bottom w:val="single" w:sz="4" w:space="0" w:color="auto"/>
              <w:right w:val="single" w:sz="4" w:space="0" w:color="auto"/>
            </w:tcBorders>
            <w:shd w:val="clear" w:color="auto" w:fill="auto"/>
            <w:noWrap/>
            <w:vAlign w:val="bottom"/>
          </w:tcPr>
          <w:p w14:paraId="4B2043C1" w14:textId="30B2FAA3"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25963.0422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2FD42353" w14:textId="5D46063F"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0.0000</w:t>
            </w:r>
          </w:p>
        </w:tc>
      </w:tr>
      <w:tr w:rsidR="009E3797" w:rsidRPr="009E3797" w14:paraId="75D22887" w14:textId="77777777" w:rsidTr="0089544B">
        <w:trPr>
          <w:trHeight w:val="312"/>
        </w:trPr>
        <w:tc>
          <w:tcPr>
            <w:tcW w:w="4844" w:type="dxa"/>
            <w:tcBorders>
              <w:top w:val="nil"/>
              <w:left w:val="single" w:sz="4" w:space="0" w:color="auto"/>
              <w:bottom w:val="single" w:sz="4" w:space="0" w:color="auto"/>
              <w:right w:val="single" w:sz="4" w:space="0" w:color="auto"/>
            </w:tcBorders>
            <w:shd w:val="clear" w:color="auto" w:fill="auto"/>
            <w:noWrap/>
            <w:vAlign w:val="bottom"/>
            <w:hideMark/>
          </w:tcPr>
          <w:p w14:paraId="782C9528" w14:textId="4D113352"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Forest cover loss 2000-20</w:t>
            </w:r>
            <w:r w:rsidR="00AD7CDF">
              <w:rPr>
                <w:rFonts w:ascii="Calibri" w:hAnsi="Calibri" w:cs="Calibri"/>
                <w:color w:val="000000"/>
                <w:sz w:val="22"/>
                <w:szCs w:val="22"/>
              </w:rPr>
              <w:t>04</w:t>
            </w:r>
            <w:r w:rsidRPr="009E3797">
              <w:rPr>
                <w:rFonts w:ascii="Calibri" w:hAnsi="Calibri" w:cs="Calibri"/>
                <w:color w:val="000000"/>
                <w:sz w:val="22"/>
                <w:szCs w:val="22"/>
              </w:rPr>
              <w:t xml:space="preserve"> in % of forest cover in 20</w:t>
            </w:r>
            <w:r w:rsidR="00CA7E24">
              <w:rPr>
                <w:rFonts w:ascii="Calibri" w:hAnsi="Calibri" w:cs="Calibri"/>
                <w:color w:val="000000"/>
                <w:sz w:val="22"/>
                <w:szCs w:val="22"/>
              </w:rPr>
              <w:t>0</w:t>
            </w:r>
            <w:r w:rsidRPr="009E3797">
              <w:rPr>
                <w:rFonts w:ascii="Calibri" w:hAnsi="Calibri" w:cs="Calibri"/>
                <w:color w:val="000000"/>
                <w:sz w:val="22"/>
                <w:szCs w:val="22"/>
              </w:rPr>
              <w:t>0</w:t>
            </w:r>
          </w:p>
        </w:tc>
        <w:tc>
          <w:tcPr>
            <w:tcW w:w="964" w:type="dxa"/>
            <w:tcBorders>
              <w:top w:val="nil"/>
              <w:left w:val="nil"/>
              <w:bottom w:val="single" w:sz="4" w:space="0" w:color="auto"/>
              <w:right w:val="single" w:sz="4" w:space="0" w:color="auto"/>
            </w:tcBorders>
            <w:shd w:val="clear" w:color="auto" w:fill="auto"/>
            <w:noWrap/>
            <w:vAlign w:val="bottom"/>
            <w:hideMark/>
          </w:tcPr>
          <w:p w14:paraId="61630DC0"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nil"/>
              <w:left w:val="nil"/>
              <w:bottom w:val="single" w:sz="4" w:space="0" w:color="auto"/>
              <w:right w:val="single" w:sz="4" w:space="0" w:color="auto"/>
            </w:tcBorders>
            <w:shd w:val="clear" w:color="auto" w:fill="auto"/>
            <w:noWrap/>
            <w:vAlign w:val="bottom"/>
          </w:tcPr>
          <w:p w14:paraId="30136015" w14:textId="50E49935" w:rsidR="009E3797" w:rsidRPr="009E3797" w:rsidRDefault="00A11512" w:rsidP="00A11512">
            <w:pPr>
              <w:jc w:val="right"/>
              <w:rPr>
                <w:rFonts w:ascii="Calibri" w:hAnsi="Calibri" w:cs="Calibri"/>
                <w:color w:val="000000"/>
                <w:sz w:val="22"/>
                <w:szCs w:val="22"/>
              </w:rPr>
            </w:pPr>
            <w:r w:rsidRPr="00A11512">
              <w:rPr>
                <w:rFonts w:ascii="Calibri" w:hAnsi="Calibri" w:cs="Calibri"/>
                <w:color w:val="000000"/>
                <w:sz w:val="22"/>
                <w:szCs w:val="22"/>
              </w:rPr>
              <w:t xml:space="preserve">28.8166      </w:t>
            </w:r>
          </w:p>
        </w:tc>
        <w:tc>
          <w:tcPr>
            <w:tcW w:w="1248" w:type="dxa"/>
            <w:tcBorders>
              <w:top w:val="nil"/>
              <w:left w:val="nil"/>
              <w:bottom w:val="single" w:sz="4" w:space="0" w:color="auto"/>
              <w:right w:val="single" w:sz="4" w:space="0" w:color="auto"/>
            </w:tcBorders>
            <w:shd w:val="clear" w:color="auto" w:fill="auto"/>
            <w:noWrap/>
            <w:vAlign w:val="bottom"/>
          </w:tcPr>
          <w:p w14:paraId="7259DD98" w14:textId="0E7A9BA5"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3.7824     </w:t>
            </w:r>
          </w:p>
        </w:tc>
        <w:tc>
          <w:tcPr>
            <w:tcW w:w="1559" w:type="dxa"/>
            <w:tcBorders>
              <w:top w:val="nil"/>
              <w:left w:val="nil"/>
              <w:bottom w:val="single" w:sz="4" w:space="0" w:color="auto"/>
              <w:right w:val="single" w:sz="4" w:space="0" w:color="auto"/>
            </w:tcBorders>
            <w:shd w:val="clear" w:color="auto" w:fill="A6A6A6" w:themeFill="background1" w:themeFillShade="A6"/>
            <w:noWrap/>
            <w:vAlign w:val="bottom"/>
          </w:tcPr>
          <w:p w14:paraId="7C96F37F" w14:textId="66B0E301"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-3.5275       </w:t>
            </w:r>
          </w:p>
        </w:tc>
        <w:tc>
          <w:tcPr>
            <w:tcW w:w="1248" w:type="dxa"/>
            <w:tcBorders>
              <w:top w:val="nil"/>
              <w:left w:val="nil"/>
              <w:bottom w:val="single" w:sz="4" w:space="0" w:color="auto"/>
              <w:right w:val="single" w:sz="4" w:space="0" w:color="auto"/>
            </w:tcBorders>
            <w:shd w:val="clear" w:color="auto" w:fill="auto"/>
            <w:noWrap/>
            <w:vAlign w:val="bottom"/>
          </w:tcPr>
          <w:p w14:paraId="460842E7" w14:textId="284EB6C4"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3.7824       </w:t>
            </w:r>
          </w:p>
        </w:tc>
        <w:tc>
          <w:tcPr>
            <w:tcW w:w="1248" w:type="dxa"/>
            <w:tcBorders>
              <w:top w:val="nil"/>
              <w:left w:val="nil"/>
              <w:bottom w:val="single" w:sz="4" w:space="0" w:color="auto"/>
              <w:right w:val="single" w:sz="4" w:space="0" w:color="auto"/>
            </w:tcBorders>
            <w:shd w:val="clear" w:color="auto" w:fill="auto"/>
            <w:noWrap/>
            <w:vAlign w:val="bottom"/>
          </w:tcPr>
          <w:p w14:paraId="45FB63D2" w14:textId="2535D9D2"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3.7824      </w:t>
            </w:r>
          </w:p>
        </w:tc>
        <w:tc>
          <w:tcPr>
            <w:tcW w:w="1465" w:type="dxa"/>
            <w:tcBorders>
              <w:top w:val="nil"/>
              <w:left w:val="nil"/>
              <w:bottom w:val="single" w:sz="4" w:space="0" w:color="auto"/>
              <w:right w:val="single" w:sz="4" w:space="0" w:color="auto"/>
            </w:tcBorders>
            <w:shd w:val="clear" w:color="auto" w:fill="A6A6A6" w:themeFill="background1" w:themeFillShade="A6"/>
            <w:noWrap/>
            <w:vAlign w:val="bottom"/>
          </w:tcPr>
          <w:p w14:paraId="58314934" w14:textId="1DF211B3" w:rsidR="009E3797" w:rsidRPr="009E379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-0.0000</w:t>
            </w:r>
          </w:p>
        </w:tc>
      </w:tr>
      <w:tr w:rsidR="00953FB4" w:rsidRPr="009E3797" w14:paraId="38C4AA55" w14:textId="77777777" w:rsidTr="0089544B">
        <w:trPr>
          <w:trHeight w:val="312"/>
        </w:trPr>
        <w:tc>
          <w:tcPr>
            <w:tcW w:w="4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52F807" w14:textId="52EA539D" w:rsidR="00953FB4" w:rsidRPr="009E3797" w:rsidRDefault="00AD7CDF" w:rsidP="009E3797">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4</w:t>
            </w:r>
            <w:r w:rsidRPr="009E3797">
              <w:rPr>
                <w:rFonts w:ascii="Calibri" w:hAnsi="Calibri" w:cs="Calibri"/>
                <w:color w:val="000000"/>
                <w:sz w:val="22"/>
                <w:szCs w:val="22"/>
              </w:rPr>
              <w:t>-20</w:t>
            </w:r>
            <w:r>
              <w:rPr>
                <w:rFonts w:ascii="Calibri" w:hAnsi="Calibri" w:cs="Calibri"/>
                <w:color w:val="000000"/>
                <w:sz w:val="22"/>
                <w:szCs w:val="22"/>
              </w:rPr>
              <w:t>07</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6B01F77C" w14:textId="18391C16" w:rsidR="00953FB4" w:rsidRPr="009E3797" w:rsidRDefault="00440E76"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single" w:sz="4" w:space="0" w:color="auto"/>
              <w:left w:val="nil"/>
              <w:bottom w:val="single" w:sz="4" w:space="0" w:color="auto"/>
              <w:right w:val="single" w:sz="4" w:space="0" w:color="auto"/>
            </w:tcBorders>
            <w:shd w:val="clear" w:color="auto" w:fill="auto"/>
            <w:noWrap/>
            <w:vAlign w:val="bottom"/>
          </w:tcPr>
          <w:p w14:paraId="68185602" w14:textId="29BAF7C9" w:rsidR="00A11512" w:rsidRPr="00A11512" w:rsidRDefault="00A11512" w:rsidP="00A11512">
            <w:pPr>
              <w:jc w:val="right"/>
              <w:rPr>
                <w:rFonts w:ascii="Calibri" w:hAnsi="Calibri" w:cs="Calibri"/>
                <w:color w:val="000000"/>
                <w:sz w:val="22"/>
                <w:szCs w:val="22"/>
              </w:rPr>
            </w:pPr>
            <w:r w:rsidRPr="00A11512">
              <w:rPr>
                <w:rFonts w:ascii="Calibri" w:hAnsi="Calibri" w:cs="Calibri"/>
                <w:color w:val="000000"/>
                <w:sz w:val="22"/>
                <w:szCs w:val="22"/>
              </w:rPr>
              <w:t xml:space="preserve">12.3819      </w:t>
            </w:r>
          </w:p>
          <w:p w14:paraId="4580532C" w14:textId="52789132" w:rsidR="00953FB4" w:rsidRPr="00373077" w:rsidRDefault="00953FB4" w:rsidP="00A11512">
            <w:pPr>
              <w:jc w:val="right"/>
              <w:rPr>
                <w:rFonts w:ascii="Calibri" w:hAnsi="Calibri" w:cs="Calibri"/>
                <w:color w:val="000000"/>
                <w:sz w:val="22"/>
                <w:szCs w:val="22"/>
              </w:rPr>
            </w:pP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67039407" w14:textId="59793EB0" w:rsidR="00953FB4" w:rsidRPr="0037307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1.7514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0F52B09B" w14:textId="6D4CD392" w:rsidR="00953FB4" w:rsidRPr="0037307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-3.3257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724DD889" w14:textId="7178924E" w:rsidR="00953FB4" w:rsidRPr="0037307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1.7514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2F7902BF" w14:textId="4274E6A0" w:rsidR="00953FB4" w:rsidRPr="0037307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 xml:space="preserve">1.7514      </w:t>
            </w:r>
          </w:p>
        </w:tc>
        <w:tc>
          <w:tcPr>
            <w:tcW w:w="1465"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506B2058" w14:textId="19C06138" w:rsidR="00953FB4" w:rsidRPr="00373077" w:rsidRDefault="0089544B" w:rsidP="009E3797">
            <w:pPr>
              <w:jc w:val="right"/>
              <w:rPr>
                <w:rFonts w:ascii="Calibri" w:hAnsi="Calibri" w:cs="Calibri"/>
                <w:color w:val="000000"/>
                <w:sz w:val="22"/>
                <w:szCs w:val="22"/>
              </w:rPr>
            </w:pPr>
            <w:r w:rsidRPr="00A11512">
              <w:rPr>
                <w:rFonts w:ascii="Calibri" w:hAnsi="Calibri" w:cs="Calibri"/>
                <w:color w:val="000000"/>
                <w:sz w:val="22"/>
                <w:szCs w:val="22"/>
              </w:rPr>
              <w:t>-0.0000</w:t>
            </w:r>
          </w:p>
        </w:tc>
      </w:tr>
      <w:tr w:rsidR="00953FB4" w:rsidRPr="009E3797" w14:paraId="641FBE13" w14:textId="77777777" w:rsidTr="0089544B">
        <w:trPr>
          <w:trHeight w:val="312"/>
        </w:trPr>
        <w:tc>
          <w:tcPr>
            <w:tcW w:w="4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C75AF7" w14:textId="75DD9AEB" w:rsidR="00953FB4" w:rsidRPr="009E3797" w:rsidRDefault="00AD7CDF" w:rsidP="009E3797">
            <w:pPr>
              <w:rPr>
                <w:rFonts w:ascii="Calibri" w:hAnsi="Calibri" w:cs="Calibri"/>
                <w:color w:val="000000"/>
                <w:sz w:val="22"/>
                <w:szCs w:val="22"/>
              </w:rPr>
            </w:pPr>
            <w:r w:rsidRPr="009E3797">
              <w:rPr>
                <w:rFonts w:ascii="Calibri" w:hAnsi="Calibri" w:cs="Calibri"/>
                <w:color w:val="000000"/>
                <w:sz w:val="22"/>
                <w:szCs w:val="22"/>
              </w:rPr>
              <w:t>Forest cover loss 200</w:t>
            </w:r>
            <w:r w:rsidR="00DA0AC2">
              <w:rPr>
                <w:rFonts w:ascii="Calibri" w:hAnsi="Calibri" w:cs="Calibri"/>
                <w:color w:val="000000"/>
                <w:sz w:val="22"/>
                <w:szCs w:val="22"/>
              </w:rPr>
              <w:t>7</w:t>
            </w:r>
            <w:r w:rsidRPr="009E3797">
              <w:rPr>
                <w:rFonts w:ascii="Calibri" w:hAnsi="Calibri" w:cs="Calibri"/>
                <w:color w:val="000000"/>
                <w:sz w:val="22"/>
                <w:szCs w:val="22"/>
              </w:rPr>
              <w:t>-20</w:t>
            </w:r>
            <w:r w:rsidR="00DA0AC2">
              <w:rPr>
                <w:rFonts w:ascii="Calibri" w:hAnsi="Calibri" w:cs="Calibri"/>
                <w:color w:val="000000"/>
                <w:sz w:val="22"/>
                <w:szCs w:val="22"/>
              </w:rPr>
              <w:t>10</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59F998A2" w14:textId="61F74671" w:rsidR="00953FB4" w:rsidRPr="009E3797" w:rsidRDefault="00440E76"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single" w:sz="4" w:space="0" w:color="auto"/>
              <w:left w:val="nil"/>
              <w:bottom w:val="single" w:sz="4" w:space="0" w:color="auto"/>
              <w:right w:val="single" w:sz="4" w:space="0" w:color="auto"/>
            </w:tcBorders>
            <w:shd w:val="clear" w:color="auto" w:fill="auto"/>
            <w:noWrap/>
            <w:vAlign w:val="bottom"/>
          </w:tcPr>
          <w:p w14:paraId="57617610" w14:textId="4831B12D" w:rsidR="00953FB4" w:rsidRPr="00373077" w:rsidRDefault="00CC3DC4" w:rsidP="009E3797">
            <w:pPr>
              <w:jc w:val="right"/>
              <w:rPr>
                <w:rFonts w:ascii="Calibri" w:hAnsi="Calibri" w:cs="Calibri"/>
                <w:color w:val="000000"/>
                <w:sz w:val="22"/>
                <w:szCs w:val="22"/>
              </w:rPr>
            </w:pPr>
            <w:r w:rsidRPr="00CC3DC4">
              <w:rPr>
                <w:rFonts w:ascii="Calibri" w:hAnsi="Calibri" w:cs="Calibri"/>
                <w:color w:val="000000"/>
                <w:sz w:val="22"/>
                <w:szCs w:val="22"/>
              </w:rPr>
              <w:t xml:space="preserve">6.9910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50FB1D47" w14:textId="2DB6477A"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1.3070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4C9F01FC" w14:textId="6EDDE03A"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-2.5591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0B1C0E8C" w14:textId="37052D2D"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1.3070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4E66B6D9" w14:textId="20AD6E0D"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1.3070       </w:t>
            </w:r>
          </w:p>
        </w:tc>
        <w:tc>
          <w:tcPr>
            <w:tcW w:w="1465"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55818031" w14:textId="3863B261"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0.0000</w:t>
            </w:r>
          </w:p>
        </w:tc>
      </w:tr>
      <w:tr w:rsidR="00953FB4" w:rsidRPr="009E3797" w14:paraId="74CF71F0" w14:textId="77777777" w:rsidTr="0089544B">
        <w:trPr>
          <w:trHeight w:val="312"/>
        </w:trPr>
        <w:tc>
          <w:tcPr>
            <w:tcW w:w="4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C0CBB9" w14:textId="7E2A2F7F" w:rsidR="00953FB4" w:rsidRPr="009E3797" w:rsidRDefault="00DA0AC2" w:rsidP="009E3797">
            <w:pPr>
              <w:rPr>
                <w:rFonts w:ascii="Calibri" w:hAnsi="Calibri" w:cs="Calibri"/>
                <w:color w:val="000000"/>
                <w:sz w:val="22"/>
                <w:szCs w:val="22"/>
              </w:rPr>
            </w:pPr>
            <w:r>
              <w:rPr>
                <w:rFonts w:ascii="Calibri" w:hAnsi="Calibri" w:cs="Calibri"/>
                <w:color w:val="000000"/>
                <w:sz w:val="22"/>
                <w:szCs w:val="22"/>
              </w:rPr>
              <w:t xml:space="preserve">Household density (in </w:t>
            </w:r>
            <w:r w:rsidR="00440E76">
              <w:rPr>
                <w:rFonts w:ascii="Calibri" w:hAnsi="Calibri" w:cs="Calibri"/>
                <w:color w:val="000000"/>
                <w:sz w:val="22"/>
                <w:szCs w:val="22"/>
              </w:rPr>
              <w:t>#</w:t>
            </w:r>
            <w:r>
              <w:rPr>
                <w:rFonts w:ascii="Calibri" w:hAnsi="Calibri" w:cs="Calibri"/>
                <w:color w:val="000000"/>
                <w:sz w:val="22"/>
                <w:szCs w:val="22"/>
              </w:rPr>
              <w:t xml:space="preserve"> of registered household</w:t>
            </w:r>
            <w:r w:rsidR="00440E76">
              <w:rPr>
                <w:rFonts w:ascii="Calibri" w:hAnsi="Calibri" w:cs="Calibri"/>
                <w:color w:val="000000"/>
                <w:sz w:val="22"/>
                <w:szCs w:val="22"/>
              </w:rPr>
              <w:t>s</w:t>
            </w:r>
            <w:r>
              <w:rPr>
                <w:rFonts w:ascii="Calibri" w:hAnsi="Calibri" w:cs="Calibri"/>
                <w:color w:val="000000"/>
                <w:sz w:val="22"/>
                <w:szCs w:val="22"/>
              </w:rPr>
              <w:t xml:space="preserve"> /</w:t>
            </w:r>
            <w:r w:rsidRPr="009E3797">
              <w:rPr>
                <w:rFonts w:ascii="Calibri" w:hAnsi="Calibri" w:cs="Calibri"/>
                <w:color w:val="000000"/>
                <w:sz w:val="22"/>
                <w:szCs w:val="22"/>
              </w:rPr>
              <w:t xml:space="preserve"> forest cover in 2010 in ha</w:t>
            </w:r>
            <w:r>
              <w:rPr>
                <w:rFonts w:ascii="Calibri" w:hAnsi="Calibri" w:cs="Calibri"/>
                <w:color w:val="000000"/>
                <w:sz w:val="22"/>
                <w:szCs w:val="22"/>
              </w:rPr>
              <w:t>)</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0D5472A5" w14:textId="66563DB5" w:rsidR="00953FB4" w:rsidRPr="009E3797" w:rsidRDefault="00440E76" w:rsidP="009E3797">
            <w:pPr>
              <w:rPr>
                <w:rFonts w:ascii="Calibri" w:hAnsi="Calibri" w:cs="Calibri"/>
                <w:color w:val="000000"/>
                <w:sz w:val="22"/>
                <w:szCs w:val="22"/>
              </w:rPr>
            </w:pPr>
            <w:r w:rsidRPr="009E3797">
              <w:rPr>
                <w:rFonts w:ascii="Calibri" w:hAnsi="Calibri" w:cs="Calibri"/>
                <w:color w:val="000000"/>
                <w:sz w:val="22"/>
                <w:szCs w:val="22"/>
              </w:rPr>
              <w:t>Contin.</w:t>
            </w:r>
          </w:p>
        </w:tc>
        <w:tc>
          <w:tcPr>
            <w:tcW w:w="1139" w:type="dxa"/>
            <w:tcBorders>
              <w:top w:val="single" w:sz="4" w:space="0" w:color="auto"/>
              <w:left w:val="nil"/>
              <w:bottom w:val="single" w:sz="4" w:space="0" w:color="auto"/>
              <w:right w:val="single" w:sz="4" w:space="0" w:color="auto"/>
            </w:tcBorders>
            <w:shd w:val="clear" w:color="auto" w:fill="auto"/>
            <w:noWrap/>
            <w:vAlign w:val="bottom"/>
          </w:tcPr>
          <w:p w14:paraId="7BBECFC5" w14:textId="50C8A0C0" w:rsidR="00953FB4" w:rsidRPr="00373077" w:rsidRDefault="00CC3DC4" w:rsidP="009E3797">
            <w:pPr>
              <w:jc w:val="right"/>
              <w:rPr>
                <w:rFonts w:ascii="Calibri" w:hAnsi="Calibri" w:cs="Calibri"/>
                <w:color w:val="000000"/>
                <w:sz w:val="22"/>
                <w:szCs w:val="22"/>
              </w:rPr>
            </w:pPr>
            <w:r w:rsidRPr="00CC3DC4">
              <w:rPr>
                <w:rFonts w:ascii="Calibri" w:hAnsi="Calibri" w:cs="Calibri"/>
                <w:color w:val="000000"/>
                <w:sz w:val="22"/>
                <w:szCs w:val="22"/>
              </w:rPr>
              <w:t xml:space="preserve">0.8007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6235C2BB" w14:textId="6433B5B3"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0.1523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437C7E0A" w14:textId="6038C5BE"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-2.6222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19FC1403" w14:textId="5C096D45"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0.1523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76986A6A" w14:textId="23CCD8D0"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 xml:space="preserve">0.1523      </w:t>
            </w:r>
          </w:p>
        </w:tc>
        <w:tc>
          <w:tcPr>
            <w:tcW w:w="1465"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50374E9B" w14:textId="04A66CEC" w:rsidR="00953FB4" w:rsidRPr="00373077" w:rsidRDefault="0089544B" w:rsidP="009E3797">
            <w:pPr>
              <w:jc w:val="right"/>
              <w:rPr>
                <w:rFonts w:ascii="Calibri" w:hAnsi="Calibri" w:cs="Calibri"/>
                <w:color w:val="000000"/>
                <w:sz w:val="22"/>
                <w:szCs w:val="22"/>
              </w:rPr>
            </w:pPr>
            <w:r w:rsidRPr="00CC3DC4">
              <w:rPr>
                <w:rFonts w:ascii="Calibri" w:hAnsi="Calibri" w:cs="Calibri"/>
                <w:color w:val="000000"/>
                <w:sz w:val="22"/>
                <w:szCs w:val="22"/>
              </w:rPr>
              <w:t>-0.0000</w:t>
            </w:r>
          </w:p>
        </w:tc>
      </w:tr>
      <w:tr w:rsidR="00BA1137" w:rsidRPr="009E3797" w14:paraId="0CF300D5" w14:textId="77777777" w:rsidTr="0089544B">
        <w:trPr>
          <w:trHeight w:val="70"/>
        </w:trPr>
        <w:tc>
          <w:tcPr>
            <w:tcW w:w="48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49B9F" w14:textId="40B8864E" w:rsidR="00BA1137" w:rsidRDefault="00BA1137" w:rsidP="009E3797">
            <w:pPr>
              <w:rPr>
                <w:rFonts w:ascii="Calibri" w:hAnsi="Calibri" w:cs="Calibri"/>
                <w:color w:val="000000"/>
                <w:sz w:val="22"/>
                <w:szCs w:val="22"/>
              </w:rPr>
            </w:pPr>
            <w:r>
              <w:rPr>
                <w:rFonts w:ascii="Calibri" w:hAnsi="Calibri" w:cs="Calibri"/>
                <w:color w:val="000000"/>
                <w:sz w:val="22"/>
                <w:szCs w:val="22"/>
              </w:rPr>
              <w:t>Municipal Human Development Index 2010</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4B92E4EC" w14:textId="4C7E2769" w:rsidR="00BA1137" w:rsidRPr="009E3797" w:rsidRDefault="00BA1137" w:rsidP="009E3797">
            <w:pPr>
              <w:rPr>
                <w:rFonts w:ascii="Calibri" w:hAnsi="Calibri" w:cs="Calibri"/>
                <w:color w:val="000000"/>
                <w:sz w:val="22"/>
                <w:szCs w:val="22"/>
              </w:rPr>
            </w:pPr>
            <w:r w:rsidRPr="009E3797">
              <w:rPr>
                <w:rFonts w:ascii="Calibri" w:hAnsi="Calibri" w:cs="Calibri"/>
                <w:color w:val="000000"/>
                <w:sz w:val="22"/>
                <w:szCs w:val="22"/>
              </w:rPr>
              <w:t>Contin</w:t>
            </w:r>
            <w:r>
              <w:rPr>
                <w:rFonts w:ascii="Calibri" w:hAnsi="Calibri" w:cs="Calibri"/>
                <w:color w:val="000000"/>
                <w:sz w:val="22"/>
                <w:szCs w:val="22"/>
              </w:rPr>
              <w:t>.</w:t>
            </w:r>
          </w:p>
        </w:tc>
        <w:tc>
          <w:tcPr>
            <w:tcW w:w="1139" w:type="dxa"/>
            <w:tcBorders>
              <w:top w:val="single" w:sz="4" w:space="0" w:color="auto"/>
              <w:left w:val="nil"/>
              <w:bottom w:val="single" w:sz="4" w:space="0" w:color="auto"/>
              <w:right w:val="single" w:sz="4" w:space="0" w:color="auto"/>
            </w:tcBorders>
            <w:shd w:val="clear" w:color="auto" w:fill="auto"/>
            <w:noWrap/>
            <w:vAlign w:val="bottom"/>
          </w:tcPr>
          <w:p w14:paraId="5D651A7C" w14:textId="2E2ABD85" w:rsidR="00BA1137" w:rsidRPr="00F43350" w:rsidRDefault="00015539" w:rsidP="009E3797">
            <w:pPr>
              <w:jc w:val="right"/>
              <w:rPr>
                <w:rFonts w:ascii="Calibri" w:hAnsi="Calibri" w:cs="Calibri"/>
                <w:color w:val="000000"/>
                <w:sz w:val="22"/>
                <w:szCs w:val="22"/>
              </w:rPr>
            </w:pPr>
            <w:r w:rsidRPr="00015539">
              <w:rPr>
                <w:rFonts w:ascii="Calibri" w:hAnsi="Calibri" w:cs="Calibri"/>
                <w:color w:val="000000"/>
                <w:sz w:val="22"/>
                <w:szCs w:val="22"/>
              </w:rPr>
              <w:t xml:space="preserve">0.6014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0AB5F558" w14:textId="36343229" w:rsidR="00BA1137" w:rsidRPr="00F43350" w:rsidRDefault="00015539" w:rsidP="009E3797">
            <w:pPr>
              <w:jc w:val="right"/>
              <w:rPr>
                <w:rFonts w:ascii="Calibri" w:hAnsi="Calibri" w:cs="Calibri"/>
                <w:color w:val="000000"/>
                <w:sz w:val="22"/>
                <w:szCs w:val="22"/>
              </w:rPr>
            </w:pPr>
            <w:r w:rsidRPr="00015539">
              <w:rPr>
                <w:rFonts w:ascii="Calibri" w:hAnsi="Calibri" w:cs="Calibri"/>
                <w:color w:val="000000"/>
                <w:sz w:val="22"/>
                <w:szCs w:val="22"/>
              </w:rPr>
              <w:t xml:space="preserve">0.5670     </w:t>
            </w:r>
          </w:p>
        </w:tc>
        <w:tc>
          <w:tcPr>
            <w:tcW w:w="1559"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0191F2D6" w14:textId="16D07957" w:rsidR="00BA1137" w:rsidRPr="00F43350" w:rsidRDefault="00015539" w:rsidP="009E3797">
            <w:pPr>
              <w:jc w:val="right"/>
              <w:rPr>
                <w:rFonts w:ascii="Calibri" w:hAnsi="Calibri" w:cs="Calibri"/>
                <w:color w:val="000000"/>
                <w:sz w:val="22"/>
                <w:szCs w:val="22"/>
              </w:rPr>
            </w:pPr>
            <w:r w:rsidRPr="00015539">
              <w:rPr>
                <w:rFonts w:ascii="Calibri" w:hAnsi="Calibri" w:cs="Calibri"/>
                <w:color w:val="000000"/>
                <w:sz w:val="22"/>
                <w:szCs w:val="22"/>
              </w:rPr>
              <w:t xml:space="preserve">-0.5483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571DA241" w14:textId="2A762270" w:rsidR="00BA1137" w:rsidRPr="00F43350" w:rsidRDefault="00015539" w:rsidP="009E3797">
            <w:pPr>
              <w:jc w:val="right"/>
              <w:rPr>
                <w:rFonts w:ascii="Calibri" w:hAnsi="Calibri" w:cs="Calibri"/>
                <w:color w:val="000000"/>
                <w:sz w:val="22"/>
                <w:szCs w:val="22"/>
              </w:rPr>
            </w:pPr>
            <w:r w:rsidRPr="00015539">
              <w:rPr>
                <w:rFonts w:ascii="Calibri" w:hAnsi="Calibri" w:cs="Calibri"/>
                <w:color w:val="000000"/>
                <w:sz w:val="22"/>
                <w:szCs w:val="22"/>
              </w:rPr>
              <w:t xml:space="preserve">0.5670       </w:t>
            </w:r>
          </w:p>
        </w:tc>
        <w:tc>
          <w:tcPr>
            <w:tcW w:w="1248" w:type="dxa"/>
            <w:tcBorders>
              <w:top w:val="single" w:sz="4" w:space="0" w:color="auto"/>
              <w:left w:val="nil"/>
              <w:bottom w:val="single" w:sz="4" w:space="0" w:color="auto"/>
              <w:right w:val="single" w:sz="4" w:space="0" w:color="auto"/>
            </w:tcBorders>
            <w:shd w:val="clear" w:color="auto" w:fill="auto"/>
            <w:noWrap/>
            <w:vAlign w:val="bottom"/>
          </w:tcPr>
          <w:p w14:paraId="26E67F64" w14:textId="467E4EC8" w:rsidR="00BA1137" w:rsidRPr="00F43350" w:rsidRDefault="00015539" w:rsidP="009E3797">
            <w:pPr>
              <w:jc w:val="right"/>
              <w:rPr>
                <w:rFonts w:ascii="Calibri" w:hAnsi="Calibri" w:cs="Calibri"/>
                <w:color w:val="000000"/>
                <w:sz w:val="22"/>
                <w:szCs w:val="22"/>
              </w:rPr>
            </w:pPr>
            <w:r w:rsidRPr="00015539">
              <w:rPr>
                <w:rFonts w:ascii="Calibri" w:hAnsi="Calibri" w:cs="Calibri"/>
                <w:color w:val="000000"/>
                <w:sz w:val="22"/>
                <w:szCs w:val="22"/>
              </w:rPr>
              <w:t xml:space="preserve">0.5670     </w:t>
            </w:r>
          </w:p>
        </w:tc>
        <w:tc>
          <w:tcPr>
            <w:tcW w:w="1465" w:type="dxa"/>
            <w:tcBorders>
              <w:top w:val="single" w:sz="4" w:space="0" w:color="auto"/>
              <w:left w:val="nil"/>
              <w:bottom w:val="single" w:sz="4" w:space="0" w:color="auto"/>
              <w:right w:val="single" w:sz="4" w:space="0" w:color="auto"/>
            </w:tcBorders>
            <w:shd w:val="clear" w:color="auto" w:fill="A6A6A6" w:themeFill="background1" w:themeFillShade="A6"/>
            <w:noWrap/>
            <w:vAlign w:val="bottom"/>
          </w:tcPr>
          <w:p w14:paraId="73B1F438" w14:textId="76A126EB" w:rsidR="00BA1137" w:rsidRPr="00F43350" w:rsidRDefault="00015539" w:rsidP="009E3797">
            <w:pPr>
              <w:jc w:val="right"/>
              <w:rPr>
                <w:rFonts w:ascii="Calibri" w:hAnsi="Calibri" w:cs="Calibri"/>
                <w:color w:val="000000"/>
                <w:sz w:val="22"/>
                <w:szCs w:val="22"/>
              </w:rPr>
            </w:pPr>
            <w:r w:rsidRPr="00015539">
              <w:rPr>
                <w:rFonts w:ascii="Calibri" w:hAnsi="Calibri" w:cs="Calibri"/>
                <w:color w:val="000000"/>
                <w:sz w:val="22"/>
                <w:szCs w:val="22"/>
              </w:rPr>
              <w:t>-0.0000</w:t>
            </w:r>
          </w:p>
        </w:tc>
      </w:tr>
    </w:tbl>
    <w:p w14:paraId="750AD4C3" w14:textId="77777777" w:rsidR="009E3797" w:rsidRDefault="009E3797" w:rsidP="00B42F9C">
      <w:pPr>
        <w:pStyle w:val="SMHeading"/>
        <w:rPr>
          <w:rFonts w:ascii="Arial" w:hAnsi="Arial" w:cs="Arial"/>
          <w:sz w:val="20"/>
          <w:szCs w:val="20"/>
        </w:rPr>
      </w:pPr>
    </w:p>
    <w:tbl>
      <w:tblPr>
        <w:tblW w:w="5331" w:type="dxa"/>
        <w:tblLook w:val="04A0" w:firstRow="1" w:lastRow="0" w:firstColumn="1" w:lastColumn="0" w:noHBand="0" w:noVBand="1"/>
      </w:tblPr>
      <w:tblGrid>
        <w:gridCol w:w="3315"/>
        <w:gridCol w:w="992"/>
        <w:gridCol w:w="1024"/>
      </w:tblGrid>
      <w:tr w:rsidR="009E3797" w:rsidRPr="009E3797" w14:paraId="30620EA2" w14:textId="77777777" w:rsidTr="009E3797">
        <w:trPr>
          <w:trHeight w:val="300"/>
        </w:trPr>
        <w:tc>
          <w:tcPr>
            <w:tcW w:w="3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A3E3A7"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 xml:space="preserve">Effective (Weighted) Sample Size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6159D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Control</w:t>
            </w:r>
          </w:p>
        </w:tc>
        <w:tc>
          <w:tcPr>
            <w:tcW w:w="1024" w:type="dxa"/>
            <w:tcBorders>
              <w:top w:val="single" w:sz="4" w:space="0" w:color="auto"/>
              <w:left w:val="nil"/>
              <w:bottom w:val="single" w:sz="4" w:space="0" w:color="auto"/>
              <w:right w:val="single" w:sz="4" w:space="0" w:color="auto"/>
            </w:tcBorders>
            <w:shd w:val="clear" w:color="auto" w:fill="auto"/>
            <w:noWrap/>
            <w:vAlign w:val="bottom"/>
            <w:hideMark/>
          </w:tcPr>
          <w:p w14:paraId="1BC003E4"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Treated</w:t>
            </w:r>
          </w:p>
        </w:tc>
      </w:tr>
      <w:tr w:rsidR="009E3797" w:rsidRPr="009E3797" w14:paraId="6B1C5019" w14:textId="77777777" w:rsidTr="009E3797">
        <w:trPr>
          <w:trHeight w:val="300"/>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3CD8174C"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t>Before Weighting</w:t>
            </w:r>
          </w:p>
        </w:tc>
        <w:tc>
          <w:tcPr>
            <w:tcW w:w="992" w:type="dxa"/>
            <w:tcBorders>
              <w:top w:val="nil"/>
              <w:left w:val="nil"/>
              <w:bottom w:val="single" w:sz="4" w:space="0" w:color="auto"/>
              <w:right w:val="single" w:sz="4" w:space="0" w:color="auto"/>
            </w:tcBorders>
            <w:shd w:val="clear" w:color="auto" w:fill="auto"/>
            <w:noWrap/>
            <w:vAlign w:val="bottom"/>
            <w:hideMark/>
          </w:tcPr>
          <w:p w14:paraId="49028C29" w14:textId="4EBAE6BD" w:rsidR="009E3797" w:rsidRPr="009E3797" w:rsidRDefault="00373077" w:rsidP="009E3797">
            <w:pPr>
              <w:jc w:val="right"/>
              <w:rPr>
                <w:rFonts w:ascii="Calibri" w:hAnsi="Calibri" w:cs="Calibri"/>
                <w:color w:val="000000"/>
                <w:sz w:val="22"/>
                <w:szCs w:val="22"/>
              </w:rPr>
            </w:pPr>
            <w:r>
              <w:rPr>
                <w:rFonts w:ascii="Calibri" w:hAnsi="Calibri" w:cs="Calibri"/>
                <w:color w:val="000000"/>
                <w:sz w:val="22"/>
                <w:szCs w:val="22"/>
              </w:rPr>
              <w:t>1654</w:t>
            </w:r>
          </w:p>
        </w:tc>
        <w:tc>
          <w:tcPr>
            <w:tcW w:w="1024" w:type="dxa"/>
            <w:tcBorders>
              <w:top w:val="nil"/>
              <w:left w:val="nil"/>
              <w:bottom w:val="single" w:sz="4" w:space="0" w:color="auto"/>
              <w:right w:val="single" w:sz="4" w:space="0" w:color="auto"/>
            </w:tcBorders>
            <w:shd w:val="clear" w:color="auto" w:fill="auto"/>
            <w:noWrap/>
            <w:vAlign w:val="bottom"/>
            <w:hideMark/>
          </w:tcPr>
          <w:p w14:paraId="01C7DAAA" w14:textId="59946B6C" w:rsidR="009E3797" w:rsidRPr="009E3797" w:rsidRDefault="00BA1137" w:rsidP="009E3797">
            <w:pPr>
              <w:jc w:val="right"/>
              <w:rPr>
                <w:rFonts w:ascii="Calibri" w:hAnsi="Calibri" w:cs="Calibri"/>
                <w:color w:val="000000"/>
                <w:sz w:val="22"/>
                <w:szCs w:val="22"/>
              </w:rPr>
            </w:pPr>
            <w:r>
              <w:rPr>
                <w:rFonts w:ascii="Calibri" w:hAnsi="Calibri" w:cs="Calibri"/>
                <w:color w:val="000000"/>
                <w:sz w:val="22"/>
                <w:szCs w:val="22"/>
              </w:rPr>
              <w:t>300</w:t>
            </w:r>
          </w:p>
        </w:tc>
      </w:tr>
      <w:tr w:rsidR="009E3797" w:rsidRPr="009E3797" w14:paraId="141CA879" w14:textId="77777777" w:rsidTr="009E3797">
        <w:trPr>
          <w:trHeight w:val="300"/>
        </w:trPr>
        <w:tc>
          <w:tcPr>
            <w:tcW w:w="3315" w:type="dxa"/>
            <w:tcBorders>
              <w:top w:val="nil"/>
              <w:left w:val="single" w:sz="4" w:space="0" w:color="auto"/>
              <w:bottom w:val="single" w:sz="4" w:space="0" w:color="auto"/>
              <w:right w:val="single" w:sz="4" w:space="0" w:color="auto"/>
            </w:tcBorders>
            <w:shd w:val="clear" w:color="auto" w:fill="auto"/>
            <w:noWrap/>
            <w:vAlign w:val="bottom"/>
            <w:hideMark/>
          </w:tcPr>
          <w:p w14:paraId="3839AC98" w14:textId="77777777" w:rsidR="009E3797" w:rsidRPr="009E3797" w:rsidRDefault="009E3797" w:rsidP="009E3797">
            <w:pPr>
              <w:rPr>
                <w:rFonts w:ascii="Calibri" w:hAnsi="Calibri" w:cs="Calibri"/>
                <w:color w:val="000000"/>
                <w:sz w:val="22"/>
                <w:szCs w:val="22"/>
              </w:rPr>
            </w:pPr>
            <w:r w:rsidRPr="009E3797">
              <w:rPr>
                <w:rFonts w:ascii="Calibri" w:hAnsi="Calibri" w:cs="Calibri"/>
                <w:color w:val="000000"/>
                <w:sz w:val="22"/>
                <w:szCs w:val="22"/>
              </w:rPr>
              <w:lastRenderedPageBreak/>
              <w:t>After Weighting</w:t>
            </w:r>
          </w:p>
        </w:tc>
        <w:tc>
          <w:tcPr>
            <w:tcW w:w="992" w:type="dxa"/>
            <w:tcBorders>
              <w:top w:val="nil"/>
              <w:left w:val="nil"/>
              <w:bottom w:val="single" w:sz="4" w:space="0" w:color="auto"/>
              <w:right w:val="single" w:sz="4" w:space="0" w:color="auto"/>
            </w:tcBorders>
            <w:shd w:val="clear" w:color="auto" w:fill="auto"/>
            <w:noWrap/>
            <w:vAlign w:val="bottom"/>
            <w:hideMark/>
          </w:tcPr>
          <w:p w14:paraId="179F2826" w14:textId="4BBFFFD8" w:rsidR="009E3797" w:rsidRPr="009E3797" w:rsidRDefault="00335A08" w:rsidP="00D64517">
            <w:pPr>
              <w:jc w:val="center"/>
              <w:rPr>
                <w:rFonts w:ascii="Calibri" w:hAnsi="Calibri" w:cs="Calibri"/>
                <w:color w:val="000000"/>
                <w:sz w:val="22"/>
                <w:szCs w:val="22"/>
              </w:rPr>
            </w:pPr>
            <w:r w:rsidRPr="00335A08">
              <w:rPr>
                <w:rFonts w:ascii="Calibri" w:hAnsi="Calibri" w:cs="Calibri"/>
                <w:color w:val="000000"/>
                <w:sz w:val="22"/>
                <w:szCs w:val="22"/>
              </w:rPr>
              <w:t>65.87</w:t>
            </w:r>
          </w:p>
        </w:tc>
        <w:tc>
          <w:tcPr>
            <w:tcW w:w="1024" w:type="dxa"/>
            <w:tcBorders>
              <w:top w:val="nil"/>
              <w:left w:val="nil"/>
              <w:bottom w:val="single" w:sz="4" w:space="0" w:color="auto"/>
              <w:right w:val="single" w:sz="4" w:space="0" w:color="auto"/>
            </w:tcBorders>
            <w:shd w:val="clear" w:color="auto" w:fill="auto"/>
            <w:noWrap/>
            <w:vAlign w:val="bottom"/>
            <w:hideMark/>
          </w:tcPr>
          <w:p w14:paraId="4FD406FB" w14:textId="7BE269B8" w:rsidR="009E3797" w:rsidRPr="009E3797" w:rsidRDefault="00BA1137" w:rsidP="009E3797">
            <w:pPr>
              <w:jc w:val="right"/>
              <w:rPr>
                <w:rFonts w:ascii="Calibri" w:hAnsi="Calibri" w:cs="Calibri"/>
                <w:color w:val="000000"/>
                <w:sz w:val="22"/>
                <w:szCs w:val="22"/>
              </w:rPr>
            </w:pPr>
            <w:r>
              <w:rPr>
                <w:rFonts w:ascii="Calibri" w:hAnsi="Calibri" w:cs="Calibri"/>
                <w:color w:val="000000"/>
                <w:sz w:val="22"/>
                <w:szCs w:val="22"/>
              </w:rPr>
              <w:t>300</w:t>
            </w:r>
          </w:p>
        </w:tc>
      </w:tr>
    </w:tbl>
    <w:p w14:paraId="182C9EFC" w14:textId="4607C5AA" w:rsidR="000D5E5B" w:rsidRDefault="000D5E5B" w:rsidP="000D5E5B">
      <w:pPr>
        <w:pStyle w:val="SMHeading"/>
        <w:rPr>
          <w:rFonts w:ascii="Arial" w:hAnsi="Arial" w:cs="Arial"/>
          <w:sz w:val="20"/>
          <w:szCs w:val="20"/>
        </w:rPr>
      </w:pPr>
    </w:p>
    <w:p w14:paraId="3336DBE8" w14:textId="77777777" w:rsidR="000D5E5B" w:rsidRDefault="000D5E5B">
      <w:pPr>
        <w:rPr>
          <w:rFonts w:ascii="Arial" w:hAnsi="Arial" w:cs="Arial"/>
          <w:b/>
          <w:bCs/>
          <w:kern w:val="32"/>
          <w:sz w:val="20"/>
        </w:rPr>
      </w:pPr>
      <w:r>
        <w:rPr>
          <w:rFonts w:ascii="Arial" w:hAnsi="Arial" w:cs="Arial"/>
          <w:sz w:val="20"/>
        </w:rPr>
        <w:br w:type="page"/>
      </w:r>
    </w:p>
    <w:p w14:paraId="6D51B12A" w14:textId="7C6A6188" w:rsidR="000D5E5B" w:rsidRPr="00735667" w:rsidRDefault="008C20C3" w:rsidP="000D5E5B">
      <w:pPr>
        <w:pStyle w:val="SMHeading"/>
        <w:rPr>
          <w:rFonts w:ascii="Arial" w:hAnsi="Arial" w:cs="Arial"/>
          <w:sz w:val="20"/>
          <w:szCs w:val="20"/>
        </w:rPr>
      </w:pPr>
      <w:r w:rsidRPr="00DC623A">
        <w:rPr>
          <w:rFonts w:ascii="Arial" w:hAnsi="Arial" w:cs="Arial"/>
          <w:sz w:val="20"/>
          <w:szCs w:val="20"/>
        </w:rPr>
        <w:lastRenderedPageBreak/>
        <w:t>Table S</w:t>
      </w:r>
      <w:r>
        <w:rPr>
          <w:rFonts w:ascii="Arial" w:hAnsi="Arial" w:cs="Arial"/>
          <w:sz w:val="20"/>
          <w:szCs w:val="20"/>
        </w:rPr>
        <w:t>2</w:t>
      </w:r>
      <w:r w:rsidRPr="00DC623A">
        <w:rPr>
          <w:rFonts w:ascii="Arial" w:hAnsi="Arial" w:cs="Arial"/>
          <w:sz w:val="20"/>
          <w:szCs w:val="20"/>
        </w:rPr>
        <w:t xml:space="preserve">. </w:t>
      </w:r>
      <w:r w:rsidR="000D5E5B">
        <w:rPr>
          <w:rFonts w:ascii="Arial" w:hAnsi="Arial" w:cs="Arial"/>
          <w:sz w:val="20"/>
          <w:szCs w:val="20"/>
        </w:rPr>
        <w:t xml:space="preserve">Covariate </w:t>
      </w:r>
      <w:r w:rsidR="000D5E5B">
        <w:rPr>
          <w:rFonts w:ascii="Arial" w:hAnsi="Arial" w:cs="Arial"/>
          <w:b w:val="0"/>
          <w:sz w:val="20"/>
          <w:szCs w:val="20"/>
        </w:rPr>
        <w:t>Balance Table for enrolled Protected Areas in Amazonia</w:t>
      </w:r>
    </w:p>
    <w:tbl>
      <w:tblPr>
        <w:tblW w:w="12950" w:type="dxa"/>
        <w:tblLook w:val="04A0" w:firstRow="1" w:lastRow="0" w:firstColumn="1" w:lastColumn="0" w:noHBand="0" w:noVBand="1"/>
      </w:tblPr>
      <w:tblGrid>
        <w:gridCol w:w="4097"/>
        <w:gridCol w:w="1096"/>
        <w:gridCol w:w="1451"/>
        <w:gridCol w:w="1180"/>
        <w:gridCol w:w="1383"/>
        <w:gridCol w:w="1180"/>
        <w:gridCol w:w="1180"/>
        <w:gridCol w:w="1383"/>
      </w:tblGrid>
      <w:tr w:rsidR="000D5E5B" w:rsidRPr="008C20C3" w14:paraId="18FF5B6B" w14:textId="77777777" w:rsidTr="000F3320">
        <w:trPr>
          <w:trHeight w:val="305"/>
        </w:trPr>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069B28"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027B33F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w:t>
            </w:r>
          </w:p>
        </w:tc>
        <w:tc>
          <w:tcPr>
            <w:tcW w:w="4004" w:type="dxa"/>
            <w:gridSpan w:val="3"/>
            <w:tcBorders>
              <w:top w:val="single" w:sz="4" w:space="0" w:color="auto"/>
              <w:left w:val="nil"/>
              <w:bottom w:val="single" w:sz="4" w:space="0" w:color="auto"/>
              <w:right w:val="single" w:sz="4" w:space="0" w:color="auto"/>
            </w:tcBorders>
            <w:shd w:val="clear" w:color="auto" w:fill="auto"/>
            <w:vAlign w:val="bottom"/>
            <w:hideMark/>
          </w:tcPr>
          <w:p w14:paraId="4B852388" w14:textId="77777777" w:rsidR="000D5E5B" w:rsidRPr="008C20C3" w:rsidRDefault="000D5E5B" w:rsidP="000F3320">
            <w:pPr>
              <w:jc w:val="center"/>
              <w:rPr>
                <w:rFonts w:ascii="Calibri" w:hAnsi="Calibri" w:cs="Calibri"/>
                <w:color w:val="000000"/>
                <w:sz w:val="22"/>
                <w:szCs w:val="22"/>
              </w:rPr>
            </w:pPr>
            <w:r w:rsidRPr="008C20C3">
              <w:rPr>
                <w:rFonts w:ascii="Calibri" w:hAnsi="Calibri" w:cs="Calibri"/>
                <w:color w:val="000000"/>
                <w:sz w:val="22"/>
                <w:szCs w:val="22"/>
              </w:rPr>
              <w:t>Before Weighting on                                        the Propensity Score</w:t>
            </w:r>
          </w:p>
        </w:tc>
        <w:tc>
          <w:tcPr>
            <w:tcW w:w="3731" w:type="dxa"/>
            <w:gridSpan w:val="3"/>
            <w:tcBorders>
              <w:top w:val="single" w:sz="4" w:space="0" w:color="auto"/>
              <w:left w:val="nil"/>
              <w:bottom w:val="single" w:sz="4" w:space="0" w:color="auto"/>
              <w:right w:val="single" w:sz="4" w:space="0" w:color="auto"/>
            </w:tcBorders>
            <w:shd w:val="clear" w:color="auto" w:fill="auto"/>
            <w:noWrap/>
            <w:vAlign w:val="bottom"/>
            <w:hideMark/>
          </w:tcPr>
          <w:p w14:paraId="4DB0F6F8" w14:textId="77777777" w:rsidR="000D5E5B" w:rsidRPr="008C20C3" w:rsidRDefault="000D5E5B" w:rsidP="000F3320">
            <w:pPr>
              <w:jc w:val="center"/>
              <w:rPr>
                <w:rFonts w:ascii="Calibri" w:hAnsi="Calibri" w:cs="Calibri"/>
                <w:color w:val="000000"/>
                <w:sz w:val="22"/>
                <w:szCs w:val="22"/>
              </w:rPr>
            </w:pPr>
            <w:r w:rsidRPr="008C20C3">
              <w:rPr>
                <w:rFonts w:ascii="Calibri" w:hAnsi="Calibri" w:cs="Calibri"/>
                <w:color w:val="000000"/>
                <w:sz w:val="22"/>
                <w:szCs w:val="22"/>
              </w:rPr>
              <w:t>After Weighting</w:t>
            </w:r>
          </w:p>
        </w:tc>
      </w:tr>
      <w:tr w:rsidR="000D5E5B" w:rsidRPr="008C20C3" w14:paraId="34C99104" w14:textId="77777777" w:rsidTr="000F3320">
        <w:trPr>
          <w:trHeight w:val="152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1762CAC0"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w:t>
            </w:r>
          </w:p>
        </w:tc>
        <w:tc>
          <w:tcPr>
            <w:tcW w:w="1100" w:type="dxa"/>
            <w:tcBorders>
              <w:top w:val="nil"/>
              <w:left w:val="nil"/>
              <w:bottom w:val="single" w:sz="4" w:space="0" w:color="auto"/>
              <w:right w:val="single" w:sz="4" w:space="0" w:color="auto"/>
            </w:tcBorders>
            <w:shd w:val="clear" w:color="auto" w:fill="auto"/>
            <w:noWrap/>
            <w:vAlign w:val="bottom"/>
            <w:hideMark/>
          </w:tcPr>
          <w:p w14:paraId="4408E80A"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Type</w:t>
            </w:r>
          </w:p>
        </w:tc>
        <w:tc>
          <w:tcPr>
            <w:tcW w:w="1457" w:type="dxa"/>
            <w:tcBorders>
              <w:top w:val="nil"/>
              <w:left w:val="nil"/>
              <w:bottom w:val="single" w:sz="4" w:space="0" w:color="auto"/>
              <w:right w:val="single" w:sz="4" w:space="0" w:color="auto"/>
            </w:tcBorders>
            <w:shd w:val="clear" w:color="auto" w:fill="auto"/>
            <w:noWrap/>
            <w:vAlign w:val="bottom"/>
            <w:hideMark/>
          </w:tcPr>
          <w:p w14:paraId="24BA9BA1"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Control</w:t>
            </w:r>
          </w:p>
        </w:tc>
        <w:tc>
          <w:tcPr>
            <w:tcW w:w="1184" w:type="dxa"/>
            <w:tcBorders>
              <w:top w:val="nil"/>
              <w:left w:val="nil"/>
              <w:bottom w:val="single" w:sz="4" w:space="0" w:color="auto"/>
              <w:right w:val="single" w:sz="4" w:space="0" w:color="auto"/>
            </w:tcBorders>
            <w:shd w:val="clear" w:color="auto" w:fill="auto"/>
            <w:noWrap/>
            <w:vAlign w:val="bottom"/>
            <w:hideMark/>
          </w:tcPr>
          <w:p w14:paraId="25F13AB8"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Treated</w:t>
            </w:r>
          </w:p>
        </w:tc>
        <w:tc>
          <w:tcPr>
            <w:tcW w:w="1363" w:type="dxa"/>
            <w:tcBorders>
              <w:top w:val="nil"/>
              <w:left w:val="nil"/>
              <w:bottom w:val="single" w:sz="4" w:space="0" w:color="auto"/>
              <w:right w:val="single" w:sz="4" w:space="0" w:color="auto"/>
            </w:tcBorders>
            <w:shd w:val="clear" w:color="auto" w:fill="A6A6A6" w:themeFill="background1" w:themeFillShade="A6"/>
            <w:vAlign w:val="bottom"/>
            <w:hideMark/>
          </w:tcPr>
          <w:p w14:paraId="32666668"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Standardized Difference in Means</w:t>
            </w:r>
          </w:p>
        </w:tc>
        <w:tc>
          <w:tcPr>
            <w:tcW w:w="1184" w:type="dxa"/>
            <w:tcBorders>
              <w:top w:val="nil"/>
              <w:left w:val="nil"/>
              <w:bottom w:val="single" w:sz="4" w:space="0" w:color="auto"/>
              <w:right w:val="single" w:sz="4" w:space="0" w:color="auto"/>
            </w:tcBorders>
            <w:shd w:val="clear" w:color="auto" w:fill="auto"/>
            <w:noWrap/>
            <w:vAlign w:val="bottom"/>
            <w:hideMark/>
          </w:tcPr>
          <w:p w14:paraId="1D737B2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Control</w:t>
            </w:r>
          </w:p>
        </w:tc>
        <w:tc>
          <w:tcPr>
            <w:tcW w:w="1184" w:type="dxa"/>
            <w:tcBorders>
              <w:top w:val="nil"/>
              <w:left w:val="nil"/>
              <w:bottom w:val="single" w:sz="4" w:space="0" w:color="auto"/>
              <w:right w:val="single" w:sz="4" w:space="0" w:color="auto"/>
            </w:tcBorders>
            <w:shd w:val="clear" w:color="auto" w:fill="auto"/>
            <w:noWrap/>
            <w:vAlign w:val="bottom"/>
            <w:hideMark/>
          </w:tcPr>
          <w:p w14:paraId="724832B3"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Treated</w:t>
            </w:r>
          </w:p>
        </w:tc>
        <w:tc>
          <w:tcPr>
            <w:tcW w:w="1363" w:type="dxa"/>
            <w:tcBorders>
              <w:top w:val="nil"/>
              <w:left w:val="nil"/>
              <w:bottom w:val="single" w:sz="4" w:space="0" w:color="auto"/>
              <w:right w:val="single" w:sz="4" w:space="0" w:color="auto"/>
            </w:tcBorders>
            <w:shd w:val="clear" w:color="auto" w:fill="A6A6A6" w:themeFill="background1" w:themeFillShade="A6"/>
            <w:vAlign w:val="bottom"/>
            <w:hideMark/>
          </w:tcPr>
          <w:p w14:paraId="56CDEB52"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Standardized Difference in Means</w:t>
            </w:r>
          </w:p>
        </w:tc>
      </w:tr>
      <w:tr w:rsidR="000D5E5B" w:rsidRPr="008C20C3" w14:paraId="13706628"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33CD135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Propensity Score</w:t>
            </w:r>
          </w:p>
        </w:tc>
        <w:tc>
          <w:tcPr>
            <w:tcW w:w="1100" w:type="dxa"/>
            <w:tcBorders>
              <w:top w:val="nil"/>
              <w:left w:val="nil"/>
              <w:bottom w:val="single" w:sz="4" w:space="0" w:color="auto"/>
              <w:right w:val="single" w:sz="4" w:space="0" w:color="auto"/>
            </w:tcBorders>
            <w:shd w:val="clear" w:color="auto" w:fill="auto"/>
            <w:noWrap/>
            <w:vAlign w:val="bottom"/>
            <w:hideMark/>
          </w:tcPr>
          <w:p w14:paraId="5D6B654A"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Distance</w:t>
            </w:r>
          </w:p>
        </w:tc>
        <w:tc>
          <w:tcPr>
            <w:tcW w:w="1457" w:type="dxa"/>
            <w:tcBorders>
              <w:top w:val="nil"/>
              <w:left w:val="nil"/>
              <w:bottom w:val="single" w:sz="4" w:space="0" w:color="auto"/>
              <w:right w:val="single" w:sz="4" w:space="0" w:color="auto"/>
            </w:tcBorders>
            <w:shd w:val="clear" w:color="auto" w:fill="auto"/>
            <w:noWrap/>
            <w:vAlign w:val="bottom"/>
          </w:tcPr>
          <w:p w14:paraId="7C19B7AC"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0.4878      </w:t>
            </w:r>
          </w:p>
        </w:tc>
        <w:tc>
          <w:tcPr>
            <w:tcW w:w="1184" w:type="dxa"/>
            <w:tcBorders>
              <w:top w:val="nil"/>
              <w:left w:val="nil"/>
              <w:bottom w:val="single" w:sz="4" w:space="0" w:color="auto"/>
              <w:right w:val="single" w:sz="4" w:space="0" w:color="auto"/>
            </w:tcBorders>
            <w:shd w:val="clear" w:color="auto" w:fill="auto"/>
            <w:noWrap/>
            <w:vAlign w:val="bottom"/>
          </w:tcPr>
          <w:p w14:paraId="01A841FE"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0.8087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EF84E2B"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1.8459       </w:t>
            </w:r>
          </w:p>
        </w:tc>
        <w:tc>
          <w:tcPr>
            <w:tcW w:w="1184" w:type="dxa"/>
            <w:tcBorders>
              <w:top w:val="nil"/>
              <w:left w:val="nil"/>
              <w:bottom w:val="single" w:sz="4" w:space="0" w:color="auto"/>
              <w:right w:val="single" w:sz="4" w:space="0" w:color="auto"/>
            </w:tcBorders>
            <w:shd w:val="clear" w:color="auto" w:fill="auto"/>
            <w:noWrap/>
            <w:vAlign w:val="bottom"/>
          </w:tcPr>
          <w:p w14:paraId="06DB9780"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0.8021       </w:t>
            </w:r>
          </w:p>
        </w:tc>
        <w:tc>
          <w:tcPr>
            <w:tcW w:w="1184" w:type="dxa"/>
            <w:tcBorders>
              <w:top w:val="nil"/>
              <w:left w:val="nil"/>
              <w:bottom w:val="single" w:sz="4" w:space="0" w:color="auto"/>
              <w:right w:val="single" w:sz="4" w:space="0" w:color="auto"/>
            </w:tcBorders>
            <w:shd w:val="clear" w:color="auto" w:fill="auto"/>
            <w:noWrap/>
            <w:vAlign w:val="bottom"/>
          </w:tcPr>
          <w:p w14:paraId="314FBA3E"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0.8087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5AA8A936"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0.0379</w:t>
            </w:r>
          </w:p>
        </w:tc>
      </w:tr>
      <w:tr w:rsidR="000D5E5B" w:rsidRPr="008C20C3" w14:paraId="1FA34C61"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5A0BCD1E"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Distance to road in km</w:t>
            </w:r>
          </w:p>
        </w:tc>
        <w:tc>
          <w:tcPr>
            <w:tcW w:w="1100" w:type="dxa"/>
            <w:tcBorders>
              <w:top w:val="nil"/>
              <w:left w:val="nil"/>
              <w:bottom w:val="single" w:sz="4" w:space="0" w:color="auto"/>
              <w:right w:val="single" w:sz="4" w:space="0" w:color="auto"/>
            </w:tcBorders>
            <w:shd w:val="clear" w:color="auto" w:fill="auto"/>
            <w:noWrap/>
            <w:vAlign w:val="bottom"/>
            <w:hideMark/>
          </w:tcPr>
          <w:p w14:paraId="11C8E7C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63702B4F"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42.3146     </w:t>
            </w:r>
          </w:p>
        </w:tc>
        <w:tc>
          <w:tcPr>
            <w:tcW w:w="1184" w:type="dxa"/>
            <w:tcBorders>
              <w:top w:val="nil"/>
              <w:left w:val="nil"/>
              <w:bottom w:val="single" w:sz="4" w:space="0" w:color="auto"/>
              <w:right w:val="single" w:sz="4" w:space="0" w:color="auto"/>
            </w:tcBorders>
            <w:shd w:val="clear" w:color="auto" w:fill="auto"/>
            <w:noWrap/>
            <w:vAlign w:val="bottom"/>
          </w:tcPr>
          <w:p w14:paraId="613A5F1F"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48.7866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176017E8"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0.1705      </w:t>
            </w:r>
          </w:p>
        </w:tc>
        <w:tc>
          <w:tcPr>
            <w:tcW w:w="1184" w:type="dxa"/>
            <w:tcBorders>
              <w:top w:val="nil"/>
              <w:left w:val="nil"/>
              <w:bottom w:val="single" w:sz="4" w:space="0" w:color="auto"/>
              <w:right w:val="single" w:sz="4" w:space="0" w:color="auto"/>
            </w:tcBorders>
            <w:shd w:val="clear" w:color="auto" w:fill="auto"/>
            <w:noWrap/>
            <w:vAlign w:val="bottom"/>
          </w:tcPr>
          <w:p w14:paraId="5C81EB7B"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36.8362      </w:t>
            </w:r>
          </w:p>
        </w:tc>
        <w:tc>
          <w:tcPr>
            <w:tcW w:w="1184" w:type="dxa"/>
            <w:tcBorders>
              <w:top w:val="nil"/>
              <w:left w:val="nil"/>
              <w:bottom w:val="single" w:sz="4" w:space="0" w:color="auto"/>
              <w:right w:val="single" w:sz="4" w:space="0" w:color="auto"/>
            </w:tcBorders>
            <w:shd w:val="clear" w:color="auto" w:fill="auto"/>
            <w:noWrap/>
            <w:vAlign w:val="bottom"/>
          </w:tcPr>
          <w:p w14:paraId="7F33C378"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48.7866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FDEC11C"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0.3149</w:t>
            </w:r>
          </w:p>
        </w:tc>
      </w:tr>
      <w:tr w:rsidR="000D5E5B" w:rsidRPr="008C20C3" w14:paraId="67220955"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56B5ECCB"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Distance to rivers in km</w:t>
            </w:r>
          </w:p>
        </w:tc>
        <w:tc>
          <w:tcPr>
            <w:tcW w:w="1100" w:type="dxa"/>
            <w:tcBorders>
              <w:top w:val="nil"/>
              <w:left w:val="nil"/>
              <w:bottom w:val="single" w:sz="4" w:space="0" w:color="auto"/>
              <w:right w:val="single" w:sz="4" w:space="0" w:color="auto"/>
            </w:tcBorders>
            <w:shd w:val="clear" w:color="auto" w:fill="auto"/>
            <w:noWrap/>
            <w:vAlign w:val="bottom"/>
            <w:hideMark/>
          </w:tcPr>
          <w:p w14:paraId="1C4A137F"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60DAAA41"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82.2158     </w:t>
            </w:r>
          </w:p>
        </w:tc>
        <w:tc>
          <w:tcPr>
            <w:tcW w:w="1184" w:type="dxa"/>
            <w:tcBorders>
              <w:top w:val="nil"/>
              <w:left w:val="nil"/>
              <w:bottom w:val="single" w:sz="4" w:space="0" w:color="auto"/>
              <w:right w:val="single" w:sz="4" w:space="0" w:color="auto"/>
            </w:tcBorders>
            <w:shd w:val="clear" w:color="auto" w:fill="auto"/>
            <w:noWrap/>
            <w:vAlign w:val="bottom"/>
          </w:tcPr>
          <w:p w14:paraId="3FC26584"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60.9555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1FBD53FE"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-0.4170      </w:t>
            </w:r>
          </w:p>
        </w:tc>
        <w:tc>
          <w:tcPr>
            <w:tcW w:w="1184" w:type="dxa"/>
            <w:tcBorders>
              <w:top w:val="nil"/>
              <w:left w:val="nil"/>
              <w:bottom w:val="single" w:sz="4" w:space="0" w:color="auto"/>
              <w:right w:val="single" w:sz="4" w:space="0" w:color="auto"/>
            </w:tcBorders>
            <w:shd w:val="clear" w:color="auto" w:fill="auto"/>
            <w:noWrap/>
            <w:vAlign w:val="bottom"/>
          </w:tcPr>
          <w:p w14:paraId="3D4C0559"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54.1003      </w:t>
            </w:r>
          </w:p>
        </w:tc>
        <w:tc>
          <w:tcPr>
            <w:tcW w:w="1184" w:type="dxa"/>
            <w:tcBorders>
              <w:top w:val="nil"/>
              <w:left w:val="nil"/>
              <w:bottom w:val="single" w:sz="4" w:space="0" w:color="auto"/>
              <w:right w:val="single" w:sz="4" w:space="0" w:color="auto"/>
            </w:tcBorders>
            <w:shd w:val="clear" w:color="auto" w:fill="auto"/>
            <w:noWrap/>
            <w:vAlign w:val="bottom"/>
          </w:tcPr>
          <w:p w14:paraId="28760B83"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60.9555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53A474CF"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0.1345</w:t>
            </w:r>
          </w:p>
        </w:tc>
      </w:tr>
      <w:tr w:rsidR="000D5E5B" w:rsidRPr="008C20C3" w14:paraId="2935AFDD"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1FCCDD72"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xml:space="preserve">Travelling time to nearest city (in </w:t>
            </w:r>
            <w:r>
              <w:rPr>
                <w:rFonts w:ascii="Calibri" w:hAnsi="Calibri" w:cs="Calibri"/>
                <w:color w:val="000000"/>
                <w:sz w:val="22"/>
                <w:szCs w:val="22"/>
              </w:rPr>
              <w:t>hours</w:t>
            </w:r>
            <w:r w:rsidRPr="008C20C3">
              <w:rPr>
                <w:rFonts w:ascii="Calibri" w:hAnsi="Calibri" w:cs="Calibri"/>
                <w:color w:val="000000"/>
                <w:sz w:val="22"/>
                <w:szCs w:val="22"/>
              </w:rPr>
              <w:t>)</w:t>
            </w:r>
          </w:p>
        </w:tc>
        <w:tc>
          <w:tcPr>
            <w:tcW w:w="1100" w:type="dxa"/>
            <w:tcBorders>
              <w:top w:val="nil"/>
              <w:left w:val="nil"/>
              <w:bottom w:val="single" w:sz="4" w:space="0" w:color="auto"/>
              <w:right w:val="single" w:sz="4" w:space="0" w:color="auto"/>
            </w:tcBorders>
            <w:shd w:val="clear" w:color="auto" w:fill="auto"/>
            <w:noWrap/>
            <w:vAlign w:val="bottom"/>
            <w:hideMark/>
          </w:tcPr>
          <w:p w14:paraId="1158108B"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7A7F6BD3"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34.6808     </w:t>
            </w:r>
          </w:p>
        </w:tc>
        <w:tc>
          <w:tcPr>
            <w:tcW w:w="1184" w:type="dxa"/>
            <w:tcBorders>
              <w:top w:val="nil"/>
              <w:left w:val="nil"/>
              <w:bottom w:val="single" w:sz="4" w:space="0" w:color="auto"/>
              <w:right w:val="single" w:sz="4" w:space="0" w:color="auto"/>
            </w:tcBorders>
            <w:shd w:val="clear" w:color="auto" w:fill="auto"/>
            <w:noWrap/>
            <w:vAlign w:val="bottom"/>
          </w:tcPr>
          <w:p w14:paraId="05587ADD"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32.1333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E6E117B"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-0.1041      </w:t>
            </w:r>
          </w:p>
        </w:tc>
        <w:tc>
          <w:tcPr>
            <w:tcW w:w="1184" w:type="dxa"/>
            <w:tcBorders>
              <w:top w:val="nil"/>
              <w:left w:val="nil"/>
              <w:bottom w:val="single" w:sz="4" w:space="0" w:color="auto"/>
              <w:right w:val="single" w:sz="4" w:space="0" w:color="auto"/>
            </w:tcBorders>
            <w:shd w:val="clear" w:color="auto" w:fill="auto"/>
            <w:noWrap/>
            <w:vAlign w:val="bottom"/>
          </w:tcPr>
          <w:p w14:paraId="4FA16111"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30.3429      </w:t>
            </w:r>
          </w:p>
        </w:tc>
        <w:tc>
          <w:tcPr>
            <w:tcW w:w="1184" w:type="dxa"/>
            <w:tcBorders>
              <w:top w:val="nil"/>
              <w:left w:val="nil"/>
              <w:bottom w:val="single" w:sz="4" w:space="0" w:color="auto"/>
              <w:right w:val="single" w:sz="4" w:space="0" w:color="auto"/>
            </w:tcBorders>
            <w:shd w:val="clear" w:color="auto" w:fill="auto"/>
            <w:noWrap/>
            <w:vAlign w:val="bottom"/>
          </w:tcPr>
          <w:p w14:paraId="7D15AAA7"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 xml:space="preserve">32.1333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4340D4EF" w14:textId="77777777" w:rsidR="000D5E5B" w:rsidRPr="008C20C3" w:rsidRDefault="000D5E5B" w:rsidP="000F3320">
            <w:pPr>
              <w:jc w:val="right"/>
              <w:rPr>
                <w:rFonts w:ascii="Calibri" w:hAnsi="Calibri" w:cs="Calibri"/>
                <w:color w:val="000000"/>
                <w:sz w:val="22"/>
                <w:szCs w:val="22"/>
              </w:rPr>
            </w:pPr>
            <w:r w:rsidRPr="006A6B84">
              <w:rPr>
                <w:rFonts w:ascii="Calibri" w:hAnsi="Calibri" w:cs="Calibri"/>
                <w:color w:val="000000"/>
                <w:sz w:val="22"/>
                <w:szCs w:val="22"/>
              </w:rPr>
              <w:t>0.0731</w:t>
            </w:r>
          </w:p>
        </w:tc>
      </w:tr>
      <w:tr w:rsidR="000D5E5B" w:rsidRPr="008C20C3" w14:paraId="4594554A"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0BA87F5D"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topology_rugged</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14:paraId="5A2AD09A"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457" w:type="dxa"/>
            <w:tcBorders>
              <w:top w:val="nil"/>
              <w:left w:val="nil"/>
              <w:bottom w:val="single" w:sz="4" w:space="0" w:color="auto"/>
              <w:right w:val="single" w:sz="4" w:space="0" w:color="auto"/>
            </w:tcBorders>
            <w:shd w:val="clear" w:color="auto" w:fill="auto"/>
            <w:noWrap/>
            <w:vAlign w:val="bottom"/>
          </w:tcPr>
          <w:p w14:paraId="3791782A"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0.1500      </w:t>
            </w:r>
          </w:p>
        </w:tc>
        <w:tc>
          <w:tcPr>
            <w:tcW w:w="1184" w:type="dxa"/>
            <w:tcBorders>
              <w:top w:val="nil"/>
              <w:left w:val="nil"/>
              <w:bottom w:val="single" w:sz="4" w:space="0" w:color="auto"/>
              <w:right w:val="single" w:sz="4" w:space="0" w:color="auto"/>
            </w:tcBorders>
            <w:shd w:val="clear" w:color="auto" w:fill="auto"/>
            <w:noWrap/>
            <w:vAlign w:val="bottom"/>
          </w:tcPr>
          <w:p w14:paraId="62BBC364"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0.3333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5843AEE4"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0.1833       </w:t>
            </w:r>
          </w:p>
        </w:tc>
        <w:tc>
          <w:tcPr>
            <w:tcW w:w="1184" w:type="dxa"/>
            <w:tcBorders>
              <w:top w:val="nil"/>
              <w:left w:val="nil"/>
              <w:bottom w:val="single" w:sz="4" w:space="0" w:color="auto"/>
              <w:right w:val="single" w:sz="4" w:space="0" w:color="auto"/>
            </w:tcBorders>
            <w:shd w:val="clear" w:color="auto" w:fill="auto"/>
            <w:noWrap/>
            <w:vAlign w:val="bottom"/>
          </w:tcPr>
          <w:p w14:paraId="37993952"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0.3720       </w:t>
            </w:r>
          </w:p>
        </w:tc>
        <w:tc>
          <w:tcPr>
            <w:tcW w:w="1184" w:type="dxa"/>
            <w:tcBorders>
              <w:top w:val="nil"/>
              <w:left w:val="nil"/>
              <w:bottom w:val="single" w:sz="4" w:space="0" w:color="auto"/>
              <w:right w:val="single" w:sz="4" w:space="0" w:color="auto"/>
            </w:tcBorders>
            <w:shd w:val="clear" w:color="auto" w:fill="auto"/>
            <w:noWrap/>
            <w:vAlign w:val="bottom"/>
          </w:tcPr>
          <w:p w14:paraId="0C38C620"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0.3333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9156A1A"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-0.0387</w:t>
            </w:r>
          </w:p>
        </w:tc>
      </w:tr>
      <w:tr w:rsidR="000D5E5B" w:rsidRPr="008C20C3" w14:paraId="4B237BB9"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6698DCCF"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w:t>
            </w:r>
            <w:r>
              <w:rPr>
                <w:rFonts w:ascii="Calibri" w:hAnsi="Calibri" w:cs="Calibri"/>
                <w:color w:val="000000"/>
                <w:sz w:val="22"/>
                <w:szCs w:val="22"/>
              </w:rPr>
              <w:t>mountainous</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14:paraId="115BE4BE"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457" w:type="dxa"/>
            <w:tcBorders>
              <w:top w:val="nil"/>
              <w:left w:val="nil"/>
              <w:bottom w:val="single" w:sz="4" w:space="0" w:color="auto"/>
              <w:right w:val="single" w:sz="4" w:space="0" w:color="auto"/>
            </w:tcBorders>
            <w:shd w:val="clear" w:color="auto" w:fill="auto"/>
            <w:noWrap/>
            <w:vAlign w:val="bottom"/>
          </w:tcPr>
          <w:p w14:paraId="0D6303F3"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0.3500      </w:t>
            </w:r>
          </w:p>
        </w:tc>
        <w:tc>
          <w:tcPr>
            <w:tcW w:w="1184" w:type="dxa"/>
            <w:tcBorders>
              <w:top w:val="nil"/>
              <w:left w:val="nil"/>
              <w:bottom w:val="single" w:sz="4" w:space="0" w:color="auto"/>
              <w:right w:val="single" w:sz="4" w:space="0" w:color="auto"/>
            </w:tcBorders>
            <w:shd w:val="clear" w:color="auto" w:fill="auto"/>
            <w:noWrap/>
            <w:vAlign w:val="bottom"/>
          </w:tcPr>
          <w:p w14:paraId="2A9B3A39"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0.0588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0157859"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-0.2912       </w:t>
            </w:r>
          </w:p>
        </w:tc>
        <w:tc>
          <w:tcPr>
            <w:tcW w:w="1184" w:type="dxa"/>
            <w:tcBorders>
              <w:top w:val="nil"/>
              <w:left w:val="nil"/>
              <w:bottom w:val="single" w:sz="4" w:space="0" w:color="auto"/>
              <w:right w:val="single" w:sz="4" w:space="0" w:color="auto"/>
            </w:tcBorders>
            <w:shd w:val="clear" w:color="auto" w:fill="auto"/>
            <w:noWrap/>
            <w:vAlign w:val="bottom"/>
          </w:tcPr>
          <w:p w14:paraId="72B6A76D"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0.0680       </w:t>
            </w:r>
          </w:p>
        </w:tc>
        <w:tc>
          <w:tcPr>
            <w:tcW w:w="1184" w:type="dxa"/>
            <w:tcBorders>
              <w:top w:val="nil"/>
              <w:left w:val="nil"/>
              <w:bottom w:val="single" w:sz="4" w:space="0" w:color="auto"/>
              <w:right w:val="single" w:sz="4" w:space="0" w:color="auto"/>
            </w:tcBorders>
            <w:shd w:val="clear" w:color="auto" w:fill="auto"/>
            <w:noWrap/>
            <w:vAlign w:val="bottom"/>
          </w:tcPr>
          <w:p w14:paraId="6441EA2B"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0.0588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4FC17146"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-0.0092</w:t>
            </w:r>
          </w:p>
        </w:tc>
      </w:tr>
      <w:tr w:rsidR="000D5E5B" w:rsidRPr="008C20C3" w14:paraId="61C98613"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2B4E3443"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topology_undulated</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14:paraId="7237AFD3"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457" w:type="dxa"/>
            <w:tcBorders>
              <w:top w:val="nil"/>
              <w:left w:val="nil"/>
              <w:bottom w:val="single" w:sz="4" w:space="0" w:color="auto"/>
              <w:right w:val="single" w:sz="4" w:space="0" w:color="auto"/>
            </w:tcBorders>
            <w:shd w:val="clear" w:color="auto" w:fill="auto"/>
            <w:noWrap/>
            <w:vAlign w:val="bottom"/>
          </w:tcPr>
          <w:p w14:paraId="5D61286A"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0.0500      </w:t>
            </w:r>
          </w:p>
        </w:tc>
        <w:tc>
          <w:tcPr>
            <w:tcW w:w="1184" w:type="dxa"/>
            <w:tcBorders>
              <w:top w:val="nil"/>
              <w:left w:val="nil"/>
              <w:bottom w:val="single" w:sz="4" w:space="0" w:color="auto"/>
              <w:right w:val="single" w:sz="4" w:space="0" w:color="auto"/>
            </w:tcBorders>
            <w:shd w:val="clear" w:color="auto" w:fill="auto"/>
            <w:noWrap/>
            <w:vAlign w:val="bottom"/>
          </w:tcPr>
          <w:p w14:paraId="73584099"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0.1373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1BB32279"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0.0873       </w:t>
            </w:r>
          </w:p>
        </w:tc>
        <w:tc>
          <w:tcPr>
            <w:tcW w:w="1184" w:type="dxa"/>
            <w:tcBorders>
              <w:top w:val="nil"/>
              <w:left w:val="nil"/>
              <w:bottom w:val="single" w:sz="4" w:space="0" w:color="auto"/>
              <w:right w:val="single" w:sz="4" w:space="0" w:color="auto"/>
            </w:tcBorders>
            <w:shd w:val="clear" w:color="auto" w:fill="auto"/>
            <w:noWrap/>
            <w:vAlign w:val="bottom"/>
          </w:tcPr>
          <w:p w14:paraId="423E3D38"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0.2337       </w:t>
            </w:r>
          </w:p>
        </w:tc>
        <w:tc>
          <w:tcPr>
            <w:tcW w:w="1184" w:type="dxa"/>
            <w:tcBorders>
              <w:top w:val="nil"/>
              <w:left w:val="nil"/>
              <w:bottom w:val="single" w:sz="4" w:space="0" w:color="auto"/>
              <w:right w:val="single" w:sz="4" w:space="0" w:color="auto"/>
            </w:tcBorders>
            <w:shd w:val="clear" w:color="auto" w:fill="auto"/>
            <w:noWrap/>
            <w:vAlign w:val="bottom"/>
          </w:tcPr>
          <w:p w14:paraId="68BF6F33"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0.1373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1319D9E9"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-0.0964</w:t>
            </w:r>
          </w:p>
        </w:tc>
      </w:tr>
      <w:tr w:rsidR="000D5E5B" w:rsidRPr="008C20C3" w14:paraId="2FA9937B"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0B297D38"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topology_Flat</w:t>
            </w:r>
            <w:proofErr w:type="spellEnd"/>
          </w:p>
        </w:tc>
        <w:tc>
          <w:tcPr>
            <w:tcW w:w="1100" w:type="dxa"/>
            <w:tcBorders>
              <w:top w:val="nil"/>
              <w:left w:val="nil"/>
              <w:bottom w:val="single" w:sz="4" w:space="0" w:color="auto"/>
              <w:right w:val="single" w:sz="4" w:space="0" w:color="auto"/>
            </w:tcBorders>
            <w:shd w:val="clear" w:color="auto" w:fill="auto"/>
            <w:noWrap/>
            <w:vAlign w:val="bottom"/>
            <w:hideMark/>
          </w:tcPr>
          <w:p w14:paraId="51B5798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457" w:type="dxa"/>
            <w:tcBorders>
              <w:top w:val="nil"/>
              <w:left w:val="nil"/>
              <w:bottom w:val="single" w:sz="4" w:space="0" w:color="auto"/>
              <w:right w:val="single" w:sz="4" w:space="0" w:color="auto"/>
            </w:tcBorders>
            <w:shd w:val="clear" w:color="auto" w:fill="auto"/>
            <w:noWrap/>
            <w:vAlign w:val="bottom"/>
          </w:tcPr>
          <w:p w14:paraId="3A04F682"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0.4500      </w:t>
            </w:r>
          </w:p>
        </w:tc>
        <w:tc>
          <w:tcPr>
            <w:tcW w:w="1184" w:type="dxa"/>
            <w:tcBorders>
              <w:top w:val="nil"/>
              <w:left w:val="nil"/>
              <w:bottom w:val="single" w:sz="4" w:space="0" w:color="auto"/>
              <w:right w:val="single" w:sz="4" w:space="0" w:color="auto"/>
            </w:tcBorders>
            <w:shd w:val="clear" w:color="auto" w:fill="auto"/>
            <w:noWrap/>
            <w:vAlign w:val="bottom"/>
          </w:tcPr>
          <w:p w14:paraId="6B719C5C"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0.4706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00886C0A"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0.0206       </w:t>
            </w:r>
          </w:p>
        </w:tc>
        <w:tc>
          <w:tcPr>
            <w:tcW w:w="1184" w:type="dxa"/>
            <w:tcBorders>
              <w:top w:val="nil"/>
              <w:left w:val="nil"/>
              <w:bottom w:val="single" w:sz="4" w:space="0" w:color="auto"/>
              <w:right w:val="single" w:sz="4" w:space="0" w:color="auto"/>
            </w:tcBorders>
            <w:shd w:val="clear" w:color="auto" w:fill="auto"/>
            <w:noWrap/>
            <w:vAlign w:val="bottom"/>
          </w:tcPr>
          <w:p w14:paraId="0CA55D6E"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0.3263       </w:t>
            </w:r>
          </w:p>
        </w:tc>
        <w:tc>
          <w:tcPr>
            <w:tcW w:w="1184" w:type="dxa"/>
            <w:tcBorders>
              <w:top w:val="nil"/>
              <w:left w:val="nil"/>
              <w:bottom w:val="single" w:sz="4" w:space="0" w:color="auto"/>
              <w:right w:val="single" w:sz="4" w:space="0" w:color="auto"/>
            </w:tcBorders>
            <w:shd w:val="clear" w:color="auto" w:fill="auto"/>
            <w:noWrap/>
            <w:vAlign w:val="bottom"/>
          </w:tcPr>
          <w:p w14:paraId="3EFDF55E"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 xml:space="preserve">0.4706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FBAE32A" w14:textId="77777777" w:rsidR="000D5E5B" w:rsidRPr="008C20C3" w:rsidRDefault="000D5E5B" w:rsidP="000F3320">
            <w:pPr>
              <w:jc w:val="right"/>
              <w:rPr>
                <w:rFonts w:ascii="Calibri" w:hAnsi="Calibri" w:cs="Calibri"/>
                <w:color w:val="000000"/>
                <w:sz w:val="22"/>
                <w:szCs w:val="22"/>
              </w:rPr>
            </w:pPr>
            <w:r w:rsidRPr="000211A8">
              <w:rPr>
                <w:rFonts w:ascii="Calibri" w:hAnsi="Calibri" w:cs="Calibri"/>
                <w:color w:val="000000"/>
                <w:sz w:val="22"/>
                <w:szCs w:val="22"/>
              </w:rPr>
              <w:t>0.1443</w:t>
            </w:r>
          </w:p>
        </w:tc>
      </w:tr>
      <w:tr w:rsidR="000D5E5B" w:rsidRPr="008C20C3" w14:paraId="42415E24"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178BABA1"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forest cover in 2010 in ha</w:t>
            </w:r>
          </w:p>
        </w:tc>
        <w:tc>
          <w:tcPr>
            <w:tcW w:w="1100" w:type="dxa"/>
            <w:tcBorders>
              <w:top w:val="nil"/>
              <w:left w:val="nil"/>
              <w:bottom w:val="single" w:sz="4" w:space="0" w:color="auto"/>
              <w:right w:val="single" w:sz="4" w:space="0" w:color="auto"/>
            </w:tcBorders>
            <w:shd w:val="clear" w:color="auto" w:fill="auto"/>
            <w:noWrap/>
            <w:vAlign w:val="bottom"/>
            <w:hideMark/>
          </w:tcPr>
          <w:p w14:paraId="64440013"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1FC3C8C6"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503263.570 </w:t>
            </w:r>
          </w:p>
        </w:tc>
        <w:tc>
          <w:tcPr>
            <w:tcW w:w="1184" w:type="dxa"/>
            <w:tcBorders>
              <w:top w:val="nil"/>
              <w:left w:val="nil"/>
              <w:bottom w:val="single" w:sz="4" w:space="0" w:color="auto"/>
              <w:right w:val="single" w:sz="4" w:space="0" w:color="auto"/>
            </w:tcBorders>
            <w:shd w:val="clear" w:color="auto" w:fill="auto"/>
            <w:noWrap/>
            <w:vAlign w:val="bottom"/>
          </w:tcPr>
          <w:p w14:paraId="34FA0EAD"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329124.30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811C5E8"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-0.5712  </w:t>
            </w:r>
          </w:p>
        </w:tc>
        <w:tc>
          <w:tcPr>
            <w:tcW w:w="1184" w:type="dxa"/>
            <w:tcBorders>
              <w:top w:val="nil"/>
              <w:left w:val="nil"/>
              <w:bottom w:val="single" w:sz="4" w:space="0" w:color="auto"/>
              <w:right w:val="single" w:sz="4" w:space="0" w:color="auto"/>
            </w:tcBorders>
            <w:shd w:val="clear" w:color="auto" w:fill="auto"/>
            <w:noWrap/>
            <w:vAlign w:val="bottom"/>
          </w:tcPr>
          <w:p w14:paraId="5CE244EC"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299088.62  </w:t>
            </w:r>
          </w:p>
        </w:tc>
        <w:tc>
          <w:tcPr>
            <w:tcW w:w="1184" w:type="dxa"/>
            <w:tcBorders>
              <w:top w:val="nil"/>
              <w:left w:val="nil"/>
              <w:bottom w:val="single" w:sz="4" w:space="0" w:color="auto"/>
              <w:right w:val="single" w:sz="4" w:space="0" w:color="auto"/>
            </w:tcBorders>
            <w:shd w:val="clear" w:color="auto" w:fill="auto"/>
            <w:noWrap/>
            <w:vAlign w:val="bottom"/>
          </w:tcPr>
          <w:p w14:paraId="6F7B0472"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329124.30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5D668D23"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0.0985</w:t>
            </w:r>
          </w:p>
        </w:tc>
      </w:tr>
      <w:tr w:rsidR="000D5E5B" w:rsidRPr="008C20C3" w14:paraId="2247BDE3"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60C57088"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Forest cover loss 2000-20</w:t>
            </w:r>
            <w:r>
              <w:rPr>
                <w:rFonts w:ascii="Calibri" w:hAnsi="Calibri" w:cs="Calibri"/>
                <w:color w:val="000000"/>
                <w:sz w:val="22"/>
                <w:szCs w:val="22"/>
              </w:rPr>
              <w:t>04</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1100" w:type="dxa"/>
            <w:tcBorders>
              <w:top w:val="nil"/>
              <w:left w:val="nil"/>
              <w:bottom w:val="single" w:sz="4" w:space="0" w:color="auto"/>
              <w:right w:val="single" w:sz="4" w:space="0" w:color="auto"/>
            </w:tcBorders>
            <w:shd w:val="clear" w:color="auto" w:fill="auto"/>
            <w:noWrap/>
            <w:vAlign w:val="bottom"/>
            <w:hideMark/>
          </w:tcPr>
          <w:p w14:paraId="117AE900"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33496570"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1.6900      </w:t>
            </w:r>
          </w:p>
        </w:tc>
        <w:tc>
          <w:tcPr>
            <w:tcW w:w="1184" w:type="dxa"/>
            <w:tcBorders>
              <w:top w:val="nil"/>
              <w:left w:val="nil"/>
              <w:bottom w:val="single" w:sz="4" w:space="0" w:color="auto"/>
              <w:right w:val="single" w:sz="4" w:space="0" w:color="auto"/>
            </w:tcBorders>
            <w:shd w:val="clear" w:color="auto" w:fill="auto"/>
            <w:noWrap/>
            <w:vAlign w:val="bottom"/>
          </w:tcPr>
          <w:p w14:paraId="21C55B9F"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1.1651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B58A5C0"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-0.3289       </w:t>
            </w:r>
          </w:p>
        </w:tc>
        <w:tc>
          <w:tcPr>
            <w:tcW w:w="1184" w:type="dxa"/>
            <w:tcBorders>
              <w:top w:val="nil"/>
              <w:left w:val="nil"/>
              <w:bottom w:val="single" w:sz="4" w:space="0" w:color="auto"/>
              <w:right w:val="single" w:sz="4" w:space="0" w:color="auto"/>
            </w:tcBorders>
            <w:shd w:val="clear" w:color="auto" w:fill="auto"/>
            <w:noWrap/>
            <w:vAlign w:val="bottom"/>
          </w:tcPr>
          <w:p w14:paraId="02DB7911"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0.8184       </w:t>
            </w:r>
          </w:p>
        </w:tc>
        <w:tc>
          <w:tcPr>
            <w:tcW w:w="1184" w:type="dxa"/>
            <w:tcBorders>
              <w:top w:val="nil"/>
              <w:left w:val="nil"/>
              <w:bottom w:val="single" w:sz="4" w:space="0" w:color="auto"/>
              <w:right w:val="single" w:sz="4" w:space="0" w:color="auto"/>
            </w:tcBorders>
            <w:shd w:val="clear" w:color="auto" w:fill="auto"/>
            <w:noWrap/>
            <w:vAlign w:val="bottom"/>
          </w:tcPr>
          <w:p w14:paraId="38C02B23"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1.1651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3F43ACC4" w14:textId="77777777" w:rsidR="000D5E5B" w:rsidRPr="008C20C3"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0.2173</w:t>
            </w:r>
          </w:p>
        </w:tc>
      </w:tr>
      <w:tr w:rsidR="000D5E5B" w:rsidRPr="008C20C3" w14:paraId="76EFED08"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354C6969"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4</w:t>
            </w:r>
            <w:r w:rsidRPr="009E3797">
              <w:rPr>
                <w:rFonts w:ascii="Calibri" w:hAnsi="Calibri" w:cs="Calibri"/>
                <w:color w:val="000000"/>
                <w:sz w:val="22"/>
                <w:szCs w:val="22"/>
              </w:rPr>
              <w:t>-20</w:t>
            </w:r>
            <w:r>
              <w:rPr>
                <w:rFonts w:ascii="Calibri" w:hAnsi="Calibri" w:cs="Calibri"/>
                <w:color w:val="000000"/>
                <w:sz w:val="22"/>
                <w:szCs w:val="22"/>
              </w:rPr>
              <w:t>07</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1100" w:type="dxa"/>
            <w:tcBorders>
              <w:top w:val="nil"/>
              <w:left w:val="nil"/>
              <w:bottom w:val="single" w:sz="4" w:space="0" w:color="auto"/>
              <w:right w:val="single" w:sz="4" w:space="0" w:color="auto"/>
            </w:tcBorders>
            <w:shd w:val="clear" w:color="auto" w:fill="auto"/>
            <w:noWrap/>
            <w:vAlign w:val="bottom"/>
          </w:tcPr>
          <w:p w14:paraId="4F74A09C"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484254BE"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1.1482      </w:t>
            </w:r>
          </w:p>
        </w:tc>
        <w:tc>
          <w:tcPr>
            <w:tcW w:w="1184" w:type="dxa"/>
            <w:tcBorders>
              <w:top w:val="nil"/>
              <w:left w:val="nil"/>
              <w:bottom w:val="single" w:sz="4" w:space="0" w:color="auto"/>
              <w:right w:val="single" w:sz="4" w:space="0" w:color="auto"/>
            </w:tcBorders>
            <w:shd w:val="clear" w:color="auto" w:fill="auto"/>
            <w:noWrap/>
            <w:vAlign w:val="bottom"/>
          </w:tcPr>
          <w:p w14:paraId="33B9CF39"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0.6286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A4F7B25"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-0.4813       </w:t>
            </w:r>
          </w:p>
        </w:tc>
        <w:tc>
          <w:tcPr>
            <w:tcW w:w="1184" w:type="dxa"/>
            <w:tcBorders>
              <w:top w:val="nil"/>
              <w:left w:val="nil"/>
              <w:bottom w:val="single" w:sz="4" w:space="0" w:color="auto"/>
              <w:right w:val="single" w:sz="4" w:space="0" w:color="auto"/>
            </w:tcBorders>
            <w:shd w:val="clear" w:color="auto" w:fill="auto"/>
            <w:noWrap/>
            <w:vAlign w:val="bottom"/>
          </w:tcPr>
          <w:p w14:paraId="5634388B"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0.5245       </w:t>
            </w:r>
          </w:p>
        </w:tc>
        <w:tc>
          <w:tcPr>
            <w:tcW w:w="1184" w:type="dxa"/>
            <w:tcBorders>
              <w:top w:val="nil"/>
              <w:left w:val="nil"/>
              <w:bottom w:val="single" w:sz="4" w:space="0" w:color="auto"/>
              <w:right w:val="single" w:sz="4" w:space="0" w:color="auto"/>
            </w:tcBorders>
            <w:shd w:val="clear" w:color="auto" w:fill="auto"/>
            <w:noWrap/>
            <w:vAlign w:val="bottom"/>
          </w:tcPr>
          <w:p w14:paraId="2C6A2150"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0.6286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E8CB45A"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0.0964</w:t>
            </w:r>
          </w:p>
        </w:tc>
      </w:tr>
      <w:tr w:rsidR="000D5E5B" w:rsidRPr="008C20C3" w14:paraId="69FAEB16"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6D655459"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7</w:t>
            </w:r>
            <w:r w:rsidRPr="009E3797">
              <w:rPr>
                <w:rFonts w:ascii="Calibri" w:hAnsi="Calibri" w:cs="Calibri"/>
                <w:color w:val="000000"/>
                <w:sz w:val="22"/>
                <w:szCs w:val="22"/>
              </w:rPr>
              <w:t>-20</w:t>
            </w:r>
            <w:r>
              <w:rPr>
                <w:rFonts w:ascii="Calibri" w:hAnsi="Calibri" w:cs="Calibri"/>
                <w:color w:val="000000"/>
                <w:sz w:val="22"/>
                <w:szCs w:val="22"/>
              </w:rPr>
              <w:t>10</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1100" w:type="dxa"/>
            <w:tcBorders>
              <w:top w:val="nil"/>
              <w:left w:val="nil"/>
              <w:bottom w:val="single" w:sz="4" w:space="0" w:color="auto"/>
              <w:right w:val="single" w:sz="4" w:space="0" w:color="auto"/>
            </w:tcBorders>
            <w:shd w:val="clear" w:color="auto" w:fill="auto"/>
            <w:noWrap/>
            <w:vAlign w:val="bottom"/>
          </w:tcPr>
          <w:p w14:paraId="6361D1B1"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457" w:type="dxa"/>
            <w:tcBorders>
              <w:top w:val="nil"/>
              <w:left w:val="nil"/>
              <w:bottom w:val="single" w:sz="4" w:space="0" w:color="auto"/>
              <w:right w:val="single" w:sz="4" w:space="0" w:color="auto"/>
            </w:tcBorders>
            <w:shd w:val="clear" w:color="auto" w:fill="auto"/>
            <w:noWrap/>
            <w:vAlign w:val="bottom"/>
          </w:tcPr>
          <w:p w14:paraId="3AB65AC7"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0.4746      </w:t>
            </w:r>
          </w:p>
        </w:tc>
        <w:tc>
          <w:tcPr>
            <w:tcW w:w="1184" w:type="dxa"/>
            <w:tcBorders>
              <w:top w:val="nil"/>
              <w:left w:val="nil"/>
              <w:bottom w:val="single" w:sz="4" w:space="0" w:color="auto"/>
              <w:right w:val="single" w:sz="4" w:space="0" w:color="auto"/>
            </w:tcBorders>
            <w:shd w:val="clear" w:color="auto" w:fill="auto"/>
            <w:noWrap/>
            <w:vAlign w:val="bottom"/>
          </w:tcPr>
          <w:p w14:paraId="00C55838"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0.3820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DD5FA3E"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-0.1859       </w:t>
            </w:r>
          </w:p>
        </w:tc>
        <w:tc>
          <w:tcPr>
            <w:tcW w:w="1184" w:type="dxa"/>
            <w:tcBorders>
              <w:top w:val="nil"/>
              <w:left w:val="nil"/>
              <w:bottom w:val="single" w:sz="4" w:space="0" w:color="auto"/>
              <w:right w:val="single" w:sz="4" w:space="0" w:color="auto"/>
            </w:tcBorders>
            <w:shd w:val="clear" w:color="auto" w:fill="auto"/>
            <w:noWrap/>
            <w:vAlign w:val="bottom"/>
          </w:tcPr>
          <w:p w14:paraId="04EDE236"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0.2928       </w:t>
            </w:r>
          </w:p>
        </w:tc>
        <w:tc>
          <w:tcPr>
            <w:tcW w:w="1184" w:type="dxa"/>
            <w:tcBorders>
              <w:top w:val="nil"/>
              <w:left w:val="nil"/>
              <w:bottom w:val="single" w:sz="4" w:space="0" w:color="auto"/>
              <w:right w:val="single" w:sz="4" w:space="0" w:color="auto"/>
            </w:tcBorders>
            <w:shd w:val="clear" w:color="auto" w:fill="auto"/>
            <w:noWrap/>
            <w:vAlign w:val="bottom"/>
          </w:tcPr>
          <w:p w14:paraId="350BEDC0"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 xml:space="preserve">0.3820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5AC9C75" w14:textId="77777777" w:rsidR="000D5E5B" w:rsidRPr="00783044" w:rsidRDefault="000D5E5B" w:rsidP="000F3320">
            <w:pPr>
              <w:jc w:val="right"/>
              <w:rPr>
                <w:rFonts w:ascii="Calibri" w:hAnsi="Calibri" w:cs="Calibri"/>
                <w:color w:val="000000"/>
                <w:sz w:val="22"/>
                <w:szCs w:val="22"/>
              </w:rPr>
            </w:pPr>
            <w:r w:rsidRPr="00876112">
              <w:rPr>
                <w:rFonts w:ascii="Calibri" w:hAnsi="Calibri" w:cs="Calibri"/>
                <w:color w:val="000000"/>
                <w:sz w:val="22"/>
                <w:szCs w:val="22"/>
              </w:rPr>
              <w:t>0.1792</w:t>
            </w:r>
          </w:p>
        </w:tc>
      </w:tr>
      <w:tr w:rsidR="000D5E5B" w:rsidRPr="008C20C3" w14:paraId="6C4DC1C7"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tcPr>
          <w:p w14:paraId="5A19A47D" w14:textId="77777777" w:rsidR="000D5E5B" w:rsidRPr="009E3797" w:rsidRDefault="000D5E5B" w:rsidP="000F3320">
            <w:pPr>
              <w:rPr>
                <w:rFonts w:ascii="Calibri" w:hAnsi="Calibri" w:cs="Calibri"/>
                <w:color w:val="000000"/>
                <w:sz w:val="22"/>
                <w:szCs w:val="22"/>
              </w:rPr>
            </w:pPr>
            <w:r>
              <w:rPr>
                <w:rFonts w:ascii="Calibri" w:hAnsi="Calibri" w:cs="Calibri"/>
                <w:color w:val="000000"/>
                <w:sz w:val="22"/>
                <w:szCs w:val="22"/>
              </w:rPr>
              <w:t>Municipal Human Development Index 2010</w:t>
            </w:r>
          </w:p>
        </w:tc>
        <w:tc>
          <w:tcPr>
            <w:tcW w:w="1100" w:type="dxa"/>
            <w:tcBorders>
              <w:top w:val="nil"/>
              <w:left w:val="nil"/>
              <w:bottom w:val="single" w:sz="4" w:space="0" w:color="auto"/>
              <w:right w:val="single" w:sz="4" w:space="0" w:color="auto"/>
            </w:tcBorders>
            <w:shd w:val="clear" w:color="auto" w:fill="auto"/>
            <w:noWrap/>
            <w:vAlign w:val="bottom"/>
          </w:tcPr>
          <w:p w14:paraId="24C82A60"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Contin</w:t>
            </w:r>
            <w:r>
              <w:rPr>
                <w:rFonts w:ascii="Calibri" w:hAnsi="Calibri" w:cs="Calibri"/>
                <w:color w:val="000000"/>
                <w:sz w:val="22"/>
                <w:szCs w:val="22"/>
              </w:rPr>
              <w:t>.</w:t>
            </w:r>
          </w:p>
        </w:tc>
        <w:tc>
          <w:tcPr>
            <w:tcW w:w="1457" w:type="dxa"/>
            <w:tcBorders>
              <w:top w:val="nil"/>
              <w:left w:val="nil"/>
              <w:bottom w:val="single" w:sz="4" w:space="0" w:color="auto"/>
              <w:right w:val="single" w:sz="4" w:space="0" w:color="auto"/>
            </w:tcBorders>
            <w:shd w:val="clear" w:color="auto" w:fill="auto"/>
            <w:noWrap/>
            <w:vAlign w:val="bottom"/>
          </w:tcPr>
          <w:p w14:paraId="2E0E6BFC" w14:textId="77777777" w:rsidR="000D5E5B" w:rsidRPr="00356DB3" w:rsidRDefault="000D5E5B" w:rsidP="000F3320">
            <w:pPr>
              <w:jc w:val="right"/>
              <w:rPr>
                <w:rFonts w:ascii="Calibri" w:hAnsi="Calibri" w:cs="Calibri"/>
                <w:color w:val="000000"/>
                <w:sz w:val="22"/>
                <w:szCs w:val="22"/>
              </w:rPr>
            </w:pPr>
            <w:r w:rsidRPr="00332D97">
              <w:rPr>
                <w:rFonts w:ascii="Calibri" w:hAnsi="Calibri" w:cs="Calibri"/>
                <w:color w:val="000000"/>
                <w:sz w:val="22"/>
                <w:szCs w:val="22"/>
              </w:rPr>
              <w:t xml:space="preserve">0.6052      </w:t>
            </w:r>
          </w:p>
        </w:tc>
        <w:tc>
          <w:tcPr>
            <w:tcW w:w="1184" w:type="dxa"/>
            <w:tcBorders>
              <w:top w:val="nil"/>
              <w:left w:val="nil"/>
              <w:bottom w:val="single" w:sz="4" w:space="0" w:color="auto"/>
              <w:right w:val="single" w:sz="4" w:space="0" w:color="auto"/>
            </w:tcBorders>
            <w:shd w:val="clear" w:color="auto" w:fill="auto"/>
            <w:noWrap/>
            <w:vAlign w:val="bottom"/>
          </w:tcPr>
          <w:p w14:paraId="7A51647B" w14:textId="77777777" w:rsidR="000D5E5B" w:rsidRPr="00356DB3" w:rsidRDefault="000D5E5B" w:rsidP="000F3320">
            <w:pPr>
              <w:jc w:val="right"/>
              <w:rPr>
                <w:rFonts w:ascii="Calibri" w:hAnsi="Calibri" w:cs="Calibri"/>
                <w:color w:val="000000"/>
                <w:sz w:val="22"/>
                <w:szCs w:val="22"/>
              </w:rPr>
            </w:pPr>
            <w:r w:rsidRPr="00332D97">
              <w:rPr>
                <w:rFonts w:ascii="Calibri" w:hAnsi="Calibri" w:cs="Calibri"/>
                <w:color w:val="000000"/>
                <w:sz w:val="22"/>
                <w:szCs w:val="22"/>
              </w:rPr>
              <w:t xml:space="preserve">0.5734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1F88BCE5" w14:textId="77777777" w:rsidR="000D5E5B" w:rsidRPr="00356DB3" w:rsidRDefault="000D5E5B" w:rsidP="000F3320">
            <w:pPr>
              <w:jc w:val="right"/>
              <w:rPr>
                <w:rFonts w:ascii="Calibri" w:hAnsi="Calibri" w:cs="Calibri"/>
                <w:color w:val="000000"/>
                <w:sz w:val="22"/>
                <w:szCs w:val="22"/>
              </w:rPr>
            </w:pPr>
            <w:r w:rsidRPr="00332D97">
              <w:rPr>
                <w:rFonts w:ascii="Calibri" w:hAnsi="Calibri" w:cs="Calibri"/>
                <w:color w:val="000000"/>
                <w:sz w:val="22"/>
                <w:szCs w:val="22"/>
              </w:rPr>
              <w:t xml:space="preserve">-0.4573       </w:t>
            </w:r>
          </w:p>
        </w:tc>
        <w:tc>
          <w:tcPr>
            <w:tcW w:w="1184" w:type="dxa"/>
            <w:tcBorders>
              <w:top w:val="nil"/>
              <w:left w:val="nil"/>
              <w:bottom w:val="single" w:sz="4" w:space="0" w:color="auto"/>
              <w:right w:val="single" w:sz="4" w:space="0" w:color="auto"/>
            </w:tcBorders>
            <w:shd w:val="clear" w:color="auto" w:fill="auto"/>
            <w:noWrap/>
            <w:vAlign w:val="bottom"/>
          </w:tcPr>
          <w:p w14:paraId="5BC35A8E" w14:textId="77777777" w:rsidR="000D5E5B" w:rsidRPr="00356DB3" w:rsidRDefault="000D5E5B" w:rsidP="000F3320">
            <w:pPr>
              <w:jc w:val="right"/>
              <w:rPr>
                <w:rFonts w:ascii="Calibri" w:hAnsi="Calibri" w:cs="Calibri"/>
                <w:color w:val="000000"/>
                <w:sz w:val="22"/>
                <w:szCs w:val="22"/>
              </w:rPr>
            </w:pPr>
            <w:r w:rsidRPr="00332D97">
              <w:rPr>
                <w:rFonts w:ascii="Calibri" w:hAnsi="Calibri" w:cs="Calibri"/>
                <w:color w:val="000000"/>
                <w:sz w:val="22"/>
                <w:szCs w:val="22"/>
              </w:rPr>
              <w:t xml:space="preserve">0.5705       </w:t>
            </w:r>
          </w:p>
        </w:tc>
        <w:tc>
          <w:tcPr>
            <w:tcW w:w="1184" w:type="dxa"/>
            <w:tcBorders>
              <w:top w:val="nil"/>
              <w:left w:val="nil"/>
              <w:bottom w:val="single" w:sz="4" w:space="0" w:color="auto"/>
              <w:right w:val="single" w:sz="4" w:space="0" w:color="auto"/>
            </w:tcBorders>
            <w:shd w:val="clear" w:color="auto" w:fill="auto"/>
            <w:noWrap/>
            <w:vAlign w:val="bottom"/>
          </w:tcPr>
          <w:p w14:paraId="7075F0B8" w14:textId="77777777" w:rsidR="000D5E5B" w:rsidRPr="00356DB3" w:rsidRDefault="000D5E5B" w:rsidP="000F3320">
            <w:pPr>
              <w:jc w:val="right"/>
              <w:rPr>
                <w:rFonts w:ascii="Calibri" w:hAnsi="Calibri" w:cs="Calibri"/>
                <w:color w:val="000000"/>
                <w:sz w:val="22"/>
                <w:szCs w:val="22"/>
              </w:rPr>
            </w:pPr>
            <w:r w:rsidRPr="00332D97">
              <w:rPr>
                <w:rFonts w:ascii="Calibri" w:hAnsi="Calibri" w:cs="Calibri"/>
                <w:color w:val="000000"/>
                <w:sz w:val="22"/>
                <w:szCs w:val="22"/>
              </w:rPr>
              <w:t xml:space="preserve">0.5734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7A0BBB3" w14:textId="77777777" w:rsidR="000D5E5B" w:rsidRPr="00356DB3" w:rsidRDefault="000D5E5B" w:rsidP="000F3320">
            <w:pPr>
              <w:jc w:val="right"/>
              <w:rPr>
                <w:rFonts w:ascii="Calibri" w:hAnsi="Calibri" w:cs="Calibri"/>
                <w:color w:val="000000"/>
                <w:sz w:val="22"/>
                <w:szCs w:val="22"/>
              </w:rPr>
            </w:pPr>
            <w:r w:rsidRPr="00332D97">
              <w:rPr>
                <w:rFonts w:ascii="Calibri" w:hAnsi="Calibri" w:cs="Calibri"/>
                <w:color w:val="000000"/>
                <w:sz w:val="22"/>
                <w:szCs w:val="22"/>
              </w:rPr>
              <w:t>0.0423</w:t>
            </w:r>
          </w:p>
        </w:tc>
      </w:tr>
      <w:tr w:rsidR="000D5E5B" w:rsidRPr="008C20C3" w14:paraId="6C4487B8" w14:textId="77777777" w:rsidTr="000F3320">
        <w:trPr>
          <w:trHeight w:val="305"/>
        </w:trPr>
        <w:tc>
          <w:tcPr>
            <w:tcW w:w="4115" w:type="dxa"/>
            <w:tcBorders>
              <w:top w:val="nil"/>
              <w:left w:val="nil"/>
              <w:bottom w:val="nil"/>
              <w:right w:val="nil"/>
            </w:tcBorders>
            <w:shd w:val="clear" w:color="auto" w:fill="auto"/>
            <w:noWrap/>
            <w:vAlign w:val="bottom"/>
            <w:hideMark/>
          </w:tcPr>
          <w:p w14:paraId="7E0FE3F4" w14:textId="77777777" w:rsidR="000D5E5B" w:rsidRPr="008C20C3" w:rsidRDefault="000D5E5B" w:rsidP="000F3320">
            <w:pPr>
              <w:jc w:val="right"/>
              <w:rPr>
                <w:rFonts w:ascii="Calibri" w:hAnsi="Calibri" w:cs="Calibri"/>
                <w:color w:val="000000"/>
                <w:sz w:val="22"/>
                <w:szCs w:val="22"/>
              </w:rPr>
            </w:pPr>
          </w:p>
        </w:tc>
        <w:tc>
          <w:tcPr>
            <w:tcW w:w="1100" w:type="dxa"/>
            <w:tcBorders>
              <w:top w:val="nil"/>
              <w:left w:val="nil"/>
              <w:bottom w:val="nil"/>
              <w:right w:val="nil"/>
            </w:tcBorders>
            <w:shd w:val="clear" w:color="auto" w:fill="auto"/>
            <w:noWrap/>
            <w:vAlign w:val="bottom"/>
            <w:hideMark/>
          </w:tcPr>
          <w:p w14:paraId="42A900CD" w14:textId="77777777" w:rsidR="000D5E5B" w:rsidRPr="008C20C3" w:rsidRDefault="000D5E5B" w:rsidP="000F3320">
            <w:pPr>
              <w:rPr>
                <w:sz w:val="20"/>
              </w:rPr>
            </w:pPr>
          </w:p>
        </w:tc>
        <w:tc>
          <w:tcPr>
            <w:tcW w:w="1457" w:type="dxa"/>
            <w:tcBorders>
              <w:top w:val="nil"/>
              <w:left w:val="nil"/>
              <w:bottom w:val="nil"/>
              <w:right w:val="nil"/>
            </w:tcBorders>
            <w:shd w:val="clear" w:color="auto" w:fill="auto"/>
            <w:noWrap/>
            <w:vAlign w:val="bottom"/>
            <w:hideMark/>
          </w:tcPr>
          <w:p w14:paraId="6890875F"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0BA62B9F" w14:textId="77777777" w:rsidR="000D5E5B" w:rsidRPr="008C20C3" w:rsidRDefault="000D5E5B" w:rsidP="000F3320">
            <w:pPr>
              <w:rPr>
                <w:sz w:val="20"/>
              </w:rPr>
            </w:pPr>
          </w:p>
        </w:tc>
        <w:tc>
          <w:tcPr>
            <w:tcW w:w="1363" w:type="dxa"/>
            <w:tcBorders>
              <w:top w:val="nil"/>
              <w:left w:val="nil"/>
              <w:bottom w:val="nil"/>
              <w:right w:val="nil"/>
            </w:tcBorders>
            <w:shd w:val="clear" w:color="auto" w:fill="A6A6A6" w:themeFill="background1" w:themeFillShade="A6"/>
            <w:noWrap/>
            <w:vAlign w:val="bottom"/>
            <w:hideMark/>
          </w:tcPr>
          <w:p w14:paraId="00E419A7"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49B8D98F"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537F1E23" w14:textId="77777777" w:rsidR="000D5E5B" w:rsidRPr="008C20C3" w:rsidRDefault="000D5E5B" w:rsidP="000F3320">
            <w:pPr>
              <w:rPr>
                <w:sz w:val="20"/>
              </w:rPr>
            </w:pPr>
          </w:p>
        </w:tc>
        <w:tc>
          <w:tcPr>
            <w:tcW w:w="1363" w:type="dxa"/>
            <w:tcBorders>
              <w:top w:val="nil"/>
              <w:left w:val="nil"/>
              <w:bottom w:val="nil"/>
              <w:right w:val="nil"/>
            </w:tcBorders>
            <w:shd w:val="clear" w:color="auto" w:fill="A6A6A6" w:themeFill="background1" w:themeFillShade="A6"/>
            <w:noWrap/>
            <w:vAlign w:val="bottom"/>
            <w:hideMark/>
          </w:tcPr>
          <w:p w14:paraId="4EB40C31" w14:textId="77777777" w:rsidR="000D5E5B" w:rsidRPr="008C20C3" w:rsidRDefault="000D5E5B" w:rsidP="000F3320">
            <w:pPr>
              <w:rPr>
                <w:sz w:val="20"/>
              </w:rPr>
            </w:pPr>
          </w:p>
        </w:tc>
      </w:tr>
      <w:tr w:rsidR="000D5E5B" w:rsidRPr="008C20C3" w14:paraId="5599487D" w14:textId="77777777" w:rsidTr="000F3320">
        <w:trPr>
          <w:trHeight w:val="305"/>
        </w:trPr>
        <w:tc>
          <w:tcPr>
            <w:tcW w:w="4115" w:type="dxa"/>
            <w:tcBorders>
              <w:top w:val="nil"/>
              <w:left w:val="nil"/>
              <w:bottom w:val="nil"/>
              <w:right w:val="nil"/>
            </w:tcBorders>
            <w:shd w:val="clear" w:color="auto" w:fill="auto"/>
            <w:noWrap/>
            <w:vAlign w:val="bottom"/>
            <w:hideMark/>
          </w:tcPr>
          <w:p w14:paraId="1C178878" w14:textId="77777777" w:rsidR="000D5E5B" w:rsidRPr="008C20C3" w:rsidRDefault="000D5E5B" w:rsidP="000F3320">
            <w:pPr>
              <w:rPr>
                <w:sz w:val="20"/>
              </w:rPr>
            </w:pPr>
          </w:p>
        </w:tc>
        <w:tc>
          <w:tcPr>
            <w:tcW w:w="1100" w:type="dxa"/>
            <w:tcBorders>
              <w:top w:val="nil"/>
              <w:left w:val="nil"/>
              <w:bottom w:val="nil"/>
              <w:right w:val="nil"/>
            </w:tcBorders>
            <w:shd w:val="clear" w:color="auto" w:fill="auto"/>
            <w:noWrap/>
            <w:vAlign w:val="bottom"/>
            <w:hideMark/>
          </w:tcPr>
          <w:p w14:paraId="4DDB295A" w14:textId="77777777" w:rsidR="000D5E5B" w:rsidRPr="008C20C3" w:rsidRDefault="000D5E5B" w:rsidP="000F3320">
            <w:pPr>
              <w:rPr>
                <w:sz w:val="20"/>
              </w:rPr>
            </w:pPr>
          </w:p>
        </w:tc>
        <w:tc>
          <w:tcPr>
            <w:tcW w:w="1457" w:type="dxa"/>
            <w:tcBorders>
              <w:top w:val="nil"/>
              <w:left w:val="nil"/>
              <w:bottom w:val="nil"/>
              <w:right w:val="nil"/>
            </w:tcBorders>
            <w:shd w:val="clear" w:color="auto" w:fill="auto"/>
            <w:noWrap/>
            <w:vAlign w:val="bottom"/>
            <w:hideMark/>
          </w:tcPr>
          <w:p w14:paraId="6BCE3FA7"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626CE154" w14:textId="77777777" w:rsidR="000D5E5B" w:rsidRPr="008C20C3" w:rsidRDefault="000D5E5B" w:rsidP="000F3320">
            <w:pPr>
              <w:rPr>
                <w:sz w:val="20"/>
              </w:rPr>
            </w:pPr>
          </w:p>
        </w:tc>
        <w:tc>
          <w:tcPr>
            <w:tcW w:w="1363" w:type="dxa"/>
            <w:tcBorders>
              <w:top w:val="nil"/>
              <w:left w:val="nil"/>
              <w:bottom w:val="nil"/>
              <w:right w:val="nil"/>
            </w:tcBorders>
            <w:shd w:val="clear" w:color="auto" w:fill="auto"/>
            <w:noWrap/>
            <w:vAlign w:val="bottom"/>
            <w:hideMark/>
          </w:tcPr>
          <w:p w14:paraId="060D3081"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430A884D"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061BB7BC" w14:textId="77777777" w:rsidR="000D5E5B" w:rsidRPr="008C20C3" w:rsidRDefault="000D5E5B" w:rsidP="000F3320">
            <w:pPr>
              <w:rPr>
                <w:sz w:val="20"/>
              </w:rPr>
            </w:pPr>
          </w:p>
        </w:tc>
        <w:tc>
          <w:tcPr>
            <w:tcW w:w="1363" w:type="dxa"/>
            <w:tcBorders>
              <w:top w:val="nil"/>
              <w:left w:val="nil"/>
              <w:bottom w:val="nil"/>
              <w:right w:val="nil"/>
            </w:tcBorders>
            <w:shd w:val="clear" w:color="auto" w:fill="auto"/>
            <w:noWrap/>
            <w:vAlign w:val="bottom"/>
            <w:hideMark/>
          </w:tcPr>
          <w:p w14:paraId="70645EE4" w14:textId="77777777" w:rsidR="000D5E5B" w:rsidRPr="008C20C3" w:rsidRDefault="000D5E5B" w:rsidP="000F3320">
            <w:pPr>
              <w:rPr>
                <w:sz w:val="20"/>
              </w:rPr>
            </w:pPr>
          </w:p>
        </w:tc>
      </w:tr>
      <w:tr w:rsidR="000D5E5B" w:rsidRPr="008C20C3" w14:paraId="2BEB7D2F" w14:textId="77777777" w:rsidTr="000F3320">
        <w:trPr>
          <w:trHeight w:val="305"/>
        </w:trPr>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C06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xml:space="preserve">Effective (Weighted) Sample Size </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14:paraId="3DA7CC7E"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Control</w:t>
            </w:r>
          </w:p>
        </w:tc>
        <w:tc>
          <w:tcPr>
            <w:tcW w:w="1457" w:type="dxa"/>
            <w:tcBorders>
              <w:top w:val="single" w:sz="4" w:space="0" w:color="auto"/>
              <w:left w:val="nil"/>
              <w:bottom w:val="single" w:sz="4" w:space="0" w:color="auto"/>
              <w:right w:val="single" w:sz="4" w:space="0" w:color="auto"/>
            </w:tcBorders>
            <w:shd w:val="clear" w:color="auto" w:fill="auto"/>
            <w:noWrap/>
            <w:vAlign w:val="bottom"/>
            <w:hideMark/>
          </w:tcPr>
          <w:p w14:paraId="695CC388"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Treated</w:t>
            </w:r>
          </w:p>
        </w:tc>
        <w:tc>
          <w:tcPr>
            <w:tcW w:w="1184" w:type="dxa"/>
            <w:tcBorders>
              <w:top w:val="nil"/>
              <w:left w:val="nil"/>
              <w:bottom w:val="nil"/>
              <w:right w:val="nil"/>
            </w:tcBorders>
            <w:shd w:val="clear" w:color="auto" w:fill="auto"/>
            <w:noWrap/>
            <w:vAlign w:val="bottom"/>
            <w:hideMark/>
          </w:tcPr>
          <w:p w14:paraId="26C6165E" w14:textId="77777777" w:rsidR="000D5E5B" w:rsidRPr="008C20C3" w:rsidRDefault="000D5E5B" w:rsidP="000F3320">
            <w:pPr>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14:paraId="1854E573"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0BF32354"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099F09FD" w14:textId="77777777" w:rsidR="000D5E5B" w:rsidRPr="008C20C3" w:rsidRDefault="000D5E5B" w:rsidP="000F3320">
            <w:pPr>
              <w:rPr>
                <w:sz w:val="20"/>
              </w:rPr>
            </w:pPr>
          </w:p>
        </w:tc>
        <w:tc>
          <w:tcPr>
            <w:tcW w:w="1363" w:type="dxa"/>
            <w:tcBorders>
              <w:top w:val="nil"/>
              <w:left w:val="nil"/>
              <w:bottom w:val="nil"/>
              <w:right w:val="nil"/>
            </w:tcBorders>
            <w:shd w:val="clear" w:color="auto" w:fill="auto"/>
            <w:noWrap/>
            <w:vAlign w:val="bottom"/>
            <w:hideMark/>
          </w:tcPr>
          <w:p w14:paraId="354ED26D" w14:textId="77777777" w:rsidR="000D5E5B" w:rsidRPr="008C20C3" w:rsidRDefault="000D5E5B" w:rsidP="000F3320">
            <w:pPr>
              <w:rPr>
                <w:sz w:val="20"/>
              </w:rPr>
            </w:pPr>
          </w:p>
        </w:tc>
      </w:tr>
      <w:tr w:rsidR="000D5E5B" w:rsidRPr="008C20C3" w14:paraId="4456366D"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042E48E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Before Weighting</w:t>
            </w:r>
          </w:p>
        </w:tc>
        <w:tc>
          <w:tcPr>
            <w:tcW w:w="1100" w:type="dxa"/>
            <w:tcBorders>
              <w:top w:val="nil"/>
              <w:left w:val="nil"/>
              <w:bottom w:val="single" w:sz="4" w:space="0" w:color="auto"/>
              <w:right w:val="single" w:sz="4" w:space="0" w:color="auto"/>
            </w:tcBorders>
            <w:shd w:val="clear" w:color="auto" w:fill="auto"/>
            <w:noWrap/>
            <w:vAlign w:val="bottom"/>
            <w:hideMark/>
          </w:tcPr>
          <w:p w14:paraId="7EAF4457" w14:textId="77777777" w:rsidR="000D5E5B" w:rsidRPr="008C20C3" w:rsidRDefault="000D5E5B" w:rsidP="000F3320">
            <w:pPr>
              <w:jc w:val="right"/>
              <w:rPr>
                <w:rFonts w:ascii="Calibri" w:hAnsi="Calibri" w:cs="Calibri"/>
                <w:color w:val="000000"/>
                <w:sz w:val="22"/>
                <w:szCs w:val="22"/>
              </w:rPr>
            </w:pPr>
            <w:r w:rsidRPr="008C20C3">
              <w:rPr>
                <w:rFonts w:ascii="Calibri" w:hAnsi="Calibri" w:cs="Calibri"/>
                <w:color w:val="000000"/>
                <w:sz w:val="22"/>
                <w:szCs w:val="22"/>
              </w:rPr>
              <w:t>20</w:t>
            </w:r>
          </w:p>
        </w:tc>
        <w:tc>
          <w:tcPr>
            <w:tcW w:w="1457" w:type="dxa"/>
            <w:tcBorders>
              <w:top w:val="nil"/>
              <w:left w:val="nil"/>
              <w:bottom w:val="single" w:sz="4" w:space="0" w:color="auto"/>
              <w:right w:val="single" w:sz="4" w:space="0" w:color="auto"/>
            </w:tcBorders>
            <w:shd w:val="clear" w:color="auto" w:fill="auto"/>
            <w:noWrap/>
            <w:vAlign w:val="bottom"/>
            <w:hideMark/>
          </w:tcPr>
          <w:p w14:paraId="24DDC4EE" w14:textId="77777777" w:rsidR="000D5E5B" w:rsidRPr="008C20C3" w:rsidRDefault="000D5E5B" w:rsidP="000F3320">
            <w:pPr>
              <w:jc w:val="right"/>
              <w:rPr>
                <w:rFonts w:ascii="Calibri" w:hAnsi="Calibri" w:cs="Calibri"/>
                <w:color w:val="000000"/>
                <w:sz w:val="22"/>
                <w:szCs w:val="22"/>
              </w:rPr>
            </w:pPr>
            <w:r w:rsidRPr="008C20C3">
              <w:rPr>
                <w:rFonts w:ascii="Calibri" w:hAnsi="Calibri" w:cs="Calibri"/>
                <w:color w:val="000000"/>
                <w:sz w:val="22"/>
                <w:szCs w:val="22"/>
              </w:rPr>
              <w:t>51</w:t>
            </w:r>
          </w:p>
        </w:tc>
        <w:tc>
          <w:tcPr>
            <w:tcW w:w="1184" w:type="dxa"/>
            <w:tcBorders>
              <w:top w:val="nil"/>
              <w:left w:val="nil"/>
              <w:bottom w:val="nil"/>
              <w:right w:val="nil"/>
            </w:tcBorders>
            <w:shd w:val="clear" w:color="auto" w:fill="auto"/>
            <w:noWrap/>
            <w:vAlign w:val="bottom"/>
            <w:hideMark/>
          </w:tcPr>
          <w:p w14:paraId="6AD893BC" w14:textId="77777777" w:rsidR="000D5E5B" w:rsidRPr="008C20C3" w:rsidRDefault="000D5E5B" w:rsidP="000F3320">
            <w:pPr>
              <w:jc w:val="right"/>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14:paraId="11A872C2"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06473FD7"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7668D9E4" w14:textId="77777777" w:rsidR="000D5E5B" w:rsidRPr="008C20C3" w:rsidRDefault="000D5E5B" w:rsidP="000F3320">
            <w:pPr>
              <w:rPr>
                <w:sz w:val="20"/>
              </w:rPr>
            </w:pPr>
          </w:p>
        </w:tc>
        <w:tc>
          <w:tcPr>
            <w:tcW w:w="1363" w:type="dxa"/>
            <w:tcBorders>
              <w:top w:val="nil"/>
              <w:left w:val="nil"/>
              <w:bottom w:val="nil"/>
              <w:right w:val="nil"/>
            </w:tcBorders>
            <w:shd w:val="clear" w:color="auto" w:fill="auto"/>
            <w:noWrap/>
            <w:vAlign w:val="bottom"/>
            <w:hideMark/>
          </w:tcPr>
          <w:p w14:paraId="2F7C0846" w14:textId="77777777" w:rsidR="000D5E5B" w:rsidRPr="008C20C3" w:rsidRDefault="000D5E5B" w:rsidP="000F3320">
            <w:pPr>
              <w:rPr>
                <w:sz w:val="20"/>
              </w:rPr>
            </w:pPr>
          </w:p>
        </w:tc>
      </w:tr>
      <w:tr w:rsidR="000D5E5B" w:rsidRPr="008C20C3" w14:paraId="4332F145" w14:textId="77777777" w:rsidTr="000F3320">
        <w:trPr>
          <w:trHeight w:val="305"/>
        </w:trPr>
        <w:tc>
          <w:tcPr>
            <w:tcW w:w="4115" w:type="dxa"/>
            <w:tcBorders>
              <w:top w:val="nil"/>
              <w:left w:val="single" w:sz="4" w:space="0" w:color="auto"/>
              <w:bottom w:val="single" w:sz="4" w:space="0" w:color="auto"/>
              <w:right w:val="single" w:sz="4" w:space="0" w:color="auto"/>
            </w:tcBorders>
            <w:shd w:val="clear" w:color="auto" w:fill="auto"/>
            <w:noWrap/>
            <w:vAlign w:val="bottom"/>
            <w:hideMark/>
          </w:tcPr>
          <w:p w14:paraId="3A72DB00"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lastRenderedPageBreak/>
              <w:t>After Weighting</w:t>
            </w:r>
          </w:p>
        </w:tc>
        <w:tc>
          <w:tcPr>
            <w:tcW w:w="1100" w:type="dxa"/>
            <w:tcBorders>
              <w:top w:val="nil"/>
              <w:left w:val="nil"/>
              <w:bottom w:val="single" w:sz="4" w:space="0" w:color="auto"/>
              <w:right w:val="single" w:sz="4" w:space="0" w:color="auto"/>
            </w:tcBorders>
            <w:shd w:val="clear" w:color="auto" w:fill="auto"/>
            <w:noWrap/>
            <w:vAlign w:val="bottom"/>
            <w:hideMark/>
          </w:tcPr>
          <w:p w14:paraId="63485BF3" w14:textId="77777777" w:rsidR="000D5E5B" w:rsidRPr="008C20C3" w:rsidRDefault="000D5E5B" w:rsidP="000F3320">
            <w:pPr>
              <w:jc w:val="right"/>
              <w:rPr>
                <w:rFonts w:ascii="Calibri" w:hAnsi="Calibri" w:cs="Calibri"/>
                <w:color w:val="000000"/>
                <w:sz w:val="22"/>
                <w:szCs w:val="22"/>
              </w:rPr>
            </w:pPr>
            <w:r w:rsidRPr="008C20C3">
              <w:rPr>
                <w:rFonts w:ascii="Calibri" w:hAnsi="Calibri" w:cs="Calibri"/>
                <w:color w:val="000000"/>
                <w:sz w:val="22"/>
                <w:szCs w:val="22"/>
              </w:rPr>
              <w:t>7.</w:t>
            </w:r>
            <w:r>
              <w:rPr>
                <w:rFonts w:ascii="Calibri" w:hAnsi="Calibri" w:cs="Calibri"/>
                <w:color w:val="000000"/>
                <w:sz w:val="22"/>
                <w:szCs w:val="22"/>
              </w:rPr>
              <w:t>43</w:t>
            </w:r>
          </w:p>
        </w:tc>
        <w:tc>
          <w:tcPr>
            <w:tcW w:w="1457" w:type="dxa"/>
            <w:tcBorders>
              <w:top w:val="nil"/>
              <w:left w:val="nil"/>
              <w:bottom w:val="single" w:sz="4" w:space="0" w:color="auto"/>
              <w:right w:val="single" w:sz="4" w:space="0" w:color="auto"/>
            </w:tcBorders>
            <w:shd w:val="clear" w:color="auto" w:fill="auto"/>
            <w:noWrap/>
            <w:vAlign w:val="bottom"/>
            <w:hideMark/>
          </w:tcPr>
          <w:p w14:paraId="69FC6805" w14:textId="77777777" w:rsidR="000D5E5B" w:rsidRPr="008C20C3" w:rsidRDefault="000D5E5B" w:rsidP="000F3320">
            <w:pPr>
              <w:jc w:val="right"/>
              <w:rPr>
                <w:rFonts w:ascii="Calibri" w:hAnsi="Calibri" w:cs="Calibri"/>
                <w:color w:val="000000"/>
                <w:sz w:val="22"/>
                <w:szCs w:val="22"/>
              </w:rPr>
            </w:pPr>
            <w:r w:rsidRPr="008C20C3">
              <w:rPr>
                <w:rFonts w:ascii="Calibri" w:hAnsi="Calibri" w:cs="Calibri"/>
                <w:color w:val="000000"/>
                <w:sz w:val="22"/>
                <w:szCs w:val="22"/>
              </w:rPr>
              <w:t>51</w:t>
            </w:r>
          </w:p>
        </w:tc>
        <w:tc>
          <w:tcPr>
            <w:tcW w:w="1184" w:type="dxa"/>
            <w:tcBorders>
              <w:top w:val="nil"/>
              <w:left w:val="nil"/>
              <w:bottom w:val="nil"/>
              <w:right w:val="nil"/>
            </w:tcBorders>
            <w:shd w:val="clear" w:color="auto" w:fill="auto"/>
            <w:noWrap/>
            <w:vAlign w:val="bottom"/>
            <w:hideMark/>
          </w:tcPr>
          <w:p w14:paraId="132F737E" w14:textId="77777777" w:rsidR="000D5E5B" w:rsidRPr="008C20C3" w:rsidRDefault="000D5E5B" w:rsidP="000F3320">
            <w:pPr>
              <w:jc w:val="right"/>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14:paraId="1E6E5CED"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0AEFB3C3" w14:textId="77777777" w:rsidR="000D5E5B" w:rsidRPr="008C20C3" w:rsidRDefault="000D5E5B" w:rsidP="000F3320">
            <w:pPr>
              <w:rPr>
                <w:sz w:val="20"/>
              </w:rPr>
            </w:pPr>
          </w:p>
        </w:tc>
        <w:tc>
          <w:tcPr>
            <w:tcW w:w="1184" w:type="dxa"/>
            <w:tcBorders>
              <w:top w:val="nil"/>
              <w:left w:val="nil"/>
              <w:bottom w:val="nil"/>
              <w:right w:val="nil"/>
            </w:tcBorders>
            <w:shd w:val="clear" w:color="auto" w:fill="auto"/>
            <w:noWrap/>
            <w:vAlign w:val="bottom"/>
            <w:hideMark/>
          </w:tcPr>
          <w:p w14:paraId="28CFF424" w14:textId="77777777" w:rsidR="000D5E5B" w:rsidRPr="008C20C3" w:rsidRDefault="000D5E5B" w:rsidP="000F3320">
            <w:pPr>
              <w:rPr>
                <w:sz w:val="20"/>
              </w:rPr>
            </w:pPr>
          </w:p>
        </w:tc>
        <w:tc>
          <w:tcPr>
            <w:tcW w:w="1363" w:type="dxa"/>
            <w:tcBorders>
              <w:top w:val="nil"/>
              <w:left w:val="nil"/>
              <w:bottom w:val="nil"/>
              <w:right w:val="nil"/>
            </w:tcBorders>
            <w:shd w:val="clear" w:color="auto" w:fill="auto"/>
            <w:noWrap/>
            <w:vAlign w:val="bottom"/>
            <w:hideMark/>
          </w:tcPr>
          <w:p w14:paraId="4CD5DAAD" w14:textId="77777777" w:rsidR="000D5E5B" w:rsidRPr="008C20C3" w:rsidRDefault="000D5E5B" w:rsidP="000F3320">
            <w:pPr>
              <w:rPr>
                <w:sz w:val="20"/>
              </w:rPr>
            </w:pPr>
          </w:p>
        </w:tc>
      </w:tr>
    </w:tbl>
    <w:p w14:paraId="145EB66A" w14:textId="77777777" w:rsidR="000D5E5B" w:rsidRDefault="000D5E5B" w:rsidP="000D5E5B">
      <w:pPr>
        <w:pStyle w:val="SMHeading"/>
        <w:rPr>
          <w:rFonts w:ascii="Arial" w:hAnsi="Arial" w:cs="Arial"/>
          <w:sz w:val="20"/>
          <w:szCs w:val="20"/>
        </w:rPr>
      </w:pPr>
    </w:p>
    <w:p w14:paraId="1088CBE4" w14:textId="77777777" w:rsidR="000D5E5B" w:rsidRDefault="000D5E5B" w:rsidP="000D5E5B">
      <w:pPr>
        <w:rPr>
          <w:rFonts w:ascii="Arial" w:hAnsi="Arial" w:cs="Arial"/>
          <w:b/>
          <w:bCs/>
          <w:kern w:val="32"/>
          <w:sz w:val="20"/>
        </w:rPr>
      </w:pPr>
      <w:r>
        <w:rPr>
          <w:rFonts w:ascii="Arial" w:hAnsi="Arial" w:cs="Arial"/>
          <w:sz w:val="20"/>
        </w:rPr>
        <w:br w:type="page"/>
      </w:r>
    </w:p>
    <w:p w14:paraId="394CE0A3" w14:textId="18CA8523" w:rsidR="000031C9" w:rsidRPr="00356DB3" w:rsidRDefault="000D5E5B" w:rsidP="000D5E5B">
      <w:pPr>
        <w:pStyle w:val="SMHeading"/>
        <w:rPr>
          <w:rFonts w:ascii="Arial" w:hAnsi="Arial" w:cs="Arial"/>
          <w:b w:val="0"/>
          <w:bCs w:val="0"/>
          <w:sz w:val="20"/>
        </w:rPr>
      </w:pPr>
      <w:r>
        <w:rPr>
          <w:rFonts w:ascii="Arial" w:hAnsi="Arial" w:cs="Arial"/>
          <w:sz w:val="20"/>
          <w:szCs w:val="20"/>
        </w:rPr>
        <w:lastRenderedPageBreak/>
        <w:t>Table S3. C</w:t>
      </w:r>
      <w:r w:rsidR="000031C9">
        <w:rPr>
          <w:rFonts w:ascii="Arial" w:hAnsi="Arial" w:cs="Arial"/>
          <w:sz w:val="20"/>
        </w:rPr>
        <w:t>ovariate Balance Table for enrolled Protected Areas outside Amazonia</w:t>
      </w:r>
    </w:p>
    <w:tbl>
      <w:tblPr>
        <w:tblW w:w="13194" w:type="dxa"/>
        <w:tblLook w:val="04A0" w:firstRow="1" w:lastRow="0" w:firstColumn="1" w:lastColumn="0" w:noHBand="0" w:noVBand="1"/>
      </w:tblPr>
      <w:tblGrid>
        <w:gridCol w:w="4526"/>
        <w:gridCol w:w="986"/>
        <w:gridCol w:w="1291"/>
        <w:gridCol w:w="1220"/>
        <w:gridCol w:w="1388"/>
        <w:gridCol w:w="1291"/>
        <w:gridCol w:w="1291"/>
        <w:gridCol w:w="1388"/>
      </w:tblGrid>
      <w:tr w:rsidR="000031C9" w:rsidRPr="008C20C3" w14:paraId="56370DD5" w14:textId="77777777" w:rsidTr="00EC65EB">
        <w:trPr>
          <w:trHeight w:val="311"/>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2A2EF"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5E417CDF"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 </w:t>
            </w:r>
          </w:p>
        </w:tc>
        <w:tc>
          <w:tcPr>
            <w:tcW w:w="3875" w:type="dxa"/>
            <w:gridSpan w:val="3"/>
            <w:tcBorders>
              <w:top w:val="single" w:sz="4" w:space="0" w:color="auto"/>
              <w:left w:val="nil"/>
              <w:bottom w:val="single" w:sz="4" w:space="0" w:color="auto"/>
              <w:right w:val="single" w:sz="4" w:space="0" w:color="auto"/>
            </w:tcBorders>
            <w:shd w:val="clear" w:color="auto" w:fill="auto"/>
            <w:vAlign w:val="bottom"/>
            <w:hideMark/>
          </w:tcPr>
          <w:p w14:paraId="11604CE2" w14:textId="77777777" w:rsidR="000031C9" w:rsidRPr="008C20C3" w:rsidRDefault="000031C9" w:rsidP="00C10D19">
            <w:pPr>
              <w:jc w:val="center"/>
              <w:rPr>
                <w:rFonts w:ascii="Calibri" w:hAnsi="Calibri" w:cs="Calibri"/>
                <w:color w:val="000000"/>
                <w:sz w:val="22"/>
                <w:szCs w:val="22"/>
              </w:rPr>
            </w:pPr>
            <w:r w:rsidRPr="008C20C3">
              <w:rPr>
                <w:rFonts w:ascii="Calibri" w:hAnsi="Calibri" w:cs="Calibri"/>
                <w:color w:val="000000"/>
                <w:sz w:val="22"/>
                <w:szCs w:val="22"/>
              </w:rPr>
              <w:t>Before Weighting on                                        the Propensity Score</w:t>
            </w:r>
          </w:p>
        </w:tc>
        <w:tc>
          <w:tcPr>
            <w:tcW w:w="3875"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7233B9" w14:textId="77777777" w:rsidR="000031C9" w:rsidRPr="008C20C3" w:rsidRDefault="000031C9" w:rsidP="00C10D19">
            <w:pPr>
              <w:jc w:val="center"/>
              <w:rPr>
                <w:rFonts w:ascii="Calibri" w:hAnsi="Calibri" w:cs="Calibri"/>
                <w:color w:val="000000"/>
                <w:sz w:val="22"/>
                <w:szCs w:val="22"/>
              </w:rPr>
            </w:pPr>
            <w:r w:rsidRPr="008C20C3">
              <w:rPr>
                <w:rFonts w:ascii="Calibri" w:hAnsi="Calibri" w:cs="Calibri"/>
                <w:color w:val="000000"/>
                <w:sz w:val="22"/>
                <w:szCs w:val="22"/>
              </w:rPr>
              <w:t>After Weighting</w:t>
            </w:r>
          </w:p>
        </w:tc>
      </w:tr>
      <w:tr w:rsidR="000031C9" w:rsidRPr="008C20C3" w14:paraId="7D0DFB0A" w14:textId="77777777" w:rsidTr="004D5E91">
        <w:trPr>
          <w:trHeight w:val="1557"/>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191A851D"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 </w:t>
            </w:r>
          </w:p>
        </w:tc>
        <w:tc>
          <w:tcPr>
            <w:tcW w:w="918" w:type="dxa"/>
            <w:tcBorders>
              <w:top w:val="nil"/>
              <w:left w:val="nil"/>
              <w:bottom w:val="single" w:sz="4" w:space="0" w:color="auto"/>
              <w:right w:val="single" w:sz="4" w:space="0" w:color="auto"/>
            </w:tcBorders>
            <w:shd w:val="clear" w:color="auto" w:fill="auto"/>
            <w:noWrap/>
            <w:vAlign w:val="bottom"/>
            <w:hideMark/>
          </w:tcPr>
          <w:p w14:paraId="2971701F"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Type</w:t>
            </w:r>
          </w:p>
        </w:tc>
        <w:tc>
          <w:tcPr>
            <w:tcW w:w="1291" w:type="dxa"/>
            <w:tcBorders>
              <w:top w:val="nil"/>
              <w:left w:val="nil"/>
              <w:bottom w:val="single" w:sz="4" w:space="0" w:color="auto"/>
              <w:right w:val="single" w:sz="4" w:space="0" w:color="auto"/>
            </w:tcBorders>
            <w:shd w:val="clear" w:color="auto" w:fill="auto"/>
            <w:noWrap/>
            <w:vAlign w:val="bottom"/>
            <w:hideMark/>
          </w:tcPr>
          <w:p w14:paraId="7FE70CC8"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Control</w:t>
            </w:r>
          </w:p>
        </w:tc>
        <w:tc>
          <w:tcPr>
            <w:tcW w:w="1220" w:type="dxa"/>
            <w:tcBorders>
              <w:top w:val="nil"/>
              <w:left w:val="nil"/>
              <w:bottom w:val="single" w:sz="4" w:space="0" w:color="auto"/>
              <w:right w:val="single" w:sz="4" w:space="0" w:color="auto"/>
            </w:tcBorders>
            <w:shd w:val="clear" w:color="auto" w:fill="auto"/>
            <w:noWrap/>
            <w:vAlign w:val="bottom"/>
            <w:hideMark/>
          </w:tcPr>
          <w:p w14:paraId="5DE24559"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Treated</w:t>
            </w:r>
          </w:p>
        </w:tc>
        <w:tc>
          <w:tcPr>
            <w:tcW w:w="1363" w:type="dxa"/>
            <w:tcBorders>
              <w:top w:val="nil"/>
              <w:left w:val="nil"/>
              <w:bottom w:val="single" w:sz="4" w:space="0" w:color="auto"/>
              <w:right w:val="single" w:sz="4" w:space="0" w:color="auto"/>
            </w:tcBorders>
            <w:shd w:val="clear" w:color="auto" w:fill="A6A6A6" w:themeFill="background1" w:themeFillShade="A6"/>
            <w:vAlign w:val="bottom"/>
            <w:hideMark/>
          </w:tcPr>
          <w:p w14:paraId="4C8B485D"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Standardized Difference in Means</w:t>
            </w:r>
          </w:p>
        </w:tc>
        <w:tc>
          <w:tcPr>
            <w:tcW w:w="1291" w:type="dxa"/>
            <w:tcBorders>
              <w:top w:val="nil"/>
              <w:left w:val="nil"/>
              <w:bottom w:val="single" w:sz="4" w:space="0" w:color="auto"/>
              <w:right w:val="single" w:sz="4" w:space="0" w:color="auto"/>
            </w:tcBorders>
            <w:shd w:val="clear" w:color="auto" w:fill="auto"/>
            <w:noWrap/>
            <w:vAlign w:val="bottom"/>
            <w:hideMark/>
          </w:tcPr>
          <w:p w14:paraId="1663FA3E"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Control</w:t>
            </w:r>
          </w:p>
        </w:tc>
        <w:tc>
          <w:tcPr>
            <w:tcW w:w="1291" w:type="dxa"/>
            <w:tcBorders>
              <w:top w:val="nil"/>
              <w:left w:val="nil"/>
              <w:bottom w:val="single" w:sz="4" w:space="0" w:color="auto"/>
              <w:right w:val="single" w:sz="4" w:space="0" w:color="auto"/>
            </w:tcBorders>
            <w:shd w:val="clear" w:color="auto" w:fill="auto"/>
            <w:noWrap/>
            <w:vAlign w:val="bottom"/>
            <w:hideMark/>
          </w:tcPr>
          <w:p w14:paraId="1483E9ED"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Treated</w:t>
            </w:r>
          </w:p>
        </w:tc>
        <w:tc>
          <w:tcPr>
            <w:tcW w:w="1292" w:type="dxa"/>
            <w:tcBorders>
              <w:top w:val="nil"/>
              <w:left w:val="nil"/>
              <w:bottom w:val="single" w:sz="4" w:space="0" w:color="auto"/>
              <w:right w:val="single" w:sz="4" w:space="0" w:color="auto"/>
            </w:tcBorders>
            <w:shd w:val="clear" w:color="auto" w:fill="A6A6A6" w:themeFill="background1" w:themeFillShade="A6"/>
            <w:vAlign w:val="bottom"/>
            <w:hideMark/>
          </w:tcPr>
          <w:p w14:paraId="23B1F4ED"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Standardized Difference in Means</w:t>
            </w:r>
          </w:p>
        </w:tc>
      </w:tr>
      <w:tr w:rsidR="000031C9" w:rsidRPr="008C20C3" w14:paraId="3B8DA50C" w14:textId="77777777" w:rsidTr="004D5E91">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1C64B1C3"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Propensity Score</w:t>
            </w:r>
          </w:p>
        </w:tc>
        <w:tc>
          <w:tcPr>
            <w:tcW w:w="918" w:type="dxa"/>
            <w:tcBorders>
              <w:top w:val="nil"/>
              <w:left w:val="nil"/>
              <w:bottom w:val="single" w:sz="4" w:space="0" w:color="auto"/>
              <w:right w:val="single" w:sz="4" w:space="0" w:color="auto"/>
            </w:tcBorders>
            <w:shd w:val="clear" w:color="auto" w:fill="auto"/>
            <w:noWrap/>
            <w:vAlign w:val="bottom"/>
            <w:hideMark/>
          </w:tcPr>
          <w:p w14:paraId="5E043485"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Distance</w:t>
            </w:r>
          </w:p>
        </w:tc>
        <w:tc>
          <w:tcPr>
            <w:tcW w:w="1291" w:type="dxa"/>
            <w:tcBorders>
              <w:top w:val="nil"/>
              <w:left w:val="nil"/>
              <w:bottom w:val="single" w:sz="4" w:space="0" w:color="auto"/>
              <w:right w:val="single" w:sz="4" w:space="0" w:color="auto"/>
            </w:tcBorders>
            <w:shd w:val="clear" w:color="auto" w:fill="auto"/>
            <w:noWrap/>
            <w:vAlign w:val="bottom"/>
          </w:tcPr>
          <w:p w14:paraId="625FB25F" w14:textId="2350836C" w:rsidR="000031C9" w:rsidRPr="008C20C3" w:rsidRDefault="008C60B3" w:rsidP="00C10D19">
            <w:pPr>
              <w:jc w:val="right"/>
              <w:rPr>
                <w:rFonts w:ascii="Calibri" w:hAnsi="Calibri" w:cs="Calibri"/>
                <w:color w:val="000000"/>
                <w:sz w:val="22"/>
                <w:szCs w:val="22"/>
              </w:rPr>
            </w:pPr>
            <w:r w:rsidRPr="008C60B3">
              <w:rPr>
                <w:rFonts w:ascii="Calibri" w:hAnsi="Calibri" w:cs="Calibri"/>
                <w:color w:val="000000"/>
                <w:sz w:val="22"/>
                <w:szCs w:val="22"/>
              </w:rPr>
              <w:t xml:space="preserve">0.1227      </w:t>
            </w:r>
          </w:p>
        </w:tc>
        <w:tc>
          <w:tcPr>
            <w:tcW w:w="1220" w:type="dxa"/>
            <w:tcBorders>
              <w:top w:val="nil"/>
              <w:left w:val="nil"/>
              <w:bottom w:val="single" w:sz="4" w:space="0" w:color="auto"/>
              <w:right w:val="single" w:sz="4" w:space="0" w:color="auto"/>
            </w:tcBorders>
            <w:shd w:val="clear" w:color="auto" w:fill="auto"/>
            <w:noWrap/>
            <w:vAlign w:val="bottom"/>
          </w:tcPr>
          <w:p w14:paraId="0C4AE179" w14:textId="177F6AAF" w:rsidR="000031C9" w:rsidRPr="008C20C3" w:rsidRDefault="0087014C" w:rsidP="00C10D19">
            <w:pPr>
              <w:jc w:val="right"/>
              <w:rPr>
                <w:rFonts w:ascii="Calibri" w:hAnsi="Calibri" w:cs="Calibri"/>
                <w:color w:val="000000"/>
                <w:sz w:val="22"/>
                <w:szCs w:val="22"/>
              </w:rPr>
            </w:pPr>
            <w:r w:rsidRPr="008C60B3">
              <w:rPr>
                <w:rFonts w:ascii="Calibri" w:hAnsi="Calibri" w:cs="Calibri"/>
                <w:color w:val="000000"/>
                <w:sz w:val="22"/>
                <w:szCs w:val="22"/>
              </w:rPr>
              <w:t xml:space="preserve">0.5500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2FB89535" w14:textId="191FE8CB" w:rsidR="000031C9" w:rsidRPr="008C20C3" w:rsidRDefault="0087014C" w:rsidP="00C10D19">
            <w:pPr>
              <w:jc w:val="right"/>
              <w:rPr>
                <w:rFonts w:ascii="Calibri" w:hAnsi="Calibri" w:cs="Calibri"/>
                <w:color w:val="000000"/>
                <w:sz w:val="22"/>
                <w:szCs w:val="22"/>
              </w:rPr>
            </w:pPr>
            <w:r w:rsidRPr="008C60B3">
              <w:rPr>
                <w:rFonts w:ascii="Calibri" w:hAnsi="Calibri" w:cs="Calibri"/>
                <w:color w:val="000000"/>
                <w:sz w:val="22"/>
                <w:szCs w:val="22"/>
              </w:rPr>
              <w:t xml:space="preserve">1.0561       </w:t>
            </w:r>
          </w:p>
        </w:tc>
        <w:tc>
          <w:tcPr>
            <w:tcW w:w="1291" w:type="dxa"/>
            <w:tcBorders>
              <w:top w:val="nil"/>
              <w:left w:val="nil"/>
              <w:bottom w:val="single" w:sz="4" w:space="0" w:color="auto"/>
              <w:right w:val="single" w:sz="4" w:space="0" w:color="auto"/>
            </w:tcBorders>
            <w:shd w:val="clear" w:color="auto" w:fill="auto"/>
            <w:noWrap/>
            <w:vAlign w:val="bottom"/>
          </w:tcPr>
          <w:p w14:paraId="5740D936" w14:textId="36A6B5E8" w:rsidR="000031C9" w:rsidRPr="008C20C3" w:rsidRDefault="0087014C" w:rsidP="00C10D19">
            <w:pPr>
              <w:jc w:val="right"/>
              <w:rPr>
                <w:rFonts w:ascii="Calibri" w:hAnsi="Calibri" w:cs="Calibri"/>
                <w:color w:val="000000"/>
                <w:sz w:val="22"/>
                <w:szCs w:val="22"/>
              </w:rPr>
            </w:pPr>
            <w:r w:rsidRPr="008C60B3">
              <w:rPr>
                <w:rFonts w:ascii="Calibri" w:hAnsi="Calibri" w:cs="Calibri"/>
                <w:color w:val="000000"/>
                <w:sz w:val="22"/>
                <w:szCs w:val="22"/>
              </w:rPr>
              <w:t xml:space="preserve">0.2742       </w:t>
            </w:r>
          </w:p>
        </w:tc>
        <w:tc>
          <w:tcPr>
            <w:tcW w:w="1291" w:type="dxa"/>
            <w:tcBorders>
              <w:top w:val="nil"/>
              <w:left w:val="nil"/>
              <w:bottom w:val="single" w:sz="4" w:space="0" w:color="auto"/>
              <w:right w:val="single" w:sz="4" w:space="0" w:color="auto"/>
            </w:tcBorders>
            <w:shd w:val="clear" w:color="auto" w:fill="auto"/>
            <w:noWrap/>
            <w:vAlign w:val="bottom"/>
          </w:tcPr>
          <w:p w14:paraId="6DD9C6FA" w14:textId="07B684B4" w:rsidR="000031C9" w:rsidRPr="008C20C3" w:rsidRDefault="0087014C" w:rsidP="00C10D19">
            <w:pPr>
              <w:jc w:val="right"/>
              <w:rPr>
                <w:rFonts w:ascii="Calibri" w:hAnsi="Calibri" w:cs="Calibri"/>
                <w:color w:val="000000"/>
                <w:sz w:val="22"/>
                <w:szCs w:val="22"/>
              </w:rPr>
            </w:pPr>
            <w:r w:rsidRPr="008C60B3">
              <w:rPr>
                <w:rFonts w:ascii="Calibri" w:hAnsi="Calibri" w:cs="Calibri"/>
                <w:color w:val="000000"/>
                <w:sz w:val="22"/>
                <w:szCs w:val="22"/>
              </w:rPr>
              <w:t xml:space="preserve">0.5500       </w:t>
            </w:r>
          </w:p>
        </w:tc>
        <w:tc>
          <w:tcPr>
            <w:tcW w:w="1292" w:type="dxa"/>
            <w:tcBorders>
              <w:top w:val="nil"/>
              <w:left w:val="nil"/>
              <w:bottom w:val="single" w:sz="4" w:space="0" w:color="auto"/>
              <w:right w:val="single" w:sz="4" w:space="0" w:color="auto"/>
            </w:tcBorders>
            <w:shd w:val="clear" w:color="auto" w:fill="A6A6A6" w:themeFill="background1" w:themeFillShade="A6"/>
            <w:noWrap/>
            <w:vAlign w:val="bottom"/>
          </w:tcPr>
          <w:p w14:paraId="56B36745" w14:textId="000D9D20" w:rsidR="000031C9" w:rsidRPr="008C20C3" w:rsidRDefault="0087014C" w:rsidP="00C10D19">
            <w:pPr>
              <w:jc w:val="right"/>
              <w:rPr>
                <w:rFonts w:ascii="Calibri" w:hAnsi="Calibri" w:cs="Calibri"/>
                <w:color w:val="000000"/>
                <w:sz w:val="22"/>
                <w:szCs w:val="22"/>
              </w:rPr>
            </w:pPr>
            <w:r w:rsidRPr="008C60B3">
              <w:rPr>
                <w:rFonts w:ascii="Calibri" w:hAnsi="Calibri" w:cs="Calibri"/>
                <w:color w:val="000000"/>
                <w:sz w:val="22"/>
                <w:szCs w:val="22"/>
              </w:rPr>
              <w:t>0.6816</w:t>
            </w:r>
          </w:p>
        </w:tc>
      </w:tr>
      <w:tr w:rsidR="000031C9" w:rsidRPr="008C20C3" w14:paraId="368CA6F5" w14:textId="77777777" w:rsidTr="004D5E91">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4401952D"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Distance to road in km</w:t>
            </w:r>
          </w:p>
        </w:tc>
        <w:tc>
          <w:tcPr>
            <w:tcW w:w="918" w:type="dxa"/>
            <w:tcBorders>
              <w:top w:val="nil"/>
              <w:left w:val="nil"/>
              <w:bottom w:val="single" w:sz="4" w:space="0" w:color="auto"/>
              <w:right w:val="single" w:sz="4" w:space="0" w:color="auto"/>
            </w:tcBorders>
            <w:shd w:val="clear" w:color="auto" w:fill="auto"/>
            <w:noWrap/>
            <w:vAlign w:val="bottom"/>
            <w:hideMark/>
          </w:tcPr>
          <w:p w14:paraId="0BC4B4B2"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Contin.</w:t>
            </w:r>
          </w:p>
        </w:tc>
        <w:tc>
          <w:tcPr>
            <w:tcW w:w="1291" w:type="dxa"/>
            <w:tcBorders>
              <w:top w:val="nil"/>
              <w:left w:val="nil"/>
              <w:bottom w:val="single" w:sz="4" w:space="0" w:color="auto"/>
              <w:right w:val="single" w:sz="4" w:space="0" w:color="auto"/>
            </w:tcBorders>
            <w:shd w:val="clear" w:color="auto" w:fill="auto"/>
            <w:noWrap/>
            <w:vAlign w:val="bottom"/>
          </w:tcPr>
          <w:p w14:paraId="1454BFDF" w14:textId="5631336F" w:rsidR="000031C9" w:rsidRPr="008C20C3" w:rsidRDefault="0087014C" w:rsidP="00C10D19">
            <w:pPr>
              <w:jc w:val="right"/>
              <w:rPr>
                <w:rFonts w:ascii="Calibri" w:hAnsi="Calibri" w:cs="Calibri"/>
                <w:color w:val="000000"/>
                <w:sz w:val="22"/>
                <w:szCs w:val="22"/>
              </w:rPr>
            </w:pPr>
            <w:r w:rsidRPr="0087014C">
              <w:rPr>
                <w:rFonts w:ascii="Calibri" w:hAnsi="Calibri" w:cs="Calibri"/>
                <w:color w:val="000000"/>
                <w:sz w:val="22"/>
                <w:szCs w:val="22"/>
              </w:rPr>
              <w:t xml:space="preserve">2.8249      </w:t>
            </w:r>
          </w:p>
        </w:tc>
        <w:tc>
          <w:tcPr>
            <w:tcW w:w="1220" w:type="dxa"/>
            <w:tcBorders>
              <w:top w:val="nil"/>
              <w:left w:val="nil"/>
              <w:bottom w:val="single" w:sz="4" w:space="0" w:color="auto"/>
              <w:right w:val="single" w:sz="4" w:space="0" w:color="auto"/>
            </w:tcBorders>
            <w:shd w:val="clear" w:color="auto" w:fill="auto"/>
            <w:noWrap/>
            <w:vAlign w:val="bottom"/>
          </w:tcPr>
          <w:p w14:paraId="12519220" w14:textId="19FC389F" w:rsidR="000031C9" w:rsidRPr="008C20C3" w:rsidRDefault="0087014C" w:rsidP="00C10D19">
            <w:pPr>
              <w:jc w:val="right"/>
              <w:rPr>
                <w:rFonts w:ascii="Calibri" w:hAnsi="Calibri" w:cs="Calibri"/>
                <w:color w:val="000000"/>
                <w:sz w:val="22"/>
                <w:szCs w:val="22"/>
              </w:rPr>
            </w:pPr>
            <w:r w:rsidRPr="0087014C">
              <w:rPr>
                <w:rFonts w:ascii="Calibri" w:hAnsi="Calibri" w:cs="Calibri"/>
                <w:color w:val="000000"/>
                <w:sz w:val="22"/>
                <w:szCs w:val="22"/>
              </w:rPr>
              <w:t xml:space="preserve">7.7125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5E5F8D5F" w14:textId="277C6A85" w:rsidR="000031C9" w:rsidRPr="008C20C3" w:rsidRDefault="0087014C" w:rsidP="00C10D19">
            <w:pPr>
              <w:jc w:val="right"/>
              <w:rPr>
                <w:rFonts w:ascii="Calibri" w:hAnsi="Calibri" w:cs="Calibri"/>
                <w:color w:val="000000"/>
                <w:sz w:val="22"/>
                <w:szCs w:val="22"/>
              </w:rPr>
            </w:pPr>
            <w:r w:rsidRPr="0087014C">
              <w:rPr>
                <w:rFonts w:ascii="Calibri" w:hAnsi="Calibri" w:cs="Calibri"/>
                <w:color w:val="000000"/>
                <w:sz w:val="22"/>
                <w:szCs w:val="22"/>
              </w:rPr>
              <w:t xml:space="preserve">0.8548       </w:t>
            </w:r>
          </w:p>
        </w:tc>
        <w:tc>
          <w:tcPr>
            <w:tcW w:w="1291" w:type="dxa"/>
            <w:tcBorders>
              <w:top w:val="nil"/>
              <w:left w:val="nil"/>
              <w:bottom w:val="single" w:sz="4" w:space="0" w:color="auto"/>
              <w:right w:val="single" w:sz="4" w:space="0" w:color="auto"/>
            </w:tcBorders>
            <w:shd w:val="clear" w:color="auto" w:fill="auto"/>
            <w:noWrap/>
            <w:vAlign w:val="bottom"/>
          </w:tcPr>
          <w:p w14:paraId="12BF54C0" w14:textId="15D209EC" w:rsidR="000031C9" w:rsidRPr="008C20C3" w:rsidRDefault="0087014C" w:rsidP="00C10D19">
            <w:pPr>
              <w:jc w:val="right"/>
              <w:rPr>
                <w:rFonts w:ascii="Calibri" w:hAnsi="Calibri" w:cs="Calibri"/>
                <w:color w:val="000000"/>
                <w:sz w:val="22"/>
                <w:szCs w:val="22"/>
              </w:rPr>
            </w:pPr>
            <w:r w:rsidRPr="0087014C">
              <w:rPr>
                <w:rFonts w:ascii="Calibri" w:hAnsi="Calibri" w:cs="Calibri"/>
                <w:color w:val="000000"/>
                <w:sz w:val="22"/>
                <w:szCs w:val="22"/>
              </w:rPr>
              <w:t xml:space="preserve">5.5094       </w:t>
            </w:r>
          </w:p>
        </w:tc>
        <w:tc>
          <w:tcPr>
            <w:tcW w:w="1291" w:type="dxa"/>
            <w:tcBorders>
              <w:top w:val="nil"/>
              <w:left w:val="nil"/>
              <w:bottom w:val="single" w:sz="4" w:space="0" w:color="auto"/>
              <w:right w:val="single" w:sz="4" w:space="0" w:color="auto"/>
            </w:tcBorders>
            <w:shd w:val="clear" w:color="auto" w:fill="auto"/>
            <w:noWrap/>
            <w:vAlign w:val="bottom"/>
          </w:tcPr>
          <w:p w14:paraId="5122F80E" w14:textId="62BABE61" w:rsidR="000031C9" w:rsidRPr="008C20C3" w:rsidRDefault="0087014C" w:rsidP="00C10D19">
            <w:pPr>
              <w:jc w:val="right"/>
              <w:rPr>
                <w:rFonts w:ascii="Calibri" w:hAnsi="Calibri" w:cs="Calibri"/>
                <w:color w:val="000000"/>
                <w:sz w:val="22"/>
                <w:szCs w:val="22"/>
              </w:rPr>
            </w:pPr>
            <w:r w:rsidRPr="0087014C">
              <w:rPr>
                <w:rFonts w:ascii="Calibri" w:hAnsi="Calibri" w:cs="Calibri"/>
                <w:color w:val="000000"/>
                <w:sz w:val="22"/>
                <w:szCs w:val="22"/>
              </w:rPr>
              <w:t xml:space="preserve">7.7125       </w:t>
            </w:r>
          </w:p>
        </w:tc>
        <w:tc>
          <w:tcPr>
            <w:tcW w:w="1292" w:type="dxa"/>
            <w:tcBorders>
              <w:top w:val="nil"/>
              <w:left w:val="nil"/>
              <w:bottom w:val="single" w:sz="4" w:space="0" w:color="auto"/>
              <w:right w:val="single" w:sz="4" w:space="0" w:color="auto"/>
            </w:tcBorders>
            <w:shd w:val="clear" w:color="auto" w:fill="A6A6A6" w:themeFill="background1" w:themeFillShade="A6"/>
            <w:noWrap/>
            <w:vAlign w:val="bottom"/>
          </w:tcPr>
          <w:p w14:paraId="459314AA" w14:textId="31266808" w:rsidR="000031C9" w:rsidRPr="008C20C3" w:rsidRDefault="0087014C" w:rsidP="00C10D19">
            <w:pPr>
              <w:jc w:val="right"/>
              <w:rPr>
                <w:rFonts w:ascii="Calibri" w:hAnsi="Calibri" w:cs="Calibri"/>
                <w:color w:val="000000"/>
                <w:sz w:val="22"/>
                <w:szCs w:val="22"/>
              </w:rPr>
            </w:pPr>
            <w:r w:rsidRPr="0087014C">
              <w:rPr>
                <w:rFonts w:ascii="Calibri" w:hAnsi="Calibri" w:cs="Calibri"/>
                <w:color w:val="000000"/>
                <w:sz w:val="22"/>
                <w:szCs w:val="22"/>
              </w:rPr>
              <w:t>0.3853</w:t>
            </w:r>
          </w:p>
        </w:tc>
      </w:tr>
      <w:tr w:rsidR="00B8385F" w:rsidRPr="008C20C3" w14:paraId="3A851BC9" w14:textId="77777777" w:rsidTr="004D5E91">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4CEDDFBE" w14:textId="3FC859AD" w:rsidR="00B8385F" w:rsidRPr="008C20C3" w:rsidRDefault="00B8385F" w:rsidP="00B8385F">
            <w:pPr>
              <w:rPr>
                <w:rFonts w:ascii="Calibri" w:hAnsi="Calibri" w:cs="Calibri"/>
                <w:color w:val="000000"/>
                <w:sz w:val="22"/>
                <w:szCs w:val="22"/>
              </w:rPr>
            </w:pPr>
            <w:r w:rsidRPr="009E3797">
              <w:rPr>
                <w:rFonts w:ascii="Calibri" w:hAnsi="Calibri" w:cs="Calibri"/>
                <w:color w:val="000000"/>
                <w:sz w:val="22"/>
                <w:szCs w:val="22"/>
              </w:rPr>
              <w:t>Forest cover loss 2000-20</w:t>
            </w:r>
            <w:r>
              <w:rPr>
                <w:rFonts w:ascii="Calibri" w:hAnsi="Calibri" w:cs="Calibri"/>
                <w:color w:val="000000"/>
                <w:sz w:val="22"/>
                <w:szCs w:val="22"/>
              </w:rPr>
              <w:t>04</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18" w:type="dxa"/>
            <w:tcBorders>
              <w:top w:val="nil"/>
              <w:left w:val="nil"/>
              <w:bottom w:val="single" w:sz="4" w:space="0" w:color="auto"/>
              <w:right w:val="single" w:sz="4" w:space="0" w:color="auto"/>
            </w:tcBorders>
            <w:shd w:val="clear" w:color="auto" w:fill="auto"/>
            <w:noWrap/>
            <w:vAlign w:val="bottom"/>
            <w:hideMark/>
          </w:tcPr>
          <w:p w14:paraId="5CAD5496" w14:textId="77777777" w:rsidR="00B8385F" w:rsidRPr="008C20C3" w:rsidRDefault="00B8385F" w:rsidP="00B8385F">
            <w:pPr>
              <w:rPr>
                <w:rFonts w:ascii="Calibri" w:hAnsi="Calibri" w:cs="Calibri"/>
                <w:color w:val="000000"/>
                <w:sz w:val="22"/>
                <w:szCs w:val="22"/>
              </w:rPr>
            </w:pPr>
            <w:r w:rsidRPr="008C20C3">
              <w:rPr>
                <w:rFonts w:ascii="Calibri" w:hAnsi="Calibri" w:cs="Calibri"/>
                <w:color w:val="000000"/>
                <w:sz w:val="22"/>
                <w:szCs w:val="22"/>
              </w:rPr>
              <w:t>Contin.</w:t>
            </w:r>
          </w:p>
        </w:tc>
        <w:tc>
          <w:tcPr>
            <w:tcW w:w="1291" w:type="dxa"/>
            <w:tcBorders>
              <w:top w:val="nil"/>
              <w:left w:val="nil"/>
              <w:bottom w:val="single" w:sz="4" w:space="0" w:color="auto"/>
              <w:right w:val="single" w:sz="4" w:space="0" w:color="auto"/>
            </w:tcBorders>
            <w:shd w:val="clear" w:color="auto" w:fill="auto"/>
            <w:noWrap/>
            <w:vAlign w:val="bottom"/>
          </w:tcPr>
          <w:p w14:paraId="0092F329" w14:textId="2B548627"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3.2055     </w:t>
            </w:r>
          </w:p>
        </w:tc>
        <w:tc>
          <w:tcPr>
            <w:tcW w:w="1220" w:type="dxa"/>
            <w:tcBorders>
              <w:top w:val="nil"/>
              <w:left w:val="nil"/>
              <w:bottom w:val="single" w:sz="4" w:space="0" w:color="auto"/>
              <w:right w:val="single" w:sz="4" w:space="0" w:color="auto"/>
            </w:tcBorders>
            <w:shd w:val="clear" w:color="auto" w:fill="auto"/>
            <w:noWrap/>
            <w:vAlign w:val="bottom"/>
          </w:tcPr>
          <w:p w14:paraId="20871841" w14:textId="5FA8831F"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11.9097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9BA3D78" w14:textId="07A5ED35"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0.5304       </w:t>
            </w:r>
          </w:p>
        </w:tc>
        <w:tc>
          <w:tcPr>
            <w:tcW w:w="1291" w:type="dxa"/>
            <w:tcBorders>
              <w:top w:val="nil"/>
              <w:left w:val="nil"/>
              <w:bottom w:val="single" w:sz="4" w:space="0" w:color="auto"/>
              <w:right w:val="single" w:sz="4" w:space="0" w:color="auto"/>
            </w:tcBorders>
            <w:shd w:val="clear" w:color="auto" w:fill="auto"/>
            <w:noWrap/>
            <w:vAlign w:val="bottom"/>
          </w:tcPr>
          <w:p w14:paraId="78D51159" w14:textId="75893C28"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3.3963      </w:t>
            </w:r>
          </w:p>
        </w:tc>
        <w:tc>
          <w:tcPr>
            <w:tcW w:w="1291" w:type="dxa"/>
            <w:tcBorders>
              <w:top w:val="nil"/>
              <w:left w:val="nil"/>
              <w:bottom w:val="single" w:sz="4" w:space="0" w:color="auto"/>
              <w:right w:val="single" w:sz="4" w:space="0" w:color="auto"/>
            </w:tcBorders>
            <w:shd w:val="clear" w:color="auto" w:fill="auto"/>
            <w:noWrap/>
            <w:vAlign w:val="bottom"/>
          </w:tcPr>
          <w:p w14:paraId="21078962" w14:textId="743CC8F3"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11.9097       </w:t>
            </w:r>
          </w:p>
        </w:tc>
        <w:tc>
          <w:tcPr>
            <w:tcW w:w="1292" w:type="dxa"/>
            <w:tcBorders>
              <w:top w:val="nil"/>
              <w:left w:val="nil"/>
              <w:bottom w:val="single" w:sz="4" w:space="0" w:color="auto"/>
              <w:right w:val="single" w:sz="4" w:space="0" w:color="auto"/>
            </w:tcBorders>
            <w:shd w:val="clear" w:color="auto" w:fill="A6A6A6" w:themeFill="background1" w:themeFillShade="A6"/>
            <w:noWrap/>
            <w:vAlign w:val="bottom"/>
          </w:tcPr>
          <w:p w14:paraId="392E266E" w14:textId="5AF5FB7A"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0.5188</w:t>
            </w:r>
          </w:p>
        </w:tc>
      </w:tr>
      <w:tr w:rsidR="00B8385F" w:rsidRPr="008C20C3" w14:paraId="369FE4B0" w14:textId="77777777" w:rsidTr="004D5E91">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1F87AEFC" w14:textId="200E3051" w:rsidR="00B8385F" w:rsidRPr="008C20C3" w:rsidRDefault="00B8385F" w:rsidP="00B8385F">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4</w:t>
            </w:r>
            <w:r w:rsidRPr="009E3797">
              <w:rPr>
                <w:rFonts w:ascii="Calibri" w:hAnsi="Calibri" w:cs="Calibri"/>
                <w:color w:val="000000"/>
                <w:sz w:val="22"/>
                <w:szCs w:val="22"/>
              </w:rPr>
              <w:t>-20</w:t>
            </w:r>
            <w:r>
              <w:rPr>
                <w:rFonts w:ascii="Calibri" w:hAnsi="Calibri" w:cs="Calibri"/>
                <w:color w:val="000000"/>
                <w:sz w:val="22"/>
                <w:szCs w:val="22"/>
              </w:rPr>
              <w:t>07</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18" w:type="dxa"/>
            <w:tcBorders>
              <w:top w:val="nil"/>
              <w:left w:val="nil"/>
              <w:bottom w:val="single" w:sz="4" w:space="0" w:color="auto"/>
              <w:right w:val="single" w:sz="4" w:space="0" w:color="auto"/>
            </w:tcBorders>
            <w:shd w:val="clear" w:color="auto" w:fill="auto"/>
            <w:noWrap/>
            <w:vAlign w:val="bottom"/>
            <w:hideMark/>
          </w:tcPr>
          <w:p w14:paraId="3350BF88" w14:textId="77777777" w:rsidR="00B8385F" w:rsidRPr="008C20C3" w:rsidRDefault="00B8385F" w:rsidP="00B8385F">
            <w:pPr>
              <w:rPr>
                <w:rFonts w:ascii="Calibri" w:hAnsi="Calibri" w:cs="Calibri"/>
                <w:color w:val="000000"/>
                <w:sz w:val="22"/>
                <w:szCs w:val="22"/>
              </w:rPr>
            </w:pPr>
            <w:r w:rsidRPr="008C20C3">
              <w:rPr>
                <w:rFonts w:ascii="Calibri" w:hAnsi="Calibri" w:cs="Calibri"/>
                <w:color w:val="000000"/>
                <w:sz w:val="22"/>
                <w:szCs w:val="22"/>
              </w:rPr>
              <w:t>Contin.</w:t>
            </w:r>
          </w:p>
        </w:tc>
        <w:tc>
          <w:tcPr>
            <w:tcW w:w="1291" w:type="dxa"/>
            <w:tcBorders>
              <w:top w:val="nil"/>
              <w:left w:val="nil"/>
              <w:bottom w:val="single" w:sz="4" w:space="0" w:color="auto"/>
              <w:right w:val="single" w:sz="4" w:space="0" w:color="auto"/>
            </w:tcBorders>
            <w:shd w:val="clear" w:color="auto" w:fill="auto"/>
            <w:noWrap/>
            <w:vAlign w:val="bottom"/>
          </w:tcPr>
          <w:p w14:paraId="3BD090E9" w14:textId="664881C0"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1.7593      </w:t>
            </w:r>
          </w:p>
        </w:tc>
        <w:tc>
          <w:tcPr>
            <w:tcW w:w="1220" w:type="dxa"/>
            <w:tcBorders>
              <w:top w:val="nil"/>
              <w:left w:val="nil"/>
              <w:bottom w:val="single" w:sz="4" w:space="0" w:color="auto"/>
              <w:right w:val="single" w:sz="4" w:space="0" w:color="auto"/>
            </w:tcBorders>
            <w:shd w:val="clear" w:color="auto" w:fill="auto"/>
            <w:noWrap/>
            <w:vAlign w:val="bottom"/>
          </w:tcPr>
          <w:p w14:paraId="4B53FF94" w14:textId="2C87471B"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4.9313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7080AECC" w14:textId="244D99E1"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0.5282       </w:t>
            </w:r>
          </w:p>
        </w:tc>
        <w:tc>
          <w:tcPr>
            <w:tcW w:w="1291" w:type="dxa"/>
            <w:tcBorders>
              <w:top w:val="nil"/>
              <w:left w:val="nil"/>
              <w:bottom w:val="single" w:sz="4" w:space="0" w:color="auto"/>
              <w:right w:val="single" w:sz="4" w:space="0" w:color="auto"/>
            </w:tcBorders>
            <w:shd w:val="clear" w:color="auto" w:fill="auto"/>
            <w:noWrap/>
            <w:vAlign w:val="bottom"/>
          </w:tcPr>
          <w:p w14:paraId="13BEC6BE" w14:textId="6A0CA8A3"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1.8324       </w:t>
            </w:r>
          </w:p>
        </w:tc>
        <w:tc>
          <w:tcPr>
            <w:tcW w:w="1291" w:type="dxa"/>
            <w:tcBorders>
              <w:top w:val="nil"/>
              <w:left w:val="nil"/>
              <w:bottom w:val="single" w:sz="4" w:space="0" w:color="auto"/>
              <w:right w:val="single" w:sz="4" w:space="0" w:color="auto"/>
            </w:tcBorders>
            <w:shd w:val="clear" w:color="auto" w:fill="auto"/>
            <w:noWrap/>
            <w:vAlign w:val="bottom"/>
          </w:tcPr>
          <w:p w14:paraId="18DB199A" w14:textId="5E6A4515"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4.9313       </w:t>
            </w:r>
          </w:p>
        </w:tc>
        <w:tc>
          <w:tcPr>
            <w:tcW w:w="1292" w:type="dxa"/>
            <w:tcBorders>
              <w:top w:val="nil"/>
              <w:left w:val="nil"/>
              <w:bottom w:val="single" w:sz="4" w:space="0" w:color="auto"/>
              <w:right w:val="single" w:sz="4" w:space="0" w:color="auto"/>
            </w:tcBorders>
            <w:shd w:val="clear" w:color="auto" w:fill="A6A6A6" w:themeFill="background1" w:themeFillShade="A6"/>
            <w:noWrap/>
            <w:vAlign w:val="bottom"/>
          </w:tcPr>
          <w:p w14:paraId="2871F3BA" w14:textId="2DE93183"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0.5161</w:t>
            </w:r>
          </w:p>
        </w:tc>
      </w:tr>
      <w:tr w:rsidR="00B8385F" w:rsidRPr="008C20C3" w14:paraId="3B12666E" w14:textId="77777777" w:rsidTr="004D5E91">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2F14FDAB" w14:textId="1A27BF97" w:rsidR="00B8385F" w:rsidRPr="008C20C3" w:rsidRDefault="00B8385F" w:rsidP="00B8385F">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7</w:t>
            </w:r>
            <w:r w:rsidRPr="009E3797">
              <w:rPr>
                <w:rFonts w:ascii="Calibri" w:hAnsi="Calibri" w:cs="Calibri"/>
                <w:color w:val="000000"/>
                <w:sz w:val="22"/>
                <w:szCs w:val="22"/>
              </w:rPr>
              <w:t>-20</w:t>
            </w:r>
            <w:r>
              <w:rPr>
                <w:rFonts w:ascii="Calibri" w:hAnsi="Calibri" w:cs="Calibri"/>
                <w:color w:val="000000"/>
                <w:sz w:val="22"/>
                <w:szCs w:val="22"/>
              </w:rPr>
              <w:t>10</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18" w:type="dxa"/>
            <w:tcBorders>
              <w:top w:val="nil"/>
              <w:left w:val="nil"/>
              <w:bottom w:val="single" w:sz="4" w:space="0" w:color="auto"/>
              <w:right w:val="single" w:sz="4" w:space="0" w:color="auto"/>
            </w:tcBorders>
            <w:shd w:val="clear" w:color="auto" w:fill="auto"/>
            <w:noWrap/>
            <w:vAlign w:val="bottom"/>
            <w:hideMark/>
          </w:tcPr>
          <w:p w14:paraId="535458C5" w14:textId="015A65FC" w:rsidR="00B8385F" w:rsidRPr="008C20C3" w:rsidRDefault="0087014C" w:rsidP="00B8385F">
            <w:pPr>
              <w:rPr>
                <w:rFonts w:ascii="Calibri" w:hAnsi="Calibri" w:cs="Calibri"/>
                <w:color w:val="000000"/>
                <w:sz w:val="22"/>
                <w:szCs w:val="22"/>
              </w:rPr>
            </w:pPr>
            <w:r w:rsidRPr="008C20C3">
              <w:rPr>
                <w:rFonts w:ascii="Calibri" w:hAnsi="Calibri" w:cs="Calibri"/>
                <w:color w:val="000000"/>
                <w:sz w:val="22"/>
                <w:szCs w:val="22"/>
              </w:rPr>
              <w:t>Contin</w:t>
            </w:r>
          </w:p>
        </w:tc>
        <w:tc>
          <w:tcPr>
            <w:tcW w:w="1291" w:type="dxa"/>
            <w:tcBorders>
              <w:top w:val="nil"/>
              <w:left w:val="nil"/>
              <w:bottom w:val="single" w:sz="4" w:space="0" w:color="auto"/>
              <w:right w:val="single" w:sz="4" w:space="0" w:color="auto"/>
            </w:tcBorders>
            <w:shd w:val="clear" w:color="auto" w:fill="auto"/>
            <w:noWrap/>
            <w:vAlign w:val="bottom"/>
          </w:tcPr>
          <w:p w14:paraId="65DE5AA0" w14:textId="31F6775D"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1.7817      </w:t>
            </w:r>
          </w:p>
        </w:tc>
        <w:tc>
          <w:tcPr>
            <w:tcW w:w="1220" w:type="dxa"/>
            <w:tcBorders>
              <w:top w:val="nil"/>
              <w:left w:val="nil"/>
              <w:bottom w:val="single" w:sz="4" w:space="0" w:color="auto"/>
              <w:right w:val="single" w:sz="4" w:space="0" w:color="auto"/>
            </w:tcBorders>
            <w:shd w:val="clear" w:color="auto" w:fill="auto"/>
            <w:noWrap/>
            <w:vAlign w:val="bottom"/>
          </w:tcPr>
          <w:p w14:paraId="1E479CE5" w14:textId="46609E03"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2.6254      </w:t>
            </w:r>
          </w:p>
        </w:tc>
        <w:tc>
          <w:tcPr>
            <w:tcW w:w="1363" w:type="dxa"/>
            <w:tcBorders>
              <w:top w:val="nil"/>
              <w:left w:val="nil"/>
              <w:bottom w:val="single" w:sz="4" w:space="0" w:color="auto"/>
              <w:right w:val="single" w:sz="4" w:space="0" w:color="auto"/>
            </w:tcBorders>
            <w:shd w:val="clear" w:color="auto" w:fill="A6A6A6" w:themeFill="background1" w:themeFillShade="A6"/>
            <w:noWrap/>
            <w:vAlign w:val="bottom"/>
          </w:tcPr>
          <w:p w14:paraId="3C5ABED4" w14:textId="4BBB13E3"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0.2481       </w:t>
            </w:r>
          </w:p>
        </w:tc>
        <w:tc>
          <w:tcPr>
            <w:tcW w:w="1291" w:type="dxa"/>
            <w:tcBorders>
              <w:top w:val="nil"/>
              <w:left w:val="nil"/>
              <w:bottom w:val="single" w:sz="4" w:space="0" w:color="auto"/>
              <w:right w:val="single" w:sz="4" w:space="0" w:color="auto"/>
            </w:tcBorders>
            <w:shd w:val="clear" w:color="auto" w:fill="auto"/>
            <w:noWrap/>
            <w:vAlign w:val="bottom"/>
          </w:tcPr>
          <w:p w14:paraId="0057A95B" w14:textId="49B1C48F"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0.9866       </w:t>
            </w:r>
          </w:p>
        </w:tc>
        <w:tc>
          <w:tcPr>
            <w:tcW w:w="1291" w:type="dxa"/>
            <w:tcBorders>
              <w:top w:val="nil"/>
              <w:left w:val="nil"/>
              <w:bottom w:val="single" w:sz="4" w:space="0" w:color="auto"/>
              <w:right w:val="single" w:sz="4" w:space="0" w:color="auto"/>
            </w:tcBorders>
            <w:shd w:val="clear" w:color="auto" w:fill="auto"/>
            <w:noWrap/>
            <w:vAlign w:val="bottom"/>
          </w:tcPr>
          <w:p w14:paraId="3E08AF79" w14:textId="69171E31"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 xml:space="preserve">2.6254       </w:t>
            </w:r>
          </w:p>
        </w:tc>
        <w:tc>
          <w:tcPr>
            <w:tcW w:w="1292" w:type="dxa"/>
            <w:tcBorders>
              <w:top w:val="nil"/>
              <w:left w:val="nil"/>
              <w:bottom w:val="single" w:sz="4" w:space="0" w:color="auto"/>
              <w:right w:val="single" w:sz="4" w:space="0" w:color="auto"/>
            </w:tcBorders>
            <w:shd w:val="clear" w:color="auto" w:fill="A6A6A6" w:themeFill="background1" w:themeFillShade="A6"/>
            <w:noWrap/>
            <w:vAlign w:val="bottom"/>
          </w:tcPr>
          <w:p w14:paraId="6E407D43" w14:textId="36EE3A2F" w:rsidR="00B8385F" w:rsidRPr="008C20C3" w:rsidRDefault="0087014C" w:rsidP="00B8385F">
            <w:pPr>
              <w:jc w:val="right"/>
              <w:rPr>
                <w:rFonts w:ascii="Calibri" w:hAnsi="Calibri" w:cs="Calibri"/>
                <w:color w:val="000000"/>
                <w:sz w:val="22"/>
                <w:szCs w:val="22"/>
              </w:rPr>
            </w:pPr>
            <w:r w:rsidRPr="0087014C">
              <w:rPr>
                <w:rFonts w:ascii="Calibri" w:hAnsi="Calibri" w:cs="Calibri"/>
                <w:color w:val="000000"/>
                <w:sz w:val="22"/>
                <w:szCs w:val="22"/>
              </w:rPr>
              <w:t>0.4819</w:t>
            </w:r>
          </w:p>
        </w:tc>
      </w:tr>
      <w:tr w:rsidR="000031C9" w:rsidRPr="008C20C3" w14:paraId="50692ECD" w14:textId="77777777" w:rsidTr="00EC65EB">
        <w:trPr>
          <w:trHeight w:val="311"/>
        </w:trPr>
        <w:tc>
          <w:tcPr>
            <w:tcW w:w="4526" w:type="dxa"/>
            <w:tcBorders>
              <w:top w:val="nil"/>
              <w:left w:val="nil"/>
              <w:bottom w:val="nil"/>
              <w:right w:val="nil"/>
            </w:tcBorders>
            <w:shd w:val="clear" w:color="auto" w:fill="auto"/>
            <w:noWrap/>
            <w:vAlign w:val="bottom"/>
            <w:hideMark/>
          </w:tcPr>
          <w:p w14:paraId="35FC6A3C" w14:textId="77777777" w:rsidR="000031C9" w:rsidRPr="008C20C3" w:rsidRDefault="000031C9" w:rsidP="00C10D19">
            <w:pPr>
              <w:jc w:val="right"/>
              <w:rPr>
                <w:rFonts w:ascii="Calibri" w:hAnsi="Calibri" w:cs="Calibri"/>
                <w:color w:val="000000"/>
                <w:sz w:val="22"/>
                <w:szCs w:val="22"/>
              </w:rPr>
            </w:pPr>
          </w:p>
        </w:tc>
        <w:tc>
          <w:tcPr>
            <w:tcW w:w="918" w:type="dxa"/>
            <w:tcBorders>
              <w:top w:val="nil"/>
              <w:left w:val="nil"/>
              <w:bottom w:val="nil"/>
              <w:right w:val="nil"/>
            </w:tcBorders>
            <w:shd w:val="clear" w:color="auto" w:fill="auto"/>
            <w:noWrap/>
            <w:vAlign w:val="bottom"/>
            <w:hideMark/>
          </w:tcPr>
          <w:p w14:paraId="2F8441CF"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7FDD7D02" w14:textId="77777777" w:rsidR="000031C9" w:rsidRPr="008C20C3" w:rsidRDefault="000031C9" w:rsidP="00C10D19">
            <w:pPr>
              <w:rPr>
                <w:sz w:val="20"/>
              </w:rPr>
            </w:pPr>
          </w:p>
        </w:tc>
        <w:tc>
          <w:tcPr>
            <w:tcW w:w="1220" w:type="dxa"/>
            <w:tcBorders>
              <w:top w:val="nil"/>
              <w:left w:val="nil"/>
              <w:bottom w:val="nil"/>
              <w:right w:val="nil"/>
            </w:tcBorders>
            <w:shd w:val="clear" w:color="auto" w:fill="auto"/>
            <w:noWrap/>
            <w:vAlign w:val="bottom"/>
            <w:hideMark/>
          </w:tcPr>
          <w:p w14:paraId="6F11BB9F" w14:textId="77777777" w:rsidR="000031C9" w:rsidRPr="008C20C3" w:rsidRDefault="000031C9" w:rsidP="00C10D19">
            <w:pPr>
              <w:rPr>
                <w:sz w:val="20"/>
              </w:rPr>
            </w:pPr>
          </w:p>
        </w:tc>
        <w:tc>
          <w:tcPr>
            <w:tcW w:w="1363" w:type="dxa"/>
            <w:tcBorders>
              <w:top w:val="nil"/>
              <w:left w:val="nil"/>
              <w:bottom w:val="nil"/>
              <w:right w:val="nil"/>
            </w:tcBorders>
            <w:shd w:val="clear" w:color="auto" w:fill="auto"/>
            <w:noWrap/>
            <w:vAlign w:val="bottom"/>
            <w:hideMark/>
          </w:tcPr>
          <w:p w14:paraId="1657B362"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3D896A61"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5BC2D26B" w14:textId="77777777" w:rsidR="000031C9" w:rsidRPr="008C20C3" w:rsidRDefault="000031C9" w:rsidP="00C10D19">
            <w:pPr>
              <w:rPr>
                <w:sz w:val="20"/>
              </w:rPr>
            </w:pPr>
          </w:p>
        </w:tc>
        <w:tc>
          <w:tcPr>
            <w:tcW w:w="1292" w:type="dxa"/>
            <w:tcBorders>
              <w:top w:val="nil"/>
              <w:left w:val="nil"/>
              <w:bottom w:val="nil"/>
              <w:right w:val="nil"/>
            </w:tcBorders>
            <w:shd w:val="clear" w:color="auto" w:fill="auto"/>
            <w:noWrap/>
            <w:vAlign w:val="bottom"/>
            <w:hideMark/>
          </w:tcPr>
          <w:p w14:paraId="5C0F4223" w14:textId="77777777" w:rsidR="000031C9" w:rsidRPr="008C20C3" w:rsidRDefault="000031C9" w:rsidP="00C10D19">
            <w:pPr>
              <w:rPr>
                <w:sz w:val="20"/>
              </w:rPr>
            </w:pPr>
          </w:p>
        </w:tc>
      </w:tr>
      <w:tr w:rsidR="000031C9" w:rsidRPr="008C20C3" w14:paraId="6DE7337E" w14:textId="77777777" w:rsidTr="00EC65EB">
        <w:trPr>
          <w:trHeight w:val="311"/>
        </w:trPr>
        <w:tc>
          <w:tcPr>
            <w:tcW w:w="4526" w:type="dxa"/>
            <w:tcBorders>
              <w:top w:val="nil"/>
              <w:left w:val="nil"/>
              <w:bottom w:val="nil"/>
              <w:right w:val="nil"/>
            </w:tcBorders>
            <w:shd w:val="clear" w:color="auto" w:fill="auto"/>
            <w:noWrap/>
            <w:vAlign w:val="bottom"/>
            <w:hideMark/>
          </w:tcPr>
          <w:p w14:paraId="6E355280" w14:textId="77777777" w:rsidR="000031C9" w:rsidRPr="008C20C3" w:rsidRDefault="000031C9" w:rsidP="00C10D19">
            <w:pPr>
              <w:rPr>
                <w:sz w:val="20"/>
              </w:rPr>
            </w:pPr>
          </w:p>
        </w:tc>
        <w:tc>
          <w:tcPr>
            <w:tcW w:w="918" w:type="dxa"/>
            <w:tcBorders>
              <w:top w:val="nil"/>
              <w:left w:val="nil"/>
              <w:bottom w:val="nil"/>
              <w:right w:val="nil"/>
            </w:tcBorders>
            <w:shd w:val="clear" w:color="auto" w:fill="auto"/>
            <w:noWrap/>
            <w:vAlign w:val="bottom"/>
            <w:hideMark/>
          </w:tcPr>
          <w:p w14:paraId="0EAAE526"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4D25A4F7" w14:textId="77777777" w:rsidR="000031C9" w:rsidRPr="008C20C3" w:rsidRDefault="000031C9" w:rsidP="00C10D19">
            <w:pPr>
              <w:rPr>
                <w:sz w:val="20"/>
              </w:rPr>
            </w:pPr>
          </w:p>
        </w:tc>
        <w:tc>
          <w:tcPr>
            <w:tcW w:w="1220" w:type="dxa"/>
            <w:tcBorders>
              <w:top w:val="nil"/>
              <w:left w:val="nil"/>
              <w:bottom w:val="nil"/>
              <w:right w:val="nil"/>
            </w:tcBorders>
            <w:shd w:val="clear" w:color="auto" w:fill="auto"/>
            <w:noWrap/>
            <w:vAlign w:val="bottom"/>
            <w:hideMark/>
          </w:tcPr>
          <w:p w14:paraId="3836807B" w14:textId="77777777" w:rsidR="000031C9" w:rsidRPr="008C20C3" w:rsidRDefault="000031C9" w:rsidP="00C10D19">
            <w:pPr>
              <w:rPr>
                <w:sz w:val="20"/>
              </w:rPr>
            </w:pPr>
          </w:p>
        </w:tc>
        <w:tc>
          <w:tcPr>
            <w:tcW w:w="1363" w:type="dxa"/>
            <w:tcBorders>
              <w:top w:val="nil"/>
              <w:left w:val="nil"/>
              <w:bottom w:val="nil"/>
              <w:right w:val="nil"/>
            </w:tcBorders>
            <w:shd w:val="clear" w:color="auto" w:fill="auto"/>
            <w:noWrap/>
            <w:vAlign w:val="bottom"/>
            <w:hideMark/>
          </w:tcPr>
          <w:p w14:paraId="1DEBC5FA"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7916D2BF"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7B9FDBCD" w14:textId="77777777" w:rsidR="000031C9" w:rsidRPr="008C20C3" w:rsidRDefault="000031C9" w:rsidP="00C10D19">
            <w:pPr>
              <w:rPr>
                <w:sz w:val="20"/>
              </w:rPr>
            </w:pPr>
          </w:p>
        </w:tc>
        <w:tc>
          <w:tcPr>
            <w:tcW w:w="1292" w:type="dxa"/>
            <w:tcBorders>
              <w:top w:val="nil"/>
              <w:left w:val="nil"/>
              <w:bottom w:val="nil"/>
              <w:right w:val="nil"/>
            </w:tcBorders>
            <w:shd w:val="clear" w:color="auto" w:fill="auto"/>
            <w:noWrap/>
            <w:vAlign w:val="bottom"/>
            <w:hideMark/>
          </w:tcPr>
          <w:p w14:paraId="3EC02F66" w14:textId="77777777" w:rsidR="000031C9" w:rsidRPr="008C20C3" w:rsidRDefault="000031C9" w:rsidP="00C10D19">
            <w:pPr>
              <w:rPr>
                <w:sz w:val="20"/>
              </w:rPr>
            </w:pPr>
          </w:p>
        </w:tc>
      </w:tr>
      <w:tr w:rsidR="000031C9" w:rsidRPr="008C20C3" w14:paraId="7440681F" w14:textId="77777777" w:rsidTr="00EC65EB">
        <w:trPr>
          <w:trHeight w:val="311"/>
        </w:trPr>
        <w:tc>
          <w:tcPr>
            <w:tcW w:w="4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F6800"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 xml:space="preserve">Effective (Weighted) Sample Size </w:t>
            </w:r>
          </w:p>
        </w:tc>
        <w:tc>
          <w:tcPr>
            <w:tcW w:w="918" w:type="dxa"/>
            <w:tcBorders>
              <w:top w:val="single" w:sz="4" w:space="0" w:color="auto"/>
              <w:left w:val="nil"/>
              <w:bottom w:val="single" w:sz="4" w:space="0" w:color="auto"/>
              <w:right w:val="single" w:sz="4" w:space="0" w:color="auto"/>
            </w:tcBorders>
            <w:shd w:val="clear" w:color="auto" w:fill="auto"/>
            <w:noWrap/>
            <w:vAlign w:val="bottom"/>
            <w:hideMark/>
          </w:tcPr>
          <w:p w14:paraId="3935B253"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Control</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5C06EA53"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Treated</w:t>
            </w:r>
          </w:p>
        </w:tc>
        <w:tc>
          <w:tcPr>
            <w:tcW w:w="1220" w:type="dxa"/>
            <w:tcBorders>
              <w:top w:val="nil"/>
              <w:left w:val="nil"/>
              <w:bottom w:val="nil"/>
              <w:right w:val="nil"/>
            </w:tcBorders>
            <w:shd w:val="clear" w:color="auto" w:fill="auto"/>
            <w:noWrap/>
            <w:vAlign w:val="bottom"/>
            <w:hideMark/>
          </w:tcPr>
          <w:p w14:paraId="105859A2" w14:textId="77777777" w:rsidR="000031C9" w:rsidRPr="008C20C3" w:rsidRDefault="000031C9" w:rsidP="00C10D19">
            <w:pPr>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14:paraId="28734969"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69D40567"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05E02C78" w14:textId="77777777" w:rsidR="000031C9" w:rsidRPr="008C20C3" w:rsidRDefault="000031C9" w:rsidP="00C10D19">
            <w:pPr>
              <w:rPr>
                <w:sz w:val="20"/>
              </w:rPr>
            </w:pPr>
          </w:p>
        </w:tc>
        <w:tc>
          <w:tcPr>
            <w:tcW w:w="1292" w:type="dxa"/>
            <w:tcBorders>
              <w:top w:val="nil"/>
              <w:left w:val="nil"/>
              <w:bottom w:val="nil"/>
              <w:right w:val="nil"/>
            </w:tcBorders>
            <w:shd w:val="clear" w:color="auto" w:fill="auto"/>
            <w:noWrap/>
            <w:vAlign w:val="bottom"/>
            <w:hideMark/>
          </w:tcPr>
          <w:p w14:paraId="0416A83A" w14:textId="77777777" w:rsidR="000031C9" w:rsidRPr="008C20C3" w:rsidRDefault="000031C9" w:rsidP="00C10D19">
            <w:pPr>
              <w:rPr>
                <w:sz w:val="20"/>
              </w:rPr>
            </w:pPr>
          </w:p>
        </w:tc>
      </w:tr>
      <w:tr w:rsidR="000031C9" w:rsidRPr="008C20C3" w14:paraId="7784F19C" w14:textId="77777777" w:rsidTr="00EC65EB">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65E77029"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Before Weighting</w:t>
            </w:r>
          </w:p>
        </w:tc>
        <w:tc>
          <w:tcPr>
            <w:tcW w:w="918" w:type="dxa"/>
            <w:tcBorders>
              <w:top w:val="nil"/>
              <w:left w:val="nil"/>
              <w:bottom w:val="single" w:sz="4" w:space="0" w:color="auto"/>
              <w:right w:val="single" w:sz="4" w:space="0" w:color="auto"/>
            </w:tcBorders>
            <w:shd w:val="clear" w:color="auto" w:fill="auto"/>
            <w:noWrap/>
            <w:vAlign w:val="bottom"/>
            <w:hideMark/>
          </w:tcPr>
          <w:p w14:paraId="7AC6BB51" w14:textId="1B70C8A2" w:rsidR="000031C9" w:rsidRPr="008C20C3" w:rsidRDefault="00704A44" w:rsidP="00C10D19">
            <w:pPr>
              <w:jc w:val="right"/>
              <w:rPr>
                <w:rFonts w:ascii="Calibri" w:hAnsi="Calibri" w:cs="Calibri"/>
                <w:color w:val="000000"/>
                <w:sz w:val="22"/>
                <w:szCs w:val="22"/>
              </w:rPr>
            </w:pPr>
            <w:r>
              <w:rPr>
                <w:rFonts w:ascii="Calibri" w:hAnsi="Calibri" w:cs="Calibri"/>
                <w:color w:val="000000"/>
                <w:sz w:val="22"/>
                <w:szCs w:val="22"/>
              </w:rPr>
              <w:t>33</w:t>
            </w:r>
          </w:p>
        </w:tc>
        <w:tc>
          <w:tcPr>
            <w:tcW w:w="1291" w:type="dxa"/>
            <w:tcBorders>
              <w:top w:val="nil"/>
              <w:left w:val="nil"/>
              <w:bottom w:val="single" w:sz="4" w:space="0" w:color="auto"/>
              <w:right w:val="single" w:sz="4" w:space="0" w:color="auto"/>
            </w:tcBorders>
            <w:shd w:val="clear" w:color="auto" w:fill="auto"/>
            <w:noWrap/>
            <w:vAlign w:val="bottom"/>
            <w:hideMark/>
          </w:tcPr>
          <w:p w14:paraId="350D1E3E" w14:textId="0BA33BF4" w:rsidR="000031C9" w:rsidRPr="008C20C3" w:rsidRDefault="00704A44" w:rsidP="00C10D19">
            <w:pPr>
              <w:jc w:val="right"/>
              <w:rPr>
                <w:rFonts w:ascii="Calibri" w:hAnsi="Calibri" w:cs="Calibri"/>
                <w:color w:val="000000"/>
                <w:sz w:val="22"/>
                <w:szCs w:val="22"/>
              </w:rPr>
            </w:pPr>
            <w:r>
              <w:rPr>
                <w:rFonts w:ascii="Calibri" w:hAnsi="Calibri" w:cs="Calibri"/>
                <w:color w:val="000000"/>
                <w:sz w:val="22"/>
                <w:szCs w:val="22"/>
              </w:rPr>
              <w:t>9</w:t>
            </w:r>
          </w:p>
        </w:tc>
        <w:tc>
          <w:tcPr>
            <w:tcW w:w="1220" w:type="dxa"/>
            <w:tcBorders>
              <w:top w:val="nil"/>
              <w:left w:val="nil"/>
              <w:bottom w:val="nil"/>
              <w:right w:val="nil"/>
            </w:tcBorders>
            <w:shd w:val="clear" w:color="auto" w:fill="auto"/>
            <w:noWrap/>
            <w:vAlign w:val="bottom"/>
            <w:hideMark/>
          </w:tcPr>
          <w:p w14:paraId="534E0843" w14:textId="77777777" w:rsidR="000031C9" w:rsidRPr="008C20C3" w:rsidRDefault="000031C9" w:rsidP="00C10D19">
            <w:pPr>
              <w:jc w:val="right"/>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14:paraId="739FE713"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5870C3F4"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791A51D0" w14:textId="77777777" w:rsidR="000031C9" w:rsidRPr="008C20C3" w:rsidRDefault="000031C9" w:rsidP="00C10D19">
            <w:pPr>
              <w:rPr>
                <w:sz w:val="20"/>
              </w:rPr>
            </w:pPr>
          </w:p>
        </w:tc>
        <w:tc>
          <w:tcPr>
            <w:tcW w:w="1292" w:type="dxa"/>
            <w:tcBorders>
              <w:top w:val="nil"/>
              <w:left w:val="nil"/>
              <w:bottom w:val="nil"/>
              <w:right w:val="nil"/>
            </w:tcBorders>
            <w:shd w:val="clear" w:color="auto" w:fill="auto"/>
            <w:noWrap/>
            <w:vAlign w:val="bottom"/>
            <w:hideMark/>
          </w:tcPr>
          <w:p w14:paraId="01C1812B" w14:textId="77777777" w:rsidR="000031C9" w:rsidRPr="008C20C3" w:rsidRDefault="000031C9" w:rsidP="00C10D19">
            <w:pPr>
              <w:rPr>
                <w:sz w:val="20"/>
              </w:rPr>
            </w:pPr>
          </w:p>
        </w:tc>
      </w:tr>
      <w:tr w:rsidR="000031C9" w:rsidRPr="008C20C3" w14:paraId="3C1A869C" w14:textId="77777777" w:rsidTr="00EC65EB">
        <w:trPr>
          <w:trHeight w:val="311"/>
        </w:trPr>
        <w:tc>
          <w:tcPr>
            <w:tcW w:w="4526" w:type="dxa"/>
            <w:tcBorders>
              <w:top w:val="nil"/>
              <w:left w:val="single" w:sz="4" w:space="0" w:color="auto"/>
              <w:bottom w:val="single" w:sz="4" w:space="0" w:color="auto"/>
              <w:right w:val="single" w:sz="4" w:space="0" w:color="auto"/>
            </w:tcBorders>
            <w:shd w:val="clear" w:color="auto" w:fill="auto"/>
            <w:noWrap/>
            <w:vAlign w:val="bottom"/>
            <w:hideMark/>
          </w:tcPr>
          <w:p w14:paraId="4235E735" w14:textId="77777777" w:rsidR="000031C9" w:rsidRPr="008C20C3" w:rsidRDefault="000031C9" w:rsidP="00C10D19">
            <w:pPr>
              <w:rPr>
                <w:rFonts w:ascii="Calibri" w:hAnsi="Calibri" w:cs="Calibri"/>
                <w:color w:val="000000"/>
                <w:sz w:val="22"/>
                <w:szCs w:val="22"/>
              </w:rPr>
            </w:pPr>
            <w:r w:rsidRPr="008C20C3">
              <w:rPr>
                <w:rFonts w:ascii="Calibri" w:hAnsi="Calibri" w:cs="Calibri"/>
                <w:color w:val="000000"/>
                <w:sz w:val="22"/>
                <w:szCs w:val="22"/>
              </w:rPr>
              <w:t>After Weighting</w:t>
            </w:r>
          </w:p>
        </w:tc>
        <w:tc>
          <w:tcPr>
            <w:tcW w:w="918" w:type="dxa"/>
            <w:tcBorders>
              <w:top w:val="nil"/>
              <w:left w:val="nil"/>
              <w:bottom w:val="single" w:sz="4" w:space="0" w:color="auto"/>
              <w:right w:val="single" w:sz="4" w:space="0" w:color="auto"/>
            </w:tcBorders>
            <w:shd w:val="clear" w:color="auto" w:fill="auto"/>
            <w:noWrap/>
            <w:vAlign w:val="bottom"/>
            <w:hideMark/>
          </w:tcPr>
          <w:p w14:paraId="28F3BEA3" w14:textId="3D3FF18C" w:rsidR="000031C9" w:rsidRPr="008C20C3" w:rsidRDefault="008C60B3" w:rsidP="00C10D19">
            <w:pPr>
              <w:jc w:val="right"/>
              <w:rPr>
                <w:rFonts w:ascii="Calibri" w:hAnsi="Calibri" w:cs="Calibri"/>
                <w:color w:val="000000"/>
                <w:sz w:val="22"/>
                <w:szCs w:val="22"/>
              </w:rPr>
            </w:pPr>
            <w:r>
              <w:rPr>
                <w:rFonts w:ascii="Calibri" w:hAnsi="Calibri" w:cs="Calibri"/>
                <w:color w:val="000000"/>
                <w:sz w:val="22"/>
                <w:szCs w:val="22"/>
              </w:rPr>
              <w:t>12.48</w:t>
            </w:r>
          </w:p>
        </w:tc>
        <w:tc>
          <w:tcPr>
            <w:tcW w:w="1291" w:type="dxa"/>
            <w:tcBorders>
              <w:top w:val="nil"/>
              <w:left w:val="nil"/>
              <w:bottom w:val="single" w:sz="4" w:space="0" w:color="auto"/>
              <w:right w:val="single" w:sz="4" w:space="0" w:color="auto"/>
            </w:tcBorders>
            <w:shd w:val="clear" w:color="auto" w:fill="auto"/>
            <w:noWrap/>
            <w:vAlign w:val="bottom"/>
            <w:hideMark/>
          </w:tcPr>
          <w:p w14:paraId="29E539A6" w14:textId="3D03D67D" w:rsidR="000031C9" w:rsidRPr="008C20C3" w:rsidRDefault="00704A44" w:rsidP="00C10D19">
            <w:pPr>
              <w:jc w:val="right"/>
              <w:rPr>
                <w:rFonts w:ascii="Calibri" w:hAnsi="Calibri" w:cs="Calibri"/>
                <w:color w:val="000000"/>
                <w:sz w:val="22"/>
                <w:szCs w:val="22"/>
              </w:rPr>
            </w:pPr>
            <w:r>
              <w:rPr>
                <w:rFonts w:ascii="Calibri" w:hAnsi="Calibri" w:cs="Calibri"/>
                <w:color w:val="000000"/>
                <w:sz w:val="22"/>
                <w:szCs w:val="22"/>
              </w:rPr>
              <w:t>9</w:t>
            </w:r>
          </w:p>
        </w:tc>
        <w:tc>
          <w:tcPr>
            <w:tcW w:w="1220" w:type="dxa"/>
            <w:tcBorders>
              <w:top w:val="nil"/>
              <w:left w:val="nil"/>
              <w:bottom w:val="nil"/>
              <w:right w:val="nil"/>
            </w:tcBorders>
            <w:shd w:val="clear" w:color="auto" w:fill="auto"/>
            <w:noWrap/>
            <w:vAlign w:val="bottom"/>
            <w:hideMark/>
          </w:tcPr>
          <w:p w14:paraId="59E16540" w14:textId="77777777" w:rsidR="000031C9" w:rsidRPr="008C20C3" w:rsidRDefault="000031C9" w:rsidP="00C10D19">
            <w:pPr>
              <w:jc w:val="right"/>
              <w:rPr>
                <w:rFonts w:ascii="Calibri" w:hAnsi="Calibri" w:cs="Calibri"/>
                <w:color w:val="000000"/>
                <w:sz w:val="22"/>
                <w:szCs w:val="22"/>
              </w:rPr>
            </w:pPr>
          </w:p>
        </w:tc>
        <w:tc>
          <w:tcPr>
            <w:tcW w:w="1363" w:type="dxa"/>
            <w:tcBorders>
              <w:top w:val="nil"/>
              <w:left w:val="nil"/>
              <w:bottom w:val="nil"/>
              <w:right w:val="nil"/>
            </w:tcBorders>
            <w:shd w:val="clear" w:color="auto" w:fill="auto"/>
            <w:noWrap/>
            <w:vAlign w:val="bottom"/>
            <w:hideMark/>
          </w:tcPr>
          <w:p w14:paraId="36F6412F"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202F885C" w14:textId="77777777" w:rsidR="000031C9" w:rsidRPr="008C20C3" w:rsidRDefault="000031C9" w:rsidP="00C10D19">
            <w:pPr>
              <w:rPr>
                <w:sz w:val="20"/>
              </w:rPr>
            </w:pPr>
          </w:p>
        </w:tc>
        <w:tc>
          <w:tcPr>
            <w:tcW w:w="1291" w:type="dxa"/>
            <w:tcBorders>
              <w:top w:val="nil"/>
              <w:left w:val="nil"/>
              <w:bottom w:val="nil"/>
              <w:right w:val="nil"/>
            </w:tcBorders>
            <w:shd w:val="clear" w:color="auto" w:fill="auto"/>
            <w:noWrap/>
            <w:vAlign w:val="bottom"/>
            <w:hideMark/>
          </w:tcPr>
          <w:p w14:paraId="5A8EF48E" w14:textId="77777777" w:rsidR="000031C9" w:rsidRPr="008C20C3" w:rsidRDefault="000031C9" w:rsidP="00C10D19">
            <w:pPr>
              <w:rPr>
                <w:sz w:val="20"/>
              </w:rPr>
            </w:pPr>
          </w:p>
        </w:tc>
        <w:tc>
          <w:tcPr>
            <w:tcW w:w="1292" w:type="dxa"/>
            <w:tcBorders>
              <w:top w:val="nil"/>
              <w:left w:val="nil"/>
              <w:bottom w:val="nil"/>
              <w:right w:val="nil"/>
            </w:tcBorders>
            <w:shd w:val="clear" w:color="auto" w:fill="auto"/>
            <w:noWrap/>
            <w:vAlign w:val="bottom"/>
            <w:hideMark/>
          </w:tcPr>
          <w:p w14:paraId="3948E233" w14:textId="77777777" w:rsidR="000031C9" w:rsidRPr="008C20C3" w:rsidRDefault="000031C9" w:rsidP="00C10D19">
            <w:pPr>
              <w:rPr>
                <w:sz w:val="20"/>
              </w:rPr>
            </w:pPr>
          </w:p>
        </w:tc>
      </w:tr>
    </w:tbl>
    <w:p w14:paraId="1169D657" w14:textId="77777777" w:rsidR="002856A5" w:rsidRDefault="002856A5" w:rsidP="002856A5">
      <w:pPr>
        <w:pStyle w:val="SMHeading"/>
        <w:rPr>
          <w:rFonts w:ascii="Arial" w:hAnsi="Arial" w:cs="Arial"/>
          <w:sz w:val="20"/>
          <w:szCs w:val="20"/>
        </w:rPr>
      </w:pPr>
    </w:p>
    <w:p w14:paraId="41B38217" w14:textId="2C625B18" w:rsidR="002856A5" w:rsidRDefault="002856A5">
      <w:pPr>
        <w:rPr>
          <w:rFonts w:ascii="Arial" w:hAnsi="Arial" w:cs="Arial"/>
          <w:sz w:val="20"/>
        </w:rPr>
      </w:pPr>
      <w:r>
        <w:rPr>
          <w:rFonts w:ascii="Arial" w:hAnsi="Arial" w:cs="Arial"/>
          <w:sz w:val="20"/>
        </w:rPr>
        <w:br w:type="page"/>
      </w:r>
    </w:p>
    <w:p w14:paraId="3AE36E78" w14:textId="6EDA34E3" w:rsidR="000D5E5B" w:rsidRPr="000D5E5B" w:rsidRDefault="000D5E5B" w:rsidP="000D5E5B">
      <w:pPr>
        <w:rPr>
          <w:rFonts w:ascii="Arial" w:hAnsi="Arial" w:cs="Arial"/>
          <w:b/>
          <w:bCs/>
          <w:kern w:val="32"/>
          <w:sz w:val="20"/>
        </w:rPr>
      </w:pPr>
      <w:r w:rsidRPr="00DC623A">
        <w:rPr>
          <w:rFonts w:ascii="Arial" w:hAnsi="Arial" w:cs="Arial"/>
          <w:sz w:val="20"/>
        </w:rPr>
        <w:lastRenderedPageBreak/>
        <w:t>Table S</w:t>
      </w:r>
      <w:r>
        <w:rPr>
          <w:rFonts w:ascii="Arial" w:hAnsi="Arial" w:cs="Arial"/>
          <w:sz w:val="20"/>
        </w:rPr>
        <w:t>4</w:t>
      </w:r>
      <w:r w:rsidRPr="00DC623A">
        <w:rPr>
          <w:rFonts w:ascii="Arial" w:hAnsi="Arial" w:cs="Arial"/>
          <w:sz w:val="20"/>
        </w:rPr>
        <w:t>.</w:t>
      </w:r>
      <w:r>
        <w:rPr>
          <w:rFonts w:ascii="Arial" w:hAnsi="Arial" w:cs="Arial"/>
          <w:sz w:val="20"/>
        </w:rPr>
        <w:t xml:space="preserve"> Covariate Balance Table for enrolled Settlements outside Amazonia</w:t>
      </w:r>
    </w:p>
    <w:tbl>
      <w:tblPr>
        <w:tblW w:w="13781" w:type="dxa"/>
        <w:tblLook w:val="04A0" w:firstRow="1" w:lastRow="0" w:firstColumn="1" w:lastColumn="0" w:noHBand="0" w:noVBand="1"/>
      </w:tblPr>
      <w:tblGrid>
        <w:gridCol w:w="4381"/>
        <w:gridCol w:w="986"/>
        <w:gridCol w:w="1130"/>
        <w:gridCol w:w="1400"/>
        <w:gridCol w:w="1845"/>
        <w:gridCol w:w="9"/>
        <w:gridCol w:w="1153"/>
        <w:gridCol w:w="1480"/>
        <w:gridCol w:w="1388"/>
        <w:gridCol w:w="9"/>
      </w:tblGrid>
      <w:tr w:rsidR="000D5E5B" w:rsidRPr="008C20C3" w14:paraId="4AC449E5" w14:textId="77777777" w:rsidTr="000F3320">
        <w:trPr>
          <w:trHeight w:val="301"/>
        </w:trPr>
        <w:tc>
          <w:tcPr>
            <w:tcW w:w="4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1C43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3EA23F69"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w:t>
            </w:r>
          </w:p>
        </w:tc>
        <w:tc>
          <w:tcPr>
            <w:tcW w:w="4384" w:type="dxa"/>
            <w:gridSpan w:val="4"/>
            <w:tcBorders>
              <w:top w:val="single" w:sz="4" w:space="0" w:color="auto"/>
              <w:left w:val="nil"/>
              <w:bottom w:val="single" w:sz="4" w:space="0" w:color="auto"/>
              <w:right w:val="single" w:sz="4" w:space="0" w:color="auto"/>
            </w:tcBorders>
            <w:shd w:val="clear" w:color="auto" w:fill="auto"/>
            <w:vAlign w:val="bottom"/>
            <w:hideMark/>
          </w:tcPr>
          <w:p w14:paraId="71678485" w14:textId="77777777" w:rsidR="000D5E5B" w:rsidRPr="008C20C3" w:rsidRDefault="000D5E5B" w:rsidP="000F3320">
            <w:pPr>
              <w:jc w:val="center"/>
              <w:rPr>
                <w:rFonts w:ascii="Calibri" w:hAnsi="Calibri" w:cs="Calibri"/>
                <w:color w:val="000000"/>
                <w:sz w:val="22"/>
                <w:szCs w:val="22"/>
              </w:rPr>
            </w:pPr>
            <w:r w:rsidRPr="008C20C3">
              <w:rPr>
                <w:rFonts w:ascii="Calibri" w:hAnsi="Calibri" w:cs="Calibri"/>
                <w:color w:val="000000"/>
                <w:sz w:val="22"/>
                <w:szCs w:val="22"/>
              </w:rPr>
              <w:t>Before Weighting on                                        the Propensity Score</w:t>
            </w:r>
          </w:p>
        </w:tc>
        <w:tc>
          <w:tcPr>
            <w:tcW w:w="4030" w:type="dxa"/>
            <w:gridSpan w:val="4"/>
            <w:tcBorders>
              <w:top w:val="single" w:sz="4" w:space="0" w:color="auto"/>
              <w:left w:val="nil"/>
              <w:bottom w:val="single" w:sz="4" w:space="0" w:color="auto"/>
              <w:right w:val="single" w:sz="4" w:space="0" w:color="auto"/>
            </w:tcBorders>
            <w:shd w:val="clear" w:color="auto" w:fill="auto"/>
            <w:noWrap/>
            <w:vAlign w:val="bottom"/>
            <w:hideMark/>
          </w:tcPr>
          <w:p w14:paraId="2B53D94E" w14:textId="77777777" w:rsidR="000D5E5B" w:rsidRPr="008C20C3" w:rsidRDefault="000D5E5B" w:rsidP="000F3320">
            <w:pPr>
              <w:jc w:val="center"/>
              <w:rPr>
                <w:rFonts w:ascii="Calibri" w:hAnsi="Calibri" w:cs="Calibri"/>
                <w:color w:val="000000"/>
                <w:sz w:val="22"/>
                <w:szCs w:val="22"/>
              </w:rPr>
            </w:pPr>
            <w:r w:rsidRPr="008C20C3">
              <w:rPr>
                <w:rFonts w:ascii="Calibri" w:hAnsi="Calibri" w:cs="Calibri"/>
                <w:color w:val="000000"/>
                <w:sz w:val="22"/>
                <w:szCs w:val="22"/>
              </w:rPr>
              <w:t>After Weighting</w:t>
            </w:r>
          </w:p>
        </w:tc>
      </w:tr>
      <w:tr w:rsidR="000D5E5B" w:rsidRPr="008C20C3" w14:paraId="7E5BAEA1" w14:textId="77777777" w:rsidTr="000F3320">
        <w:trPr>
          <w:gridAfter w:val="1"/>
          <w:wAfter w:w="9" w:type="dxa"/>
          <w:trHeight w:val="423"/>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6753B7BF"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w:t>
            </w:r>
          </w:p>
        </w:tc>
        <w:tc>
          <w:tcPr>
            <w:tcW w:w="986" w:type="dxa"/>
            <w:tcBorders>
              <w:top w:val="nil"/>
              <w:left w:val="nil"/>
              <w:bottom w:val="single" w:sz="4" w:space="0" w:color="auto"/>
              <w:right w:val="single" w:sz="4" w:space="0" w:color="auto"/>
            </w:tcBorders>
            <w:shd w:val="clear" w:color="auto" w:fill="auto"/>
            <w:noWrap/>
            <w:vAlign w:val="bottom"/>
            <w:hideMark/>
          </w:tcPr>
          <w:p w14:paraId="11BD0743"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Type</w:t>
            </w:r>
          </w:p>
        </w:tc>
        <w:tc>
          <w:tcPr>
            <w:tcW w:w="1130" w:type="dxa"/>
            <w:tcBorders>
              <w:top w:val="nil"/>
              <w:left w:val="nil"/>
              <w:bottom w:val="single" w:sz="4" w:space="0" w:color="auto"/>
              <w:right w:val="single" w:sz="4" w:space="0" w:color="auto"/>
            </w:tcBorders>
            <w:shd w:val="clear" w:color="auto" w:fill="auto"/>
            <w:noWrap/>
            <w:vAlign w:val="bottom"/>
            <w:hideMark/>
          </w:tcPr>
          <w:p w14:paraId="1BCC45E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Control</w:t>
            </w:r>
          </w:p>
        </w:tc>
        <w:tc>
          <w:tcPr>
            <w:tcW w:w="1400" w:type="dxa"/>
            <w:tcBorders>
              <w:top w:val="nil"/>
              <w:left w:val="nil"/>
              <w:bottom w:val="single" w:sz="4" w:space="0" w:color="auto"/>
              <w:right w:val="single" w:sz="4" w:space="0" w:color="auto"/>
            </w:tcBorders>
            <w:shd w:val="clear" w:color="auto" w:fill="auto"/>
            <w:noWrap/>
            <w:vAlign w:val="bottom"/>
            <w:hideMark/>
          </w:tcPr>
          <w:p w14:paraId="06A230A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Treated</w:t>
            </w:r>
          </w:p>
        </w:tc>
        <w:tc>
          <w:tcPr>
            <w:tcW w:w="1845" w:type="dxa"/>
            <w:tcBorders>
              <w:top w:val="nil"/>
              <w:left w:val="nil"/>
              <w:bottom w:val="single" w:sz="4" w:space="0" w:color="auto"/>
              <w:right w:val="single" w:sz="4" w:space="0" w:color="auto"/>
            </w:tcBorders>
            <w:shd w:val="clear" w:color="auto" w:fill="A6A6A6" w:themeFill="background1" w:themeFillShade="A6"/>
            <w:vAlign w:val="bottom"/>
            <w:hideMark/>
          </w:tcPr>
          <w:p w14:paraId="1730E43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Standardized Difference in Means</w:t>
            </w:r>
          </w:p>
        </w:tc>
        <w:tc>
          <w:tcPr>
            <w:tcW w:w="1162" w:type="dxa"/>
            <w:gridSpan w:val="2"/>
            <w:tcBorders>
              <w:top w:val="nil"/>
              <w:left w:val="nil"/>
              <w:bottom w:val="single" w:sz="4" w:space="0" w:color="auto"/>
              <w:right w:val="single" w:sz="4" w:space="0" w:color="auto"/>
            </w:tcBorders>
            <w:shd w:val="clear" w:color="auto" w:fill="auto"/>
            <w:noWrap/>
            <w:vAlign w:val="bottom"/>
            <w:hideMark/>
          </w:tcPr>
          <w:p w14:paraId="49B0B7C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Control</w:t>
            </w:r>
          </w:p>
        </w:tc>
        <w:tc>
          <w:tcPr>
            <w:tcW w:w="1480" w:type="dxa"/>
            <w:tcBorders>
              <w:top w:val="nil"/>
              <w:left w:val="nil"/>
              <w:bottom w:val="single" w:sz="4" w:space="0" w:color="auto"/>
              <w:right w:val="single" w:sz="4" w:space="0" w:color="auto"/>
            </w:tcBorders>
            <w:shd w:val="clear" w:color="auto" w:fill="auto"/>
            <w:noWrap/>
            <w:vAlign w:val="bottom"/>
            <w:hideMark/>
          </w:tcPr>
          <w:p w14:paraId="1B8708F0"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Treated</w:t>
            </w:r>
          </w:p>
        </w:tc>
        <w:tc>
          <w:tcPr>
            <w:tcW w:w="1388" w:type="dxa"/>
            <w:tcBorders>
              <w:top w:val="nil"/>
              <w:left w:val="nil"/>
              <w:bottom w:val="single" w:sz="4" w:space="0" w:color="auto"/>
              <w:right w:val="single" w:sz="4" w:space="0" w:color="auto"/>
            </w:tcBorders>
            <w:shd w:val="clear" w:color="auto" w:fill="A6A6A6" w:themeFill="background1" w:themeFillShade="A6"/>
            <w:vAlign w:val="bottom"/>
            <w:hideMark/>
          </w:tcPr>
          <w:p w14:paraId="266EA92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Standardized Difference in Means</w:t>
            </w:r>
          </w:p>
        </w:tc>
      </w:tr>
      <w:tr w:rsidR="000D5E5B" w:rsidRPr="008C20C3" w14:paraId="6B60CB54"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1E474D8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Propensity Score</w:t>
            </w:r>
          </w:p>
        </w:tc>
        <w:tc>
          <w:tcPr>
            <w:tcW w:w="986" w:type="dxa"/>
            <w:tcBorders>
              <w:top w:val="nil"/>
              <w:left w:val="nil"/>
              <w:bottom w:val="single" w:sz="4" w:space="0" w:color="auto"/>
              <w:right w:val="single" w:sz="4" w:space="0" w:color="auto"/>
            </w:tcBorders>
            <w:shd w:val="clear" w:color="auto" w:fill="auto"/>
            <w:noWrap/>
            <w:vAlign w:val="bottom"/>
            <w:hideMark/>
          </w:tcPr>
          <w:p w14:paraId="3076E5D4"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Distance</w:t>
            </w:r>
          </w:p>
        </w:tc>
        <w:tc>
          <w:tcPr>
            <w:tcW w:w="1130" w:type="dxa"/>
            <w:tcBorders>
              <w:top w:val="nil"/>
              <w:left w:val="nil"/>
              <w:bottom w:val="single" w:sz="4" w:space="0" w:color="auto"/>
              <w:right w:val="single" w:sz="4" w:space="0" w:color="auto"/>
            </w:tcBorders>
            <w:shd w:val="clear" w:color="auto" w:fill="auto"/>
            <w:noWrap/>
            <w:vAlign w:val="bottom"/>
          </w:tcPr>
          <w:p w14:paraId="5C5BB40E"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0.1240      </w:t>
            </w:r>
          </w:p>
        </w:tc>
        <w:tc>
          <w:tcPr>
            <w:tcW w:w="1400" w:type="dxa"/>
            <w:tcBorders>
              <w:top w:val="nil"/>
              <w:left w:val="nil"/>
              <w:bottom w:val="single" w:sz="4" w:space="0" w:color="auto"/>
              <w:right w:val="single" w:sz="4" w:space="0" w:color="auto"/>
            </w:tcBorders>
            <w:shd w:val="clear" w:color="auto" w:fill="auto"/>
            <w:noWrap/>
            <w:vAlign w:val="bottom"/>
          </w:tcPr>
          <w:p w14:paraId="45176636"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0.1900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2DB8F963"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0.7553       </w:t>
            </w:r>
          </w:p>
        </w:tc>
        <w:tc>
          <w:tcPr>
            <w:tcW w:w="1162" w:type="dxa"/>
            <w:gridSpan w:val="2"/>
            <w:tcBorders>
              <w:top w:val="nil"/>
              <w:left w:val="nil"/>
              <w:bottom w:val="single" w:sz="4" w:space="0" w:color="auto"/>
              <w:right w:val="single" w:sz="4" w:space="0" w:color="auto"/>
            </w:tcBorders>
            <w:shd w:val="clear" w:color="auto" w:fill="auto"/>
            <w:noWrap/>
            <w:vAlign w:val="bottom"/>
          </w:tcPr>
          <w:p w14:paraId="2C4427A7"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0.1879       </w:t>
            </w:r>
          </w:p>
        </w:tc>
        <w:tc>
          <w:tcPr>
            <w:tcW w:w="1480" w:type="dxa"/>
            <w:tcBorders>
              <w:top w:val="nil"/>
              <w:left w:val="nil"/>
              <w:bottom w:val="single" w:sz="4" w:space="0" w:color="auto"/>
              <w:right w:val="single" w:sz="4" w:space="0" w:color="auto"/>
            </w:tcBorders>
            <w:shd w:val="clear" w:color="auto" w:fill="auto"/>
            <w:noWrap/>
            <w:vAlign w:val="bottom"/>
          </w:tcPr>
          <w:p w14:paraId="4DB1FF98"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0.1900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40A74076"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0.0237</w:t>
            </w:r>
          </w:p>
        </w:tc>
      </w:tr>
      <w:tr w:rsidR="000D5E5B" w:rsidRPr="008C20C3" w14:paraId="7DAA71C0"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7B6534E5" w14:textId="77777777" w:rsidR="000D5E5B" w:rsidRPr="008C20C3" w:rsidRDefault="000D5E5B" w:rsidP="000F3320">
            <w:pPr>
              <w:rPr>
                <w:rFonts w:ascii="Calibri" w:hAnsi="Calibri" w:cs="Calibri"/>
                <w:color w:val="000000"/>
                <w:sz w:val="22"/>
                <w:szCs w:val="22"/>
              </w:rPr>
            </w:pPr>
            <w:proofErr w:type="spellStart"/>
            <w:r w:rsidRPr="004A40EC">
              <w:rPr>
                <w:rFonts w:ascii="Calibri" w:hAnsi="Calibri" w:cs="Calibri"/>
                <w:color w:val="000000"/>
                <w:sz w:val="22"/>
                <w:szCs w:val="22"/>
              </w:rPr>
              <w:t>biome_CAATINGA</w:t>
            </w:r>
            <w:proofErr w:type="spellEnd"/>
          </w:p>
        </w:tc>
        <w:tc>
          <w:tcPr>
            <w:tcW w:w="986" w:type="dxa"/>
            <w:tcBorders>
              <w:top w:val="nil"/>
              <w:left w:val="nil"/>
              <w:bottom w:val="single" w:sz="4" w:space="0" w:color="auto"/>
              <w:right w:val="single" w:sz="4" w:space="0" w:color="auto"/>
            </w:tcBorders>
            <w:shd w:val="clear" w:color="auto" w:fill="auto"/>
            <w:noWrap/>
            <w:vAlign w:val="bottom"/>
          </w:tcPr>
          <w:p w14:paraId="74AB3E3B"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687F662D"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0.4052      </w:t>
            </w:r>
          </w:p>
        </w:tc>
        <w:tc>
          <w:tcPr>
            <w:tcW w:w="1400" w:type="dxa"/>
            <w:tcBorders>
              <w:top w:val="nil"/>
              <w:left w:val="nil"/>
              <w:bottom w:val="single" w:sz="4" w:space="0" w:color="auto"/>
              <w:right w:val="single" w:sz="4" w:space="0" w:color="auto"/>
            </w:tcBorders>
            <w:shd w:val="clear" w:color="auto" w:fill="auto"/>
            <w:noWrap/>
            <w:vAlign w:val="bottom"/>
          </w:tcPr>
          <w:p w14:paraId="7A7FB937"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0.1930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10F17044"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-0.2121       </w:t>
            </w:r>
          </w:p>
        </w:tc>
        <w:tc>
          <w:tcPr>
            <w:tcW w:w="1162" w:type="dxa"/>
            <w:gridSpan w:val="2"/>
            <w:tcBorders>
              <w:top w:val="nil"/>
              <w:left w:val="nil"/>
              <w:bottom w:val="single" w:sz="4" w:space="0" w:color="auto"/>
              <w:right w:val="single" w:sz="4" w:space="0" w:color="auto"/>
            </w:tcBorders>
            <w:shd w:val="clear" w:color="auto" w:fill="auto"/>
            <w:noWrap/>
            <w:vAlign w:val="bottom"/>
          </w:tcPr>
          <w:p w14:paraId="196C88CB"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0.1930       </w:t>
            </w:r>
          </w:p>
        </w:tc>
        <w:tc>
          <w:tcPr>
            <w:tcW w:w="1480" w:type="dxa"/>
            <w:tcBorders>
              <w:top w:val="nil"/>
              <w:left w:val="nil"/>
              <w:bottom w:val="single" w:sz="4" w:space="0" w:color="auto"/>
              <w:right w:val="single" w:sz="4" w:space="0" w:color="auto"/>
            </w:tcBorders>
            <w:shd w:val="clear" w:color="auto" w:fill="auto"/>
            <w:noWrap/>
            <w:vAlign w:val="bottom"/>
          </w:tcPr>
          <w:p w14:paraId="73C88E0A"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0.1930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6FFDFB9C"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0.0000</w:t>
            </w:r>
          </w:p>
        </w:tc>
      </w:tr>
      <w:tr w:rsidR="000D5E5B" w:rsidRPr="008C20C3" w14:paraId="48FF7A8C"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0EDACA1D" w14:textId="77777777" w:rsidR="000D5E5B" w:rsidRPr="008C20C3" w:rsidRDefault="000D5E5B" w:rsidP="000F3320">
            <w:pPr>
              <w:rPr>
                <w:rFonts w:ascii="Calibri" w:hAnsi="Calibri" w:cs="Calibri"/>
                <w:color w:val="000000"/>
                <w:sz w:val="22"/>
                <w:szCs w:val="22"/>
              </w:rPr>
            </w:pPr>
            <w:proofErr w:type="spellStart"/>
            <w:r w:rsidRPr="00D135CF">
              <w:rPr>
                <w:rFonts w:ascii="Calibri" w:hAnsi="Calibri" w:cs="Calibri"/>
                <w:color w:val="000000"/>
                <w:sz w:val="22"/>
                <w:szCs w:val="22"/>
              </w:rPr>
              <w:t>biome_CERRADO</w:t>
            </w:r>
            <w:proofErr w:type="spellEnd"/>
          </w:p>
        </w:tc>
        <w:tc>
          <w:tcPr>
            <w:tcW w:w="986" w:type="dxa"/>
            <w:tcBorders>
              <w:top w:val="nil"/>
              <w:left w:val="nil"/>
              <w:bottom w:val="single" w:sz="4" w:space="0" w:color="auto"/>
              <w:right w:val="single" w:sz="4" w:space="0" w:color="auto"/>
            </w:tcBorders>
            <w:shd w:val="clear" w:color="auto" w:fill="auto"/>
            <w:noWrap/>
            <w:vAlign w:val="bottom"/>
          </w:tcPr>
          <w:p w14:paraId="7A887BA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60FC6339"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0.3129      </w:t>
            </w:r>
          </w:p>
        </w:tc>
        <w:tc>
          <w:tcPr>
            <w:tcW w:w="1400" w:type="dxa"/>
            <w:tcBorders>
              <w:top w:val="nil"/>
              <w:left w:val="nil"/>
              <w:bottom w:val="single" w:sz="4" w:space="0" w:color="auto"/>
              <w:right w:val="single" w:sz="4" w:space="0" w:color="auto"/>
            </w:tcBorders>
            <w:shd w:val="clear" w:color="auto" w:fill="auto"/>
            <w:noWrap/>
            <w:vAlign w:val="bottom"/>
          </w:tcPr>
          <w:p w14:paraId="4D776C54"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0.5202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7983BE8F"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0.2074       </w:t>
            </w:r>
          </w:p>
        </w:tc>
        <w:tc>
          <w:tcPr>
            <w:tcW w:w="1162" w:type="dxa"/>
            <w:gridSpan w:val="2"/>
            <w:tcBorders>
              <w:top w:val="nil"/>
              <w:left w:val="nil"/>
              <w:bottom w:val="single" w:sz="4" w:space="0" w:color="auto"/>
              <w:right w:val="single" w:sz="4" w:space="0" w:color="auto"/>
            </w:tcBorders>
            <w:shd w:val="clear" w:color="auto" w:fill="auto"/>
            <w:noWrap/>
            <w:vAlign w:val="bottom"/>
          </w:tcPr>
          <w:p w14:paraId="4E32714E"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0.5202       </w:t>
            </w:r>
          </w:p>
        </w:tc>
        <w:tc>
          <w:tcPr>
            <w:tcW w:w="1480" w:type="dxa"/>
            <w:tcBorders>
              <w:top w:val="nil"/>
              <w:left w:val="nil"/>
              <w:bottom w:val="single" w:sz="4" w:space="0" w:color="auto"/>
              <w:right w:val="single" w:sz="4" w:space="0" w:color="auto"/>
            </w:tcBorders>
            <w:shd w:val="clear" w:color="auto" w:fill="auto"/>
            <w:noWrap/>
            <w:vAlign w:val="bottom"/>
          </w:tcPr>
          <w:p w14:paraId="003192D5"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0.5202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08DAB286"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0.0000</w:t>
            </w:r>
          </w:p>
        </w:tc>
      </w:tr>
      <w:tr w:rsidR="000D5E5B" w:rsidRPr="008C20C3" w14:paraId="5995C379"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0C0D3A19" w14:textId="77777777" w:rsidR="000D5E5B" w:rsidRPr="008C20C3" w:rsidRDefault="000D5E5B" w:rsidP="000F3320">
            <w:pPr>
              <w:rPr>
                <w:rFonts w:ascii="Calibri" w:hAnsi="Calibri" w:cs="Calibri"/>
                <w:color w:val="000000"/>
                <w:sz w:val="22"/>
                <w:szCs w:val="22"/>
              </w:rPr>
            </w:pPr>
            <w:proofErr w:type="spellStart"/>
            <w:r w:rsidRPr="00D135CF">
              <w:rPr>
                <w:rFonts w:ascii="Calibri" w:hAnsi="Calibri" w:cs="Calibri"/>
                <w:color w:val="000000"/>
                <w:sz w:val="22"/>
                <w:szCs w:val="22"/>
              </w:rPr>
              <w:t>biome_MATA</w:t>
            </w:r>
            <w:proofErr w:type="spellEnd"/>
            <w:r w:rsidRPr="00D135CF">
              <w:rPr>
                <w:rFonts w:ascii="Calibri" w:hAnsi="Calibri" w:cs="Calibri"/>
                <w:color w:val="000000"/>
                <w:sz w:val="22"/>
                <w:szCs w:val="22"/>
              </w:rPr>
              <w:t xml:space="preserve"> ATLÂNTICA</w:t>
            </w:r>
          </w:p>
        </w:tc>
        <w:tc>
          <w:tcPr>
            <w:tcW w:w="986" w:type="dxa"/>
            <w:tcBorders>
              <w:top w:val="nil"/>
              <w:left w:val="nil"/>
              <w:bottom w:val="single" w:sz="4" w:space="0" w:color="auto"/>
              <w:right w:val="single" w:sz="4" w:space="0" w:color="auto"/>
            </w:tcBorders>
            <w:shd w:val="clear" w:color="auto" w:fill="auto"/>
            <w:noWrap/>
            <w:vAlign w:val="bottom"/>
          </w:tcPr>
          <w:p w14:paraId="727A9530"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63BA56E9"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0.2820      </w:t>
            </w:r>
          </w:p>
        </w:tc>
        <w:tc>
          <w:tcPr>
            <w:tcW w:w="1400" w:type="dxa"/>
            <w:tcBorders>
              <w:top w:val="nil"/>
              <w:left w:val="nil"/>
              <w:bottom w:val="single" w:sz="4" w:space="0" w:color="auto"/>
              <w:right w:val="single" w:sz="4" w:space="0" w:color="auto"/>
            </w:tcBorders>
            <w:shd w:val="clear" w:color="auto" w:fill="auto"/>
            <w:noWrap/>
            <w:vAlign w:val="bottom"/>
          </w:tcPr>
          <w:p w14:paraId="7EA507E0"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0.2868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1C2C1769"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0.0048       </w:t>
            </w:r>
          </w:p>
        </w:tc>
        <w:tc>
          <w:tcPr>
            <w:tcW w:w="1162" w:type="dxa"/>
            <w:gridSpan w:val="2"/>
            <w:tcBorders>
              <w:top w:val="nil"/>
              <w:left w:val="nil"/>
              <w:bottom w:val="single" w:sz="4" w:space="0" w:color="auto"/>
              <w:right w:val="single" w:sz="4" w:space="0" w:color="auto"/>
            </w:tcBorders>
            <w:shd w:val="clear" w:color="auto" w:fill="auto"/>
            <w:noWrap/>
            <w:vAlign w:val="bottom"/>
          </w:tcPr>
          <w:p w14:paraId="628AD482"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0.2868       </w:t>
            </w:r>
          </w:p>
        </w:tc>
        <w:tc>
          <w:tcPr>
            <w:tcW w:w="1480" w:type="dxa"/>
            <w:tcBorders>
              <w:top w:val="nil"/>
              <w:left w:val="nil"/>
              <w:bottom w:val="single" w:sz="4" w:space="0" w:color="auto"/>
              <w:right w:val="single" w:sz="4" w:space="0" w:color="auto"/>
            </w:tcBorders>
            <w:shd w:val="clear" w:color="auto" w:fill="auto"/>
            <w:noWrap/>
            <w:vAlign w:val="bottom"/>
          </w:tcPr>
          <w:p w14:paraId="0307765E"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0.2868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5054A048"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  -0.0000</w:t>
            </w:r>
          </w:p>
        </w:tc>
      </w:tr>
      <w:tr w:rsidR="000D5E5B" w:rsidRPr="008C20C3" w14:paraId="47386CCB"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6178D737"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Distance to road in km</w:t>
            </w:r>
          </w:p>
        </w:tc>
        <w:tc>
          <w:tcPr>
            <w:tcW w:w="986" w:type="dxa"/>
            <w:tcBorders>
              <w:top w:val="nil"/>
              <w:left w:val="nil"/>
              <w:bottom w:val="single" w:sz="4" w:space="0" w:color="auto"/>
              <w:right w:val="single" w:sz="4" w:space="0" w:color="auto"/>
            </w:tcBorders>
            <w:shd w:val="clear" w:color="auto" w:fill="auto"/>
            <w:noWrap/>
            <w:vAlign w:val="bottom"/>
            <w:hideMark/>
          </w:tcPr>
          <w:p w14:paraId="73E5462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3DC11298"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6.0461      </w:t>
            </w:r>
          </w:p>
        </w:tc>
        <w:tc>
          <w:tcPr>
            <w:tcW w:w="1400" w:type="dxa"/>
            <w:tcBorders>
              <w:top w:val="nil"/>
              <w:left w:val="nil"/>
              <w:bottom w:val="single" w:sz="4" w:space="0" w:color="auto"/>
              <w:right w:val="single" w:sz="4" w:space="0" w:color="auto"/>
            </w:tcBorders>
            <w:shd w:val="clear" w:color="auto" w:fill="auto"/>
            <w:noWrap/>
            <w:vAlign w:val="bottom"/>
          </w:tcPr>
          <w:p w14:paraId="32F3358D"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7.0387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375A1E04"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0.1487       </w:t>
            </w:r>
          </w:p>
        </w:tc>
        <w:tc>
          <w:tcPr>
            <w:tcW w:w="1162" w:type="dxa"/>
            <w:gridSpan w:val="2"/>
            <w:tcBorders>
              <w:top w:val="nil"/>
              <w:left w:val="nil"/>
              <w:bottom w:val="single" w:sz="4" w:space="0" w:color="auto"/>
              <w:right w:val="single" w:sz="4" w:space="0" w:color="auto"/>
            </w:tcBorders>
            <w:shd w:val="clear" w:color="auto" w:fill="auto"/>
            <w:noWrap/>
            <w:vAlign w:val="bottom"/>
          </w:tcPr>
          <w:p w14:paraId="173E5759"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7.0387       </w:t>
            </w:r>
          </w:p>
        </w:tc>
        <w:tc>
          <w:tcPr>
            <w:tcW w:w="1480" w:type="dxa"/>
            <w:tcBorders>
              <w:top w:val="nil"/>
              <w:left w:val="nil"/>
              <w:bottom w:val="single" w:sz="4" w:space="0" w:color="auto"/>
              <w:right w:val="single" w:sz="4" w:space="0" w:color="auto"/>
            </w:tcBorders>
            <w:shd w:val="clear" w:color="auto" w:fill="auto"/>
            <w:noWrap/>
            <w:vAlign w:val="bottom"/>
          </w:tcPr>
          <w:p w14:paraId="4DA9A748"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 xml:space="preserve">7.0387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0083469C" w14:textId="77777777" w:rsidR="000D5E5B" w:rsidRPr="008C20C3" w:rsidRDefault="000D5E5B" w:rsidP="000F3320">
            <w:pPr>
              <w:jc w:val="right"/>
              <w:rPr>
                <w:rFonts w:ascii="Calibri" w:hAnsi="Calibri" w:cs="Calibri"/>
                <w:color w:val="000000"/>
                <w:sz w:val="22"/>
                <w:szCs w:val="22"/>
              </w:rPr>
            </w:pPr>
            <w:r w:rsidRPr="000909EA">
              <w:rPr>
                <w:rFonts w:ascii="Calibri" w:hAnsi="Calibri" w:cs="Calibri"/>
                <w:color w:val="000000"/>
                <w:sz w:val="22"/>
                <w:szCs w:val="22"/>
              </w:rPr>
              <w:t>0.0000</w:t>
            </w:r>
          </w:p>
        </w:tc>
      </w:tr>
      <w:tr w:rsidR="000D5E5B" w:rsidRPr="008C20C3" w14:paraId="2362C775"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5AB2825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Distance to rivers in km</w:t>
            </w:r>
          </w:p>
        </w:tc>
        <w:tc>
          <w:tcPr>
            <w:tcW w:w="986" w:type="dxa"/>
            <w:tcBorders>
              <w:top w:val="nil"/>
              <w:left w:val="nil"/>
              <w:bottom w:val="single" w:sz="4" w:space="0" w:color="auto"/>
              <w:right w:val="single" w:sz="4" w:space="0" w:color="auto"/>
            </w:tcBorders>
            <w:shd w:val="clear" w:color="auto" w:fill="auto"/>
            <w:noWrap/>
            <w:vAlign w:val="bottom"/>
            <w:hideMark/>
          </w:tcPr>
          <w:p w14:paraId="0D3EF357"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4309F8C4"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106.5732     </w:t>
            </w:r>
          </w:p>
        </w:tc>
        <w:tc>
          <w:tcPr>
            <w:tcW w:w="1400" w:type="dxa"/>
            <w:tcBorders>
              <w:top w:val="nil"/>
              <w:left w:val="nil"/>
              <w:bottom w:val="single" w:sz="4" w:space="0" w:color="auto"/>
              <w:right w:val="single" w:sz="4" w:space="0" w:color="auto"/>
            </w:tcBorders>
            <w:shd w:val="clear" w:color="auto" w:fill="auto"/>
            <w:noWrap/>
            <w:vAlign w:val="bottom"/>
          </w:tcPr>
          <w:p w14:paraId="70995ED4"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68.5251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46D7CCDF"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-0.7455      </w:t>
            </w:r>
          </w:p>
        </w:tc>
        <w:tc>
          <w:tcPr>
            <w:tcW w:w="1162" w:type="dxa"/>
            <w:gridSpan w:val="2"/>
            <w:tcBorders>
              <w:top w:val="nil"/>
              <w:left w:val="nil"/>
              <w:bottom w:val="single" w:sz="4" w:space="0" w:color="auto"/>
              <w:right w:val="single" w:sz="4" w:space="0" w:color="auto"/>
            </w:tcBorders>
            <w:shd w:val="clear" w:color="auto" w:fill="auto"/>
            <w:noWrap/>
            <w:vAlign w:val="bottom"/>
          </w:tcPr>
          <w:p w14:paraId="5FDB698A"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68.5251      </w:t>
            </w:r>
          </w:p>
        </w:tc>
        <w:tc>
          <w:tcPr>
            <w:tcW w:w="1480" w:type="dxa"/>
            <w:tcBorders>
              <w:top w:val="nil"/>
              <w:left w:val="nil"/>
              <w:bottom w:val="single" w:sz="4" w:space="0" w:color="auto"/>
              <w:right w:val="single" w:sz="4" w:space="0" w:color="auto"/>
            </w:tcBorders>
            <w:shd w:val="clear" w:color="auto" w:fill="auto"/>
            <w:noWrap/>
            <w:vAlign w:val="bottom"/>
          </w:tcPr>
          <w:p w14:paraId="7F6CCDDD"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68.5251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0C22855C"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0.0000</w:t>
            </w:r>
          </w:p>
        </w:tc>
      </w:tr>
      <w:tr w:rsidR="000D5E5B" w:rsidRPr="008C20C3" w14:paraId="0F28BD19"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1F8A8D5A"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 xml:space="preserve">Travelling time to nearest city (in </w:t>
            </w:r>
            <w:r>
              <w:rPr>
                <w:rFonts w:ascii="Calibri" w:hAnsi="Calibri" w:cs="Calibri"/>
                <w:color w:val="000000"/>
                <w:sz w:val="22"/>
                <w:szCs w:val="22"/>
              </w:rPr>
              <w:t>hours</w:t>
            </w:r>
            <w:r w:rsidRPr="008C20C3">
              <w:rPr>
                <w:rFonts w:ascii="Calibri" w:hAnsi="Calibri" w:cs="Calibri"/>
                <w:color w:val="000000"/>
                <w:sz w:val="22"/>
                <w:szCs w:val="22"/>
              </w:rPr>
              <w:t>)</w:t>
            </w:r>
          </w:p>
        </w:tc>
        <w:tc>
          <w:tcPr>
            <w:tcW w:w="986" w:type="dxa"/>
            <w:tcBorders>
              <w:top w:val="nil"/>
              <w:left w:val="nil"/>
              <w:bottom w:val="single" w:sz="4" w:space="0" w:color="auto"/>
              <w:right w:val="single" w:sz="4" w:space="0" w:color="auto"/>
            </w:tcBorders>
            <w:shd w:val="clear" w:color="auto" w:fill="auto"/>
            <w:noWrap/>
            <w:vAlign w:val="bottom"/>
            <w:hideMark/>
          </w:tcPr>
          <w:p w14:paraId="215D71D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18E5FFA8"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2.7792      </w:t>
            </w:r>
          </w:p>
        </w:tc>
        <w:tc>
          <w:tcPr>
            <w:tcW w:w="1400" w:type="dxa"/>
            <w:tcBorders>
              <w:top w:val="nil"/>
              <w:left w:val="nil"/>
              <w:bottom w:val="single" w:sz="4" w:space="0" w:color="auto"/>
              <w:right w:val="single" w:sz="4" w:space="0" w:color="auto"/>
            </w:tcBorders>
            <w:shd w:val="clear" w:color="auto" w:fill="auto"/>
            <w:noWrap/>
            <w:vAlign w:val="bottom"/>
          </w:tcPr>
          <w:p w14:paraId="4A8D97BD"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3.2323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350300FB"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0.2050       </w:t>
            </w:r>
          </w:p>
        </w:tc>
        <w:tc>
          <w:tcPr>
            <w:tcW w:w="1162" w:type="dxa"/>
            <w:gridSpan w:val="2"/>
            <w:tcBorders>
              <w:top w:val="nil"/>
              <w:left w:val="nil"/>
              <w:bottom w:val="single" w:sz="4" w:space="0" w:color="auto"/>
              <w:right w:val="single" w:sz="4" w:space="0" w:color="auto"/>
            </w:tcBorders>
            <w:shd w:val="clear" w:color="auto" w:fill="auto"/>
            <w:noWrap/>
            <w:vAlign w:val="bottom"/>
          </w:tcPr>
          <w:p w14:paraId="4F49766C"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3.2323       </w:t>
            </w:r>
          </w:p>
        </w:tc>
        <w:tc>
          <w:tcPr>
            <w:tcW w:w="1480" w:type="dxa"/>
            <w:tcBorders>
              <w:top w:val="nil"/>
              <w:left w:val="nil"/>
              <w:bottom w:val="single" w:sz="4" w:space="0" w:color="auto"/>
              <w:right w:val="single" w:sz="4" w:space="0" w:color="auto"/>
            </w:tcBorders>
            <w:shd w:val="clear" w:color="auto" w:fill="auto"/>
            <w:noWrap/>
            <w:vAlign w:val="bottom"/>
          </w:tcPr>
          <w:p w14:paraId="5050F3E3"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3.2323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4CA91F76"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0.0000</w:t>
            </w:r>
          </w:p>
        </w:tc>
      </w:tr>
      <w:tr w:rsidR="000D5E5B" w:rsidRPr="008C20C3" w14:paraId="53178359"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28EB29A5"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w:t>
            </w:r>
            <w:r>
              <w:rPr>
                <w:rFonts w:ascii="Calibri" w:hAnsi="Calibri" w:cs="Calibri"/>
                <w:color w:val="000000"/>
                <w:sz w:val="22"/>
                <w:szCs w:val="22"/>
              </w:rPr>
              <w:t>very_undulated</w:t>
            </w:r>
            <w:proofErr w:type="spellEnd"/>
          </w:p>
        </w:tc>
        <w:tc>
          <w:tcPr>
            <w:tcW w:w="986" w:type="dxa"/>
            <w:tcBorders>
              <w:top w:val="nil"/>
              <w:left w:val="nil"/>
              <w:bottom w:val="single" w:sz="4" w:space="0" w:color="auto"/>
              <w:right w:val="single" w:sz="4" w:space="0" w:color="auto"/>
            </w:tcBorders>
            <w:shd w:val="clear" w:color="auto" w:fill="auto"/>
            <w:noWrap/>
            <w:vAlign w:val="bottom"/>
            <w:hideMark/>
          </w:tcPr>
          <w:p w14:paraId="60A9764E"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602C8698"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0.0022      </w:t>
            </w:r>
          </w:p>
        </w:tc>
        <w:tc>
          <w:tcPr>
            <w:tcW w:w="1400" w:type="dxa"/>
            <w:tcBorders>
              <w:top w:val="nil"/>
              <w:left w:val="nil"/>
              <w:bottom w:val="single" w:sz="4" w:space="0" w:color="auto"/>
              <w:right w:val="single" w:sz="4" w:space="0" w:color="auto"/>
            </w:tcBorders>
            <w:shd w:val="clear" w:color="auto" w:fill="auto"/>
            <w:noWrap/>
            <w:vAlign w:val="bottom"/>
          </w:tcPr>
          <w:p w14:paraId="27346384"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0.0000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1FDA80D1"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-0.0022       </w:t>
            </w:r>
          </w:p>
        </w:tc>
        <w:tc>
          <w:tcPr>
            <w:tcW w:w="1162" w:type="dxa"/>
            <w:gridSpan w:val="2"/>
            <w:tcBorders>
              <w:top w:val="nil"/>
              <w:left w:val="nil"/>
              <w:bottom w:val="single" w:sz="4" w:space="0" w:color="auto"/>
              <w:right w:val="single" w:sz="4" w:space="0" w:color="auto"/>
            </w:tcBorders>
            <w:shd w:val="clear" w:color="auto" w:fill="auto"/>
            <w:noWrap/>
            <w:vAlign w:val="bottom"/>
          </w:tcPr>
          <w:p w14:paraId="1C8C9ECE"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0.0000       </w:t>
            </w:r>
          </w:p>
        </w:tc>
        <w:tc>
          <w:tcPr>
            <w:tcW w:w="1480" w:type="dxa"/>
            <w:tcBorders>
              <w:top w:val="nil"/>
              <w:left w:val="nil"/>
              <w:bottom w:val="single" w:sz="4" w:space="0" w:color="auto"/>
              <w:right w:val="single" w:sz="4" w:space="0" w:color="auto"/>
            </w:tcBorders>
            <w:shd w:val="clear" w:color="auto" w:fill="auto"/>
            <w:noWrap/>
            <w:vAlign w:val="bottom"/>
          </w:tcPr>
          <w:p w14:paraId="59B5063F"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0.0000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10BD8EAF"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-0.0000</w:t>
            </w:r>
          </w:p>
        </w:tc>
      </w:tr>
      <w:tr w:rsidR="000D5E5B" w:rsidRPr="008C20C3" w14:paraId="5067E31D"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4816DAE1"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w:t>
            </w:r>
            <w:r>
              <w:rPr>
                <w:rFonts w:ascii="Calibri" w:hAnsi="Calibri" w:cs="Calibri"/>
                <w:color w:val="000000"/>
                <w:sz w:val="22"/>
                <w:szCs w:val="22"/>
              </w:rPr>
              <w:t>rugged</w:t>
            </w:r>
            <w:proofErr w:type="spellEnd"/>
          </w:p>
        </w:tc>
        <w:tc>
          <w:tcPr>
            <w:tcW w:w="986" w:type="dxa"/>
            <w:tcBorders>
              <w:top w:val="nil"/>
              <w:left w:val="nil"/>
              <w:bottom w:val="single" w:sz="4" w:space="0" w:color="auto"/>
              <w:right w:val="single" w:sz="4" w:space="0" w:color="auto"/>
            </w:tcBorders>
            <w:shd w:val="clear" w:color="auto" w:fill="auto"/>
            <w:noWrap/>
            <w:vAlign w:val="bottom"/>
            <w:hideMark/>
          </w:tcPr>
          <w:p w14:paraId="2FD7B2A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00ED33AB"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0.3653      </w:t>
            </w:r>
          </w:p>
        </w:tc>
        <w:tc>
          <w:tcPr>
            <w:tcW w:w="1400" w:type="dxa"/>
            <w:tcBorders>
              <w:top w:val="nil"/>
              <w:left w:val="nil"/>
              <w:bottom w:val="single" w:sz="4" w:space="0" w:color="auto"/>
              <w:right w:val="single" w:sz="4" w:space="0" w:color="auto"/>
            </w:tcBorders>
            <w:shd w:val="clear" w:color="auto" w:fill="auto"/>
            <w:noWrap/>
            <w:vAlign w:val="bottom"/>
          </w:tcPr>
          <w:p w14:paraId="26E3E4CA"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0.2537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0FCCDFAC"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-0.1116</w:t>
            </w:r>
          </w:p>
        </w:tc>
        <w:tc>
          <w:tcPr>
            <w:tcW w:w="1162" w:type="dxa"/>
            <w:gridSpan w:val="2"/>
            <w:tcBorders>
              <w:top w:val="nil"/>
              <w:left w:val="nil"/>
              <w:bottom w:val="single" w:sz="4" w:space="0" w:color="auto"/>
              <w:right w:val="single" w:sz="4" w:space="0" w:color="auto"/>
            </w:tcBorders>
            <w:shd w:val="clear" w:color="auto" w:fill="auto"/>
            <w:noWrap/>
            <w:vAlign w:val="bottom"/>
          </w:tcPr>
          <w:p w14:paraId="41AD70A2"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0.2537       </w:t>
            </w:r>
          </w:p>
        </w:tc>
        <w:tc>
          <w:tcPr>
            <w:tcW w:w="1480" w:type="dxa"/>
            <w:tcBorders>
              <w:top w:val="nil"/>
              <w:left w:val="nil"/>
              <w:bottom w:val="single" w:sz="4" w:space="0" w:color="auto"/>
              <w:right w:val="single" w:sz="4" w:space="0" w:color="auto"/>
            </w:tcBorders>
            <w:shd w:val="clear" w:color="auto" w:fill="auto"/>
            <w:noWrap/>
            <w:vAlign w:val="bottom"/>
          </w:tcPr>
          <w:p w14:paraId="35C6E050"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0.2537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29983CF9"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0.0000</w:t>
            </w:r>
          </w:p>
        </w:tc>
      </w:tr>
      <w:tr w:rsidR="000D5E5B" w:rsidRPr="008C20C3" w14:paraId="77DF87D7"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3C80B464"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w:t>
            </w:r>
            <w:r>
              <w:rPr>
                <w:rFonts w:ascii="Calibri" w:hAnsi="Calibri" w:cs="Calibri"/>
                <w:color w:val="000000"/>
                <w:sz w:val="22"/>
                <w:szCs w:val="22"/>
              </w:rPr>
              <w:t>mountainous</w:t>
            </w:r>
            <w:proofErr w:type="spellEnd"/>
          </w:p>
        </w:tc>
        <w:tc>
          <w:tcPr>
            <w:tcW w:w="986" w:type="dxa"/>
            <w:tcBorders>
              <w:top w:val="nil"/>
              <w:left w:val="nil"/>
              <w:bottom w:val="single" w:sz="4" w:space="0" w:color="auto"/>
              <w:right w:val="single" w:sz="4" w:space="0" w:color="auto"/>
            </w:tcBorders>
            <w:shd w:val="clear" w:color="auto" w:fill="auto"/>
            <w:noWrap/>
            <w:vAlign w:val="bottom"/>
            <w:hideMark/>
          </w:tcPr>
          <w:p w14:paraId="3095268A"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64F4372D"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0.0772      </w:t>
            </w:r>
          </w:p>
        </w:tc>
        <w:tc>
          <w:tcPr>
            <w:tcW w:w="1400" w:type="dxa"/>
            <w:tcBorders>
              <w:top w:val="nil"/>
              <w:left w:val="nil"/>
              <w:bottom w:val="single" w:sz="4" w:space="0" w:color="auto"/>
              <w:right w:val="single" w:sz="4" w:space="0" w:color="auto"/>
            </w:tcBorders>
            <w:shd w:val="clear" w:color="auto" w:fill="auto"/>
            <w:noWrap/>
            <w:vAlign w:val="bottom"/>
          </w:tcPr>
          <w:p w14:paraId="07F59849"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0.1526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73DFE150"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0.0754       </w:t>
            </w:r>
          </w:p>
        </w:tc>
        <w:tc>
          <w:tcPr>
            <w:tcW w:w="1162" w:type="dxa"/>
            <w:gridSpan w:val="2"/>
            <w:tcBorders>
              <w:top w:val="nil"/>
              <w:left w:val="nil"/>
              <w:bottom w:val="single" w:sz="4" w:space="0" w:color="auto"/>
              <w:right w:val="single" w:sz="4" w:space="0" w:color="auto"/>
            </w:tcBorders>
            <w:shd w:val="clear" w:color="auto" w:fill="auto"/>
            <w:noWrap/>
            <w:vAlign w:val="bottom"/>
          </w:tcPr>
          <w:p w14:paraId="6ED3AE20"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0.1526       </w:t>
            </w:r>
          </w:p>
        </w:tc>
        <w:tc>
          <w:tcPr>
            <w:tcW w:w="1480" w:type="dxa"/>
            <w:tcBorders>
              <w:top w:val="nil"/>
              <w:left w:val="nil"/>
              <w:bottom w:val="single" w:sz="4" w:space="0" w:color="auto"/>
              <w:right w:val="single" w:sz="4" w:space="0" w:color="auto"/>
            </w:tcBorders>
            <w:shd w:val="clear" w:color="auto" w:fill="auto"/>
            <w:noWrap/>
            <w:vAlign w:val="bottom"/>
          </w:tcPr>
          <w:p w14:paraId="49CBE967"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 xml:space="preserve">0.1526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2EC5DDED" w14:textId="77777777" w:rsidR="000D5E5B" w:rsidRPr="008C20C3" w:rsidRDefault="000D5E5B" w:rsidP="000F3320">
            <w:pPr>
              <w:jc w:val="right"/>
              <w:rPr>
                <w:rFonts w:ascii="Calibri" w:hAnsi="Calibri" w:cs="Calibri"/>
                <w:color w:val="000000"/>
                <w:sz w:val="22"/>
                <w:szCs w:val="22"/>
              </w:rPr>
            </w:pPr>
            <w:r w:rsidRPr="0068184C">
              <w:rPr>
                <w:rFonts w:ascii="Calibri" w:hAnsi="Calibri" w:cs="Calibri"/>
                <w:color w:val="000000"/>
                <w:sz w:val="22"/>
                <w:szCs w:val="22"/>
              </w:rPr>
              <w:t>-0.0000</w:t>
            </w:r>
          </w:p>
        </w:tc>
      </w:tr>
      <w:tr w:rsidR="000D5E5B" w:rsidRPr="008C20C3" w14:paraId="7B808B7D"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556B2C87"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w:t>
            </w:r>
            <w:r>
              <w:rPr>
                <w:rFonts w:ascii="Calibri" w:hAnsi="Calibri" w:cs="Calibri"/>
                <w:color w:val="000000"/>
                <w:sz w:val="22"/>
                <w:szCs w:val="22"/>
              </w:rPr>
              <w:t>undulated</w:t>
            </w:r>
            <w:proofErr w:type="spellEnd"/>
          </w:p>
        </w:tc>
        <w:tc>
          <w:tcPr>
            <w:tcW w:w="986" w:type="dxa"/>
            <w:tcBorders>
              <w:top w:val="nil"/>
              <w:left w:val="nil"/>
              <w:bottom w:val="single" w:sz="4" w:space="0" w:color="auto"/>
              <w:right w:val="single" w:sz="4" w:space="0" w:color="auto"/>
            </w:tcBorders>
            <w:shd w:val="clear" w:color="auto" w:fill="auto"/>
            <w:noWrap/>
            <w:vAlign w:val="bottom"/>
            <w:hideMark/>
          </w:tcPr>
          <w:p w14:paraId="0B9826C4"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6713DA02"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0.0946      </w:t>
            </w:r>
          </w:p>
        </w:tc>
        <w:tc>
          <w:tcPr>
            <w:tcW w:w="1400" w:type="dxa"/>
            <w:tcBorders>
              <w:top w:val="nil"/>
              <w:left w:val="nil"/>
              <w:bottom w:val="single" w:sz="4" w:space="0" w:color="auto"/>
              <w:right w:val="single" w:sz="4" w:space="0" w:color="auto"/>
            </w:tcBorders>
            <w:shd w:val="clear" w:color="auto" w:fill="auto"/>
            <w:noWrap/>
            <w:vAlign w:val="bottom"/>
          </w:tcPr>
          <w:p w14:paraId="7F9F7064"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0.0551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22A79B39"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-0.0394       </w:t>
            </w:r>
          </w:p>
        </w:tc>
        <w:tc>
          <w:tcPr>
            <w:tcW w:w="1162" w:type="dxa"/>
            <w:gridSpan w:val="2"/>
            <w:tcBorders>
              <w:top w:val="nil"/>
              <w:left w:val="nil"/>
              <w:bottom w:val="single" w:sz="4" w:space="0" w:color="auto"/>
              <w:right w:val="single" w:sz="4" w:space="0" w:color="auto"/>
            </w:tcBorders>
            <w:shd w:val="clear" w:color="auto" w:fill="auto"/>
            <w:noWrap/>
            <w:vAlign w:val="bottom"/>
          </w:tcPr>
          <w:p w14:paraId="12FAACF5"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0.0551       </w:t>
            </w:r>
          </w:p>
        </w:tc>
        <w:tc>
          <w:tcPr>
            <w:tcW w:w="1480" w:type="dxa"/>
            <w:tcBorders>
              <w:top w:val="nil"/>
              <w:left w:val="nil"/>
              <w:bottom w:val="single" w:sz="4" w:space="0" w:color="auto"/>
              <w:right w:val="single" w:sz="4" w:space="0" w:color="auto"/>
            </w:tcBorders>
            <w:shd w:val="clear" w:color="auto" w:fill="auto"/>
            <w:noWrap/>
            <w:vAlign w:val="bottom"/>
          </w:tcPr>
          <w:p w14:paraId="35C9DEEA"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0.0551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1C797B6B"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0.0000</w:t>
            </w:r>
          </w:p>
        </w:tc>
      </w:tr>
      <w:tr w:rsidR="000D5E5B" w:rsidRPr="008C20C3" w14:paraId="0E87EC03"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0D742F87" w14:textId="77777777" w:rsidR="000D5E5B" w:rsidRPr="008C20C3" w:rsidRDefault="000D5E5B" w:rsidP="000F3320">
            <w:pPr>
              <w:rPr>
                <w:rFonts w:ascii="Calibri" w:hAnsi="Calibri" w:cs="Calibri"/>
                <w:color w:val="000000"/>
                <w:sz w:val="22"/>
                <w:szCs w:val="22"/>
              </w:rPr>
            </w:pPr>
            <w:proofErr w:type="spellStart"/>
            <w:r w:rsidRPr="008C20C3">
              <w:rPr>
                <w:rFonts w:ascii="Calibri" w:hAnsi="Calibri" w:cs="Calibri"/>
                <w:color w:val="000000"/>
                <w:sz w:val="22"/>
                <w:szCs w:val="22"/>
              </w:rPr>
              <w:t>topology_</w:t>
            </w:r>
            <w:r>
              <w:rPr>
                <w:rFonts w:ascii="Calibri" w:hAnsi="Calibri" w:cs="Calibri"/>
                <w:color w:val="000000"/>
                <w:sz w:val="22"/>
                <w:szCs w:val="22"/>
              </w:rPr>
              <w:t>flat</w:t>
            </w:r>
            <w:proofErr w:type="spellEnd"/>
          </w:p>
        </w:tc>
        <w:tc>
          <w:tcPr>
            <w:tcW w:w="986" w:type="dxa"/>
            <w:tcBorders>
              <w:top w:val="nil"/>
              <w:left w:val="nil"/>
              <w:bottom w:val="single" w:sz="4" w:space="0" w:color="auto"/>
              <w:right w:val="single" w:sz="4" w:space="0" w:color="auto"/>
            </w:tcBorders>
            <w:shd w:val="clear" w:color="auto" w:fill="auto"/>
            <w:noWrap/>
            <w:vAlign w:val="bottom"/>
          </w:tcPr>
          <w:p w14:paraId="3D4FFDEC" w14:textId="77777777" w:rsidR="000D5E5B" w:rsidRPr="008C20C3" w:rsidRDefault="000D5E5B" w:rsidP="000F3320">
            <w:pPr>
              <w:rPr>
                <w:rFonts w:ascii="Calibri" w:hAnsi="Calibri" w:cs="Calibri"/>
                <w:color w:val="000000"/>
                <w:sz w:val="22"/>
                <w:szCs w:val="22"/>
              </w:rPr>
            </w:pPr>
            <w:r>
              <w:rPr>
                <w:rFonts w:ascii="Calibri" w:hAnsi="Calibri" w:cs="Calibri"/>
                <w:color w:val="000000"/>
                <w:sz w:val="22"/>
                <w:szCs w:val="22"/>
              </w:rPr>
              <w:t>Binary</w:t>
            </w:r>
          </w:p>
        </w:tc>
        <w:tc>
          <w:tcPr>
            <w:tcW w:w="1130" w:type="dxa"/>
            <w:tcBorders>
              <w:top w:val="nil"/>
              <w:left w:val="nil"/>
              <w:bottom w:val="single" w:sz="4" w:space="0" w:color="auto"/>
              <w:right w:val="single" w:sz="4" w:space="0" w:color="auto"/>
            </w:tcBorders>
            <w:shd w:val="clear" w:color="auto" w:fill="auto"/>
            <w:noWrap/>
            <w:vAlign w:val="bottom"/>
          </w:tcPr>
          <w:p w14:paraId="40CD2332"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0.4607      </w:t>
            </w:r>
          </w:p>
        </w:tc>
        <w:tc>
          <w:tcPr>
            <w:tcW w:w="1400" w:type="dxa"/>
            <w:tcBorders>
              <w:top w:val="nil"/>
              <w:left w:val="nil"/>
              <w:bottom w:val="single" w:sz="4" w:space="0" w:color="auto"/>
              <w:right w:val="single" w:sz="4" w:space="0" w:color="auto"/>
            </w:tcBorders>
            <w:shd w:val="clear" w:color="auto" w:fill="auto"/>
            <w:noWrap/>
            <w:vAlign w:val="bottom"/>
          </w:tcPr>
          <w:p w14:paraId="18CC148D"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0.5386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683D2176"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0.0779       </w:t>
            </w:r>
          </w:p>
        </w:tc>
        <w:tc>
          <w:tcPr>
            <w:tcW w:w="1162" w:type="dxa"/>
            <w:gridSpan w:val="2"/>
            <w:tcBorders>
              <w:top w:val="nil"/>
              <w:left w:val="nil"/>
              <w:bottom w:val="single" w:sz="4" w:space="0" w:color="auto"/>
              <w:right w:val="single" w:sz="4" w:space="0" w:color="auto"/>
            </w:tcBorders>
            <w:shd w:val="clear" w:color="auto" w:fill="auto"/>
            <w:noWrap/>
            <w:vAlign w:val="bottom"/>
          </w:tcPr>
          <w:p w14:paraId="0C39AD92"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0.5386       </w:t>
            </w:r>
          </w:p>
        </w:tc>
        <w:tc>
          <w:tcPr>
            <w:tcW w:w="1480" w:type="dxa"/>
            <w:tcBorders>
              <w:top w:val="nil"/>
              <w:left w:val="nil"/>
              <w:bottom w:val="single" w:sz="4" w:space="0" w:color="auto"/>
              <w:right w:val="single" w:sz="4" w:space="0" w:color="auto"/>
            </w:tcBorders>
            <w:shd w:val="clear" w:color="auto" w:fill="auto"/>
            <w:noWrap/>
            <w:vAlign w:val="bottom"/>
          </w:tcPr>
          <w:p w14:paraId="1BC47DA0"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0.5386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5C1436D2"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0.0000</w:t>
            </w:r>
          </w:p>
        </w:tc>
      </w:tr>
      <w:tr w:rsidR="000D5E5B" w:rsidRPr="008C20C3" w14:paraId="0F508ED9"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0F75DAC7"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forest cover in 2010 in ha</w:t>
            </w:r>
          </w:p>
        </w:tc>
        <w:tc>
          <w:tcPr>
            <w:tcW w:w="986" w:type="dxa"/>
            <w:tcBorders>
              <w:top w:val="nil"/>
              <w:left w:val="nil"/>
              <w:bottom w:val="single" w:sz="4" w:space="0" w:color="auto"/>
              <w:right w:val="single" w:sz="4" w:space="0" w:color="auto"/>
            </w:tcBorders>
            <w:shd w:val="clear" w:color="auto" w:fill="auto"/>
            <w:noWrap/>
            <w:vAlign w:val="bottom"/>
            <w:hideMark/>
          </w:tcPr>
          <w:p w14:paraId="3756B3CC"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143C7918"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1268.668   </w:t>
            </w:r>
          </w:p>
        </w:tc>
        <w:tc>
          <w:tcPr>
            <w:tcW w:w="1400" w:type="dxa"/>
            <w:tcBorders>
              <w:top w:val="nil"/>
              <w:left w:val="nil"/>
              <w:bottom w:val="single" w:sz="4" w:space="0" w:color="auto"/>
              <w:right w:val="single" w:sz="4" w:space="0" w:color="auto"/>
            </w:tcBorders>
            <w:shd w:val="clear" w:color="auto" w:fill="auto"/>
            <w:noWrap/>
            <w:vAlign w:val="bottom"/>
          </w:tcPr>
          <w:p w14:paraId="6EFE5B58"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1398.8977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2F031FB4"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0.0570    </w:t>
            </w:r>
          </w:p>
        </w:tc>
        <w:tc>
          <w:tcPr>
            <w:tcW w:w="1162" w:type="dxa"/>
            <w:gridSpan w:val="2"/>
            <w:tcBorders>
              <w:top w:val="nil"/>
              <w:left w:val="nil"/>
              <w:bottom w:val="single" w:sz="4" w:space="0" w:color="auto"/>
              <w:right w:val="single" w:sz="4" w:space="0" w:color="auto"/>
            </w:tcBorders>
            <w:shd w:val="clear" w:color="auto" w:fill="auto"/>
            <w:noWrap/>
            <w:vAlign w:val="bottom"/>
          </w:tcPr>
          <w:p w14:paraId="25E4030D"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1398.89</w:t>
            </w:r>
            <w:r>
              <w:rPr>
                <w:rFonts w:ascii="Calibri" w:hAnsi="Calibri" w:cs="Calibri"/>
                <w:color w:val="000000"/>
                <w:sz w:val="22"/>
                <w:szCs w:val="22"/>
              </w:rPr>
              <w:t>7</w:t>
            </w:r>
            <w:r w:rsidRPr="00D00E44">
              <w:rPr>
                <w:rFonts w:ascii="Calibri" w:hAnsi="Calibri" w:cs="Calibri"/>
                <w:color w:val="000000"/>
                <w:sz w:val="22"/>
                <w:szCs w:val="22"/>
              </w:rPr>
              <w:t xml:space="preserve">   </w:t>
            </w:r>
          </w:p>
        </w:tc>
        <w:tc>
          <w:tcPr>
            <w:tcW w:w="1480" w:type="dxa"/>
            <w:tcBorders>
              <w:top w:val="nil"/>
              <w:left w:val="nil"/>
              <w:bottom w:val="single" w:sz="4" w:space="0" w:color="auto"/>
              <w:right w:val="single" w:sz="4" w:space="0" w:color="auto"/>
            </w:tcBorders>
            <w:shd w:val="clear" w:color="auto" w:fill="auto"/>
            <w:noWrap/>
            <w:vAlign w:val="bottom"/>
          </w:tcPr>
          <w:p w14:paraId="3755C837"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 xml:space="preserve">1398.897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70EEAC30" w14:textId="77777777" w:rsidR="000D5E5B" w:rsidRPr="008C20C3" w:rsidRDefault="000D5E5B" w:rsidP="000F3320">
            <w:pPr>
              <w:jc w:val="right"/>
              <w:rPr>
                <w:rFonts w:ascii="Calibri" w:hAnsi="Calibri" w:cs="Calibri"/>
                <w:color w:val="000000"/>
                <w:sz w:val="22"/>
                <w:szCs w:val="22"/>
              </w:rPr>
            </w:pPr>
            <w:r w:rsidRPr="00D00E44">
              <w:rPr>
                <w:rFonts w:ascii="Calibri" w:hAnsi="Calibri" w:cs="Calibri"/>
                <w:color w:val="000000"/>
                <w:sz w:val="22"/>
                <w:szCs w:val="22"/>
              </w:rPr>
              <w:t>0.0000</w:t>
            </w:r>
          </w:p>
        </w:tc>
      </w:tr>
      <w:tr w:rsidR="000D5E5B" w:rsidRPr="008C20C3" w14:paraId="32C7365D"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2084D368"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Forest cover loss 2000-20</w:t>
            </w:r>
            <w:r>
              <w:rPr>
                <w:rFonts w:ascii="Calibri" w:hAnsi="Calibri" w:cs="Calibri"/>
                <w:color w:val="000000"/>
                <w:sz w:val="22"/>
                <w:szCs w:val="22"/>
              </w:rPr>
              <w:t>04</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86" w:type="dxa"/>
            <w:tcBorders>
              <w:top w:val="nil"/>
              <w:left w:val="nil"/>
              <w:bottom w:val="single" w:sz="4" w:space="0" w:color="auto"/>
              <w:right w:val="single" w:sz="4" w:space="0" w:color="auto"/>
            </w:tcBorders>
            <w:shd w:val="clear" w:color="auto" w:fill="auto"/>
            <w:noWrap/>
            <w:vAlign w:val="bottom"/>
            <w:hideMark/>
          </w:tcPr>
          <w:p w14:paraId="22AEF594"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2D0FFC78" w14:textId="77777777" w:rsidR="000D5E5B" w:rsidRPr="008C20C3"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13.8306     </w:t>
            </w:r>
          </w:p>
        </w:tc>
        <w:tc>
          <w:tcPr>
            <w:tcW w:w="1400" w:type="dxa"/>
            <w:tcBorders>
              <w:top w:val="nil"/>
              <w:left w:val="nil"/>
              <w:bottom w:val="single" w:sz="4" w:space="0" w:color="auto"/>
              <w:right w:val="single" w:sz="4" w:space="0" w:color="auto"/>
            </w:tcBorders>
            <w:shd w:val="clear" w:color="auto" w:fill="auto"/>
            <w:noWrap/>
            <w:vAlign w:val="bottom"/>
          </w:tcPr>
          <w:p w14:paraId="595548EE" w14:textId="77777777" w:rsidR="000D5E5B" w:rsidRPr="008C20C3"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10.4939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37DBBB49" w14:textId="77777777" w:rsidR="000D5E5B" w:rsidRPr="008C20C3"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-0.2985      </w:t>
            </w:r>
          </w:p>
        </w:tc>
        <w:tc>
          <w:tcPr>
            <w:tcW w:w="1162" w:type="dxa"/>
            <w:gridSpan w:val="2"/>
            <w:tcBorders>
              <w:top w:val="nil"/>
              <w:left w:val="nil"/>
              <w:bottom w:val="single" w:sz="4" w:space="0" w:color="auto"/>
              <w:right w:val="single" w:sz="4" w:space="0" w:color="auto"/>
            </w:tcBorders>
            <w:shd w:val="clear" w:color="auto" w:fill="auto"/>
            <w:noWrap/>
            <w:vAlign w:val="bottom"/>
          </w:tcPr>
          <w:p w14:paraId="03ACBDC9" w14:textId="77777777" w:rsidR="000D5E5B" w:rsidRPr="008C20C3"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10.4939      </w:t>
            </w:r>
          </w:p>
        </w:tc>
        <w:tc>
          <w:tcPr>
            <w:tcW w:w="1480" w:type="dxa"/>
            <w:tcBorders>
              <w:top w:val="nil"/>
              <w:left w:val="nil"/>
              <w:bottom w:val="single" w:sz="4" w:space="0" w:color="auto"/>
              <w:right w:val="single" w:sz="4" w:space="0" w:color="auto"/>
            </w:tcBorders>
            <w:shd w:val="clear" w:color="auto" w:fill="auto"/>
            <w:noWrap/>
            <w:vAlign w:val="bottom"/>
          </w:tcPr>
          <w:p w14:paraId="14F96877" w14:textId="77777777" w:rsidR="000D5E5B" w:rsidRPr="008C20C3"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10.4939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3F2969A8" w14:textId="77777777" w:rsidR="000D5E5B" w:rsidRPr="008C20C3"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-0.0000</w:t>
            </w:r>
          </w:p>
        </w:tc>
      </w:tr>
      <w:tr w:rsidR="000D5E5B" w:rsidRPr="008C20C3" w14:paraId="4873FB1F"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1F7D4995"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4</w:t>
            </w:r>
            <w:r w:rsidRPr="009E3797">
              <w:rPr>
                <w:rFonts w:ascii="Calibri" w:hAnsi="Calibri" w:cs="Calibri"/>
                <w:color w:val="000000"/>
                <w:sz w:val="22"/>
                <w:szCs w:val="22"/>
              </w:rPr>
              <w:t>-20</w:t>
            </w:r>
            <w:r>
              <w:rPr>
                <w:rFonts w:ascii="Calibri" w:hAnsi="Calibri" w:cs="Calibri"/>
                <w:color w:val="000000"/>
                <w:sz w:val="22"/>
                <w:szCs w:val="22"/>
              </w:rPr>
              <w:t>07</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86" w:type="dxa"/>
            <w:tcBorders>
              <w:top w:val="nil"/>
              <w:left w:val="nil"/>
              <w:bottom w:val="single" w:sz="4" w:space="0" w:color="auto"/>
              <w:right w:val="single" w:sz="4" w:space="0" w:color="auto"/>
            </w:tcBorders>
            <w:shd w:val="clear" w:color="auto" w:fill="auto"/>
            <w:noWrap/>
            <w:vAlign w:val="bottom"/>
          </w:tcPr>
          <w:p w14:paraId="247C8AA9"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58E02B57"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5.3022      </w:t>
            </w:r>
          </w:p>
        </w:tc>
        <w:tc>
          <w:tcPr>
            <w:tcW w:w="1400" w:type="dxa"/>
            <w:tcBorders>
              <w:top w:val="nil"/>
              <w:left w:val="nil"/>
              <w:bottom w:val="single" w:sz="4" w:space="0" w:color="auto"/>
              <w:right w:val="single" w:sz="4" w:space="0" w:color="auto"/>
            </w:tcBorders>
            <w:shd w:val="clear" w:color="auto" w:fill="auto"/>
            <w:noWrap/>
            <w:vAlign w:val="bottom"/>
          </w:tcPr>
          <w:p w14:paraId="2AEBA06B"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4.3786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2C75ED5B"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-0.1866       </w:t>
            </w:r>
          </w:p>
        </w:tc>
        <w:tc>
          <w:tcPr>
            <w:tcW w:w="1162" w:type="dxa"/>
            <w:gridSpan w:val="2"/>
            <w:tcBorders>
              <w:top w:val="nil"/>
              <w:left w:val="nil"/>
              <w:bottom w:val="single" w:sz="4" w:space="0" w:color="auto"/>
              <w:right w:val="single" w:sz="4" w:space="0" w:color="auto"/>
            </w:tcBorders>
            <w:shd w:val="clear" w:color="auto" w:fill="auto"/>
            <w:noWrap/>
            <w:vAlign w:val="bottom"/>
          </w:tcPr>
          <w:p w14:paraId="431F96A6"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4.3786       </w:t>
            </w:r>
          </w:p>
        </w:tc>
        <w:tc>
          <w:tcPr>
            <w:tcW w:w="1480" w:type="dxa"/>
            <w:tcBorders>
              <w:top w:val="nil"/>
              <w:left w:val="nil"/>
              <w:bottom w:val="single" w:sz="4" w:space="0" w:color="auto"/>
              <w:right w:val="single" w:sz="4" w:space="0" w:color="auto"/>
            </w:tcBorders>
            <w:shd w:val="clear" w:color="auto" w:fill="auto"/>
            <w:noWrap/>
            <w:vAlign w:val="bottom"/>
          </w:tcPr>
          <w:p w14:paraId="2DE328EF" w14:textId="77777777" w:rsidR="000D5E5B" w:rsidRPr="00735667"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4.3786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7EA62F5D" w14:textId="77777777" w:rsidR="000D5E5B" w:rsidRPr="00735667"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0.0000</w:t>
            </w:r>
          </w:p>
        </w:tc>
      </w:tr>
      <w:tr w:rsidR="000D5E5B" w:rsidRPr="008C20C3" w14:paraId="1FBBEFE4"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2475A350"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Forest cover loss 200</w:t>
            </w:r>
            <w:r>
              <w:rPr>
                <w:rFonts w:ascii="Calibri" w:hAnsi="Calibri" w:cs="Calibri"/>
                <w:color w:val="000000"/>
                <w:sz w:val="22"/>
                <w:szCs w:val="22"/>
              </w:rPr>
              <w:t>7</w:t>
            </w:r>
            <w:r w:rsidRPr="009E3797">
              <w:rPr>
                <w:rFonts w:ascii="Calibri" w:hAnsi="Calibri" w:cs="Calibri"/>
                <w:color w:val="000000"/>
                <w:sz w:val="22"/>
                <w:szCs w:val="22"/>
              </w:rPr>
              <w:t>-20</w:t>
            </w:r>
            <w:r>
              <w:rPr>
                <w:rFonts w:ascii="Calibri" w:hAnsi="Calibri" w:cs="Calibri"/>
                <w:color w:val="000000"/>
                <w:sz w:val="22"/>
                <w:szCs w:val="22"/>
              </w:rPr>
              <w:t>10</w:t>
            </w:r>
            <w:r w:rsidRPr="009E3797">
              <w:rPr>
                <w:rFonts w:ascii="Calibri" w:hAnsi="Calibri" w:cs="Calibri"/>
                <w:color w:val="000000"/>
                <w:sz w:val="22"/>
                <w:szCs w:val="22"/>
              </w:rPr>
              <w:t xml:space="preserve"> in % of forest cover in 20</w:t>
            </w:r>
            <w:r>
              <w:rPr>
                <w:rFonts w:ascii="Calibri" w:hAnsi="Calibri" w:cs="Calibri"/>
                <w:color w:val="000000"/>
                <w:sz w:val="22"/>
                <w:szCs w:val="22"/>
              </w:rPr>
              <w:t>0</w:t>
            </w:r>
            <w:r w:rsidRPr="009E3797">
              <w:rPr>
                <w:rFonts w:ascii="Calibri" w:hAnsi="Calibri" w:cs="Calibri"/>
                <w:color w:val="000000"/>
                <w:sz w:val="22"/>
                <w:szCs w:val="22"/>
              </w:rPr>
              <w:t>0</w:t>
            </w:r>
          </w:p>
        </w:tc>
        <w:tc>
          <w:tcPr>
            <w:tcW w:w="986" w:type="dxa"/>
            <w:tcBorders>
              <w:top w:val="nil"/>
              <w:left w:val="nil"/>
              <w:bottom w:val="single" w:sz="4" w:space="0" w:color="auto"/>
              <w:right w:val="single" w:sz="4" w:space="0" w:color="auto"/>
            </w:tcBorders>
            <w:shd w:val="clear" w:color="auto" w:fill="auto"/>
            <w:noWrap/>
            <w:vAlign w:val="bottom"/>
          </w:tcPr>
          <w:p w14:paraId="5006FFB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378DE109"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3.3664      </w:t>
            </w:r>
          </w:p>
        </w:tc>
        <w:tc>
          <w:tcPr>
            <w:tcW w:w="1400" w:type="dxa"/>
            <w:tcBorders>
              <w:top w:val="nil"/>
              <w:left w:val="nil"/>
              <w:bottom w:val="single" w:sz="4" w:space="0" w:color="auto"/>
              <w:right w:val="single" w:sz="4" w:space="0" w:color="auto"/>
            </w:tcBorders>
            <w:shd w:val="clear" w:color="auto" w:fill="auto"/>
            <w:noWrap/>
            <w:vAlign w:val="bottom"/>
          </w:tcPr>
          <w:p w14:paraId="58FED4E9"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3.3510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433AC2CA"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-0.0043       </w:t>
            </w:r>
          </w:p>
        </w:tc>
        <w:tc>
          <w:tcPr>
            <w:tcW w:w="1162" w:type="dxa"/>
            <w:gridSpan w:val="2"/>
            <w:tcBorders>
              <w:top w:val="nil"/>
              <w:left w:val="nil"/>
              <w:bottom w:val="single" w:sz="4" w:space="0" w:color="auto"/>
              <w:right w:val="single" w:sz="4" w:space="0" w:color="auto"/>
            </w:tcBorders>
            <w:shd w:val="clear" w:color="auto" w:fill="auto"/>
            <w:noWrap/>
            <w:vAlign w:val="bottom"/>
          </w:tcPr>
          <w:p w14:paraId="404F988C"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3.3510       </w:t>
            </w:r>
          </w:p>
        </w:tc>
        <w:tc>
          <w:tcPr>
            <w:tcW w:w="1480" w:type="dxa"/>
            <w:tcBorders>
              <w:top w:val="nil"/>
              <w:left w:val="nil"/>
              <w:bottom w:val="single" w:sz="4" w:space="0" w:color="auto"/>
              <w:right w:val="single" w:sz="4" w:space="0" w:color="auto"/>
            </w:tcBorders>
            <w:shd w:val="clear" w:color="auto" w:fill="auto"/>
            <w:noWrap/>
            <w:vAlign w:val="bottom"/>
          </w:tcPr>
          <w:p w14:paraId="489C128B" w14:textId="77777777" w:rsidR="000D5E5B" w:rsidRPr="00735667"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3.3510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2680369D" w14:textId="77777777" w:rsidR="000D5E5B" w:rsidRPr="00735667"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0.0000</w:t>
            </w:r>
          </w:p>
        </w:tc>
      </w:tr>
      <w:tr w:rsidR="000D5E5B" w:rsidRPr="008C20C3" w14:paraId="442708F8"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07EEC2EA" w14:textId="77777777" w:rsidR="000D5E5B" w:rsidRPr="008C20C3" w:rsidRDefault="000D5E5B" w:rsidP="000F3320">
            <w:pPr>
              <w:rPr>
                <w:rFonts w:ascii="Calibri" w:hAnsi="Calibri" w:cs="Calibri"/>
                <w:color w:val="000000"/>
                <w:sz w:val="22"/>
                <w:szCs w:val="22"/>
              </w:rPr>
            </w:pPr>
            <w:r>
              <w:rPr>
                <w:rFonts w:ascii="Calibri" w:hAnsi="Calibri" w:cs="Calibri"/>
                <w:color w:val="000000"/>
                <w:sz w:val="22"/>
                <w:szCs w:val="22"/>
              </w:rPr>
              <w:t>Household density (in # of registered households /</w:t>
            </w:r>
            <w:r w:rsidRPr="009E3797">
              <w:rPr>
                <w:rFonts w:ascii="Calibri" w:hAnsi="Calibri" w:cs="Calibri"/>
                <w:color w:val="000000"/>
                <w:sz w:val="22"/>
                <w:szCs w:val="22"/>
              </w:rPr>
              <w:t xml:space="preserve"> forest cover in 2010 in ha</w:t>
            </w:r>
            <w:r>
              <w:rPr>
                <w:rFonts w:ascii="Calibri" w:hAnsi="Calibri" w:cs="Calibri"/>
                <w:color w:val="000000"/>
                <w:sz w:val="22"/>
                <w:szCs w:val="22"/>
              </w:rPr>
              <w:t>)</w:t>
            </w:r>
          </w:p>
        </w:tc>
        <w:tc>
          <w:tcPr>
            <w:tcW w:w="986" w:type="dxa"/>
            <w:tcBorders>
              <w:top w:val="nil"/>
              <w:left w:val="nil"/>
              <w:bottom w:val="single" w:sz="4" w:space="0" w:color="auto"/>
              <w:right w:val="single" w:sz="4" w:space="0" w:color="auto"/>
            </w:tcBorders>
            <w:shd w:val="clear" w:color="auto" w:fill="auto"/>
            <w:noWrap/>
            <w:vAlign w:val="bottom"/>
          </w:tcPr>
          <w:p w14:paraId="6DB8509D"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Contin.</w:t>
            </w:r>
          </w:p>
        </w:tc>
        <w:tc>
          <w:tcPr>
            <w:tcW w:w="1130" w:type="dxa"/>
            <w:tcBorders>
              <w:top w:val="nil"/>
              <w:left w:val="nil"/>
              <w:bottom w:val="single" w:sz="4" w:space="0" w:color="auto"/>
              <w:right w:val="single" w:sz="4" w:space="0" w:color="auto"/>
            </w:tcBorders>
            <w:shd w:val="clear" w:color="auto" w:fill="auto"/>
            <w:noWrap/>
            <w:vAlign w:val="bottom"/>
          </w:tcPr>
          <w:p w14:paraId="52F98D6C"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1.3174      </w:t>
            </w:r>
          </w:p>
        </w:tc>
        <w:tc>
          <w:tcPr>
            <w:tcW w:w="1400" w:type="dxa"/>
            <w:tcBorders>
              <w:top w:val="nil"/>
              <w:left w:val="nil"/>
              <w:bottom w:val="single" w:sz="4" w:space="0" w:color="auto"/>
              <w:right w:val="single" w:sz="4" w:space="0" w:color="auto"/>
            </w:tcBorders>
            <w:shd w:val="clear" w:color="auto" w:fill="auto"/>
            <w:noWrap/>
            <w:vAlign w:val="bottom"/>
          </w:tcPr>
          <w:p w14:paraId="4AB341C6"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0.1992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59EF2517"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-0.9953       </w:t>
            </w:r>
          </w:p>
        </w:tc>
        <w:tc>
          <w:tcPr>
            <w:tcW w:w="1162" w:type="dxa"/>
            <w:gridSpan w:val="2"/>
            <w:tcBorders>
              <w:top w:val="nil"/>
              <w:left w:val="nil"/>
              <w:bottom w:val="single" w:sz="4" w:space="0" w:color="auto"/>
              <w:right w:val="single" w:sz="4" w:space="0" w:color="auto"/>
            </w:tcBorders>
            <w:shd w:val="clear" w:color="auto" w:fill="auto"/>
            <w:noWrap/>
            <w:vAlign w:val="bottom"/>
          </w:tcPr>
          <w:p w14:paraId="466ECD3B" w14:textId="77777777" w:rsidR="000D5E5B" w:rsidRPr="00FB66BF"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0.1992       </w:t>
            </w:r>
          </w:p>
        </w:tc>
        <w:tc>
          <w:tcPr>
            <w:tcW w:w="1480" w:type="dxa"/>
            <w:tcBorders>
              <w:top w:val="nil"/>
              <w:left w:val="nil"/>
              <w:bottom w:val="single" w:sz="4" w:space="0" w:color="auto"/>
              <w:right w:val="single" w:sz="4" w:space="0" w:color="auto"/>
            </w:tcBorders>
            <w:shd w:val="clear" w:color="auto" w:fill="auto"/>
            <w:noWrap/>
            <w:vAlign w:val="bottom"/>
          </w:tcPr>
          <w:p w14:paraId="23C41D2A" w14:textId="77777777" w:rsidR="000D5E5B" w:rsidRPr="00735667"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0.1992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359F87BC" w14:textId="77777777" w:rsidR="000D5E5B" w:rsidRPr="00735667"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-0.0000</w:t>
            </w:r>
          </w:p>
        </w:tc>
      </w:tr>
      <w:tr w:rsidR="000D5E5B" w:rsidRPr="008C20C3" w14:paraId="448C4AD1" w14:textId="77777777" w:rsidTr="000F3320">
        <w:trPr>
          <w:gridAfter w:val="1"/>
          <w:wAfter w:w="9" w:type="dxa"/>
          <w:trHeight w:val="170"/>
        </w:trPr>
        <w:tc>
          <w:tcPr>
            <w:tcW w:w="4381" w:type="dxa"/>
            <w:tcBorders>
              <w:top w:val="nil"/>
              <w:left w:val="single" w:sz="4" w:space="0" w:color="auto"/>
              <w:bottom w:val="single" w:sz="4" w:space="0" w:color="auto"/>
              <w:right w:val="single" w:sz="4" w:space="0" w:color="auto"/>
            </w:tcBorders>
            <w:shd w:val="clear" w:color="auto" w:fill="auto"/>
            <w:noWrap/>
            <w:vAlign w:val="bottom"/>
          </w:tcPr>
          <w:p w14:paraId="288FEB7C" w14:textId="77777777" w:rsidR="000D5E5B" w:rsidRDefault="000D5E5B" w:rsidP="000F3320">
            <w:pPr>
              <w:rPr>
                <w:rFonts w:ascii="Calibri" w:hAnsi="Calibri" w:cs="Calibri"/>
                <w:color w:val="000000"/>
                <w:sz w:val="22"/>
                <w:szCs w:val="22"/>
              </w:rPr>
            </w:pPr>
            <w:r>
              <w:rPr>
                <w:rFonts w:ascii="Calibri" w:hAnsi="Calibri" w:cs="Calibri"/>
                <w:color w:val="000000"/>
                <w:sz w:val="22"/>
                <w:szCs w:val="22"/>
              </w:rPr>
              <w:t>Municipal Human Development Index 2010</w:t>
            </w:r>
          </w:p>
        </w:tc>
        <w:tc>
          <w:tcPr>
            <w:tcW w:w="986" w:type="dxa"/>
            <w:tcBorders>
              <w:top w:val="nil"/>
              <w:left w:val="nil"/>
              <w:bottom w:val="single" w:sz="4" w:space="0" w:color="auto"/>
              <w:right w:val="single" w:sz="4" w:space="0" w:color="auto"/>
            </w:tcBorders>
            <w:shd w:val="clear" w:color="auto" w:fill="auto"/>
            <w:noWrap/>
            <w:vAlign w:val="bottom"/>
          </w:tcPr>
          <w:p w14:paraId="3449C246" w14:textId="77777777" w:rsidR="000D5E5B" w:rsidRPr="008C20C3" w:rsidRDefault="000D5E5B" w:rsidP="000F3320">
            <w:pPr>
              <w:rPr>
                <w:rFonts w:ascii="Calibri" w:hAnsi="Calibri" w:cs="Calibri"/>
                <w:color w:val="000000"/>
                <w:sz w:val="22"/>
                <w:szCs w:val="22"/>
              </w:rPr>
            </w:pPr>
            <w:r w:rsidRPr="009E3797">
              <w:rPr>
                <w:rFonts w:ascii="Calibri" w:hAnsi="Calibri" w:cs="Calibri"/>
                <w:color w:val="000000"/>
                <w:sz w:val="22"/>
                <w:szCs w:val="22"/>
              </w:rPr>
              <w:t>Contin</w:t>
            </w:r>
            <w:r>
              <w:rPr>
                <w:rFonts w:ascii="Calibri" w:hAnsi="Calibri" w:cs="Calibri"/>
                <w:color w:val="000000"/>
                <w:sz w:val="22"/>
                <w:szCs w:val="22"/>
              </w:rPr>
              <w:t>.</w:t>
            </w:r>
          </w:p>
        </w:tc>
        <w:tc>
          <w:tcPr>
            <w:tcW w:w="1130" w:type="dxa"/>
            <w:tcBorders>
              <w:top w:val="nil"/>
              <w:left w:val="nil"/>
              <w:bottom w:val="single" w:sz="4" w:space="0" w:color="auto"/>
              <w:right w:val="single" w:sz="4" w:space="0" w:color="auto"/>
            </w:tcBorders>
            <w:shd w:val="clear" w:color="auto" w:fill="auto"/>
            <w:noWrap/>
            <w:vAlign w:val="bottom"/>
          </w:tcPr>
          <w:p w14:paraId="0CAEC330" w14:textId="77777777" w:rsidR="000D5E5B" w:rsidRPr="00396E7A"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0.6288      </w:t>
            </w:r>
          </w:p>
        </w:tc>
        <w:tc>
          <w:tcPr>
            <w:tcW w:w="1400" w:type="dxa"/>
            <w:tcBorders>
              <w:top w:val="nil"/>
              <w:left w:val="nil"/>
              <w:bottom w:val="single" w:sz="4" w:space="0" w:color="auto"/>
              <w:right w:val="single" w:sz="4" w:space="0" w:color="auto"/>
            </w:tcBorders>
            <w:shd w:val="clear" w:color="auto" w:fill="auto"/>
            <w:noWrap/>
            <w:vAlign w:val="bottom"/>
          </w:tcPr>
          <w:p w14:paraId="2782AE0E" w14:textId="77777777" w:rsidR="000D5E5B" w:rsidRPr="00396E7A"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0.6337      </w:t>
            </w:r>
          </w:p>
        </w:tc>
        <w:tc>
          <w:tcPr>
            <w:tcW w:w="1845" w:type="dxa"/>
            <w:tcBorders>
              <w:top w:val="nil"/>
              <w:left w:val="nil"/>
              <w:bottom w:val="single" w:sz="4" w:space="0" w:color="auto"/>
              <w:right w:val="single" w:sz="4" w:space="0" w:color="auto"/>
            </w:tcBorders>
            <w:shd w:val="clear" w:color="auto" w:fill="A6A6A6" w:themeFill="background1" w:themeFillShade="A6"/>
            <w:noWrap/>
            <w:vAlign w:val="bottom"/>
          </w:tcPr>
          <w:p w14:paraId="5B5C099B" w14:textId="77777777" w:rsidR="000D5E5B" w:rsidRPr="00396E7A"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0.0803       </w:t>
            </w:r>
          </w:p>
        </w:tc>
        <w:tc>
          <w:tcPr>
            <w:tcW w:w="1162" w:type="dxa"/>
            <w:gridSpan w:val="2"/>
            <w:tcBorders>
              <w:top w:val="nil"/>
              <w:left w:val="nil"/>
              <w:bottom w:val="single" w:sz="4" w:space="0" w:color="auto"/>
              <w:right w:val="single" w:sz="4" w:space="0" w:color="auto"/>
            </w:tcBorders>
            <w:shd w:val="clear" w:color="auto" w:fill="auto"/>
            <w:noWrap/>
            <w:vAlign w:val="bottom"/>
          </w:tcPr>
          <w:p w14:paraId="74E953D3" w14:textId="77777777" w:rsidR="000D5E5B" w:rsidRPr="00396E7A"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0.6337       </w:t>
            </w:r>
          </w:p>
        </w:tc>
        <w:tc>
          <w:tcPr>
            <w:tcW w:w="1480" w:type="dxa"/>
            <w:tcBorders>
              <w:top w:val="nil"/>
              <w:left w:val="nil"/>
              <w:bottom w:val="single" w:sz="4" w:space="0" w:color="auto"/>
              <w:right w:val="single" w:sz="4" w:space="0" w:color="auto"/>
            </w:tcBorders>
            <w:shd w:val="clear" w:color="auto" w:fill="auto"/>
            <w:noWrap/>
            <w:vAlign w:val="bottom"/>
          </w:tcPr>
          <w:p w14:paraId="3641C1A9" w14:textId="77777777" w:rsidR="000D5E5B" w:rsidRPr="00396E7A"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 xml:space="preserve">0.6337      </w:t>
            </w:r>
          </w:p>
        </w:tc>
        <w:tc>
          <w:tcPr>
            <w:tcW w:w="1388" w:type="dxa"/>
            <w:tcBorders>
              <w:top w:val="nil"/>
              <w:left w:val="nil"/>
              <w:bottom w:val="single" w:sz="4" w:space="0" w:color="auto"/>
              <w:right w:val="single" w:sz="4" w:space="0" w:color="auto"/>
            </w:tcBorders>
            <w:shd w:val="clear" w:color="auto" w:fill="A6A6A6" w:themeFill="background1" w:themeFillShade="A6"/>
            <w:noWrap/>
            <w:vAlign w:val="bottom"/>
          </w:tcPr>
          <w:p w14:paraId="13AF3B8D" w14:textId="77777777" w:rsidR="000D5E5B" w:rsidRPr="00396E7A" w:rsidRDefault="000D5E5B" w:rsidP="000F3320">
            <w:pPr>
              <w:jc w:val="right"/>
              <w:rPr>
                <w:rFonts w:ascii="Calibri" w:hAnsi="Calibri" w:cs="Calibri"/>
                <w:color w:val="000000"/>
                <w:sz w:val="22"/>
                <w:szCs w:val="22"/>
              </w:rPr>
            </w:pPr>
            <w:r w:rsidRPr="00D03F22">
              <w:rPr>
                <w:rFonts w:ascii="Calibri" w:hAnsi="Calibri" w:cs="Calibri"/>
                <w:color w:val="000000"/>
                <w:sz w:val="22"/>
                <w:szCs w:val="22"/>
              </w:rPr>
              <w:t>-0.0000</w:t>
            </w:r>
          </w:p>
        </w:tc>
      </w:tr>
      <w:tr w:rsidR="000D5E5B" w:rsidRPr="008C20C3" w14:paraId="474F8C3E" w14:textId="77777777" w:rsidTr="000F3320">
        <w:trPr>
          <w:gridAfter w:val="1"/>
          <w:wAfter w:w="9" w:type="dxa"/>
          <w:trHeight w:val="301"/>
        </w:trPr>
        <w:tc>
          <w:tcPr>
            <w:tcW w:w="4381" w:type="dxa"/>
            <w:tcBorders>
              <w:top w:val="nil"/>
              <w:left w:val="nil"/>
              <w:bottom w:val="nil"/>
              <w:right w:val="nil"/>
            </w:tcBorders>
            <w:shd w:val="clear" w:color="auto" w:fill="auto"/>
            <w:noWrap/>
            <w:vAlign w:val="bottom"/>
            <w:hideMark/>
          </w:tcPr>
          <w:p w14:paraId="551F0F6A" w14:textId="77777777" w:rsidR="000D5E5B" w:rsidRPr="008C20C3" w:rsidRDefault="000D5E5B" w:rsidP="000F3320">
            <w:pPr>
              <w:jc w:val="right"/>
              <w:rPr>
                <w:rFonts w:ascii="Calibri" w:hAnsi="Calibri" w:cs="Calibri"/>
                <w:color w:val="000000"/>
                <w:sz w:val="22"/>
                <w:szCs w:val="22"/>
              </w:rPr>
            </w:pPr>
          </w:p>
        </w:tc>
        <w:tc>
          <w:tcPr>
            <w:tcW w:w="986" w:type="dxa"/>
            <w:tcBorders>
              <w:top w:val="nil"/>
              <w:left w:val="nil"/>
              <w:bottom w:val="nil"/>
              <w:right w:val="nil"/>
            </w:tcBorders>
            <w:shd w:val="clear" w:color="auto" w:fill="auto"/>
            <w:noWrap/>
            <w:vAlign w:val="bottom"/>
            <w:hideMark/>
          </w:tcPr>
          <w:p w14:paraId="239F2708" w14:textId="77777777" w:rsidR="000D5E5B" w:rsidRPr="008C20C3" w:rsidRDefault="000D5E5B" w:rsidP="000F3320">
            <w:pPr>
              <w:rPr>
                <w:sz w:val="20"/>
              </w:rPr>
            </w:pPr>
          </w:p>
        </w:tc>
        <w:tc>
          <w:tcPr>
            <w:tcW w:w="1130" w:type="dxa"/>
            <w:tcBorders>
              <w:top w:val="nil"/>
              <w:left w:val="nil"/>
              <w:bottom w:val="nil"/>
              <w:right w:val="nil"/>
            </w:tcBorders>
            <w:shd w:val="clear" w:color="auto" w:fill="auto"/>
            <w:noWrap/>
            <w:vAlign w:val="bottom"/>
            <w:hideMark/>
          </w:tcPr>
          <w:p w14:paraId="2BA9295C" w14:textId="77777777" w:rsidR="000D5E5B" w:rsidRPr="008C20C3" w:rsidRDefault="000D5E5B" w:rsidP="000F3320">
            <w:pPr>
              <w:rPr>
                <w:sz w:val="20"/>
              </w:rPr>
            </w:pPr>
          </w:p>
        </w:tc>
        <w:tc>
          <w:tcPr>
            <w:tcW w:w="1400" w:type="dxa"/>
            <w:tcBorders>
              <w:top w:val="nil"/>
              <w:left w:val="nil"/>
              <w:bottom w:val="nil"/>
              <w:right w:val="nil"/>
            </w:tcBorders>
            <w:shd w:val="clear" w:color="auto" w:fill="auto"/>
            <w:noWrap/>
            <w:vAlign w:val="bottom"/>
            <w:hideMark/>
          </w:tcPr>
          <w:p w14:paraId="13A484E4" w14:textId="77777777" w:rsidR="000D5E5B" w:rsidRPr="008C20C3" w:rsidRDefault="000D5E5B" w:rsidP="000F3320">
            <w:pPr>
              <w:rPr>
                <w:sz w:val="20"/>
              </w:rPr>
            </w:pPr>
          </w:p>
        </w:tc>
        <w:tc>
          <w:tcPr>
            <w:tcW w:w="1845" w:type="dxa"/>
            <w:tcBorders>
              <w:top w:val="nil"/>
              <w:left w:val="nil"/>
              <w:bottom w:val="nil"/>
              <w:right w:val="nil"/>
            </w:tcBorders>
            <w:shd w:val="clear" w:color="auto" w:fill="auto"/>
            <w:noWrap/>
            <w:vAlign w:val="bottom"/>
            <w:hideMark/>
          </w:tcPr>
          <w:p w14:paraId="298AE9D5" w14:textId="77777777" w:rsidR="000D5E5B" w:rsidRPr="008C20C3" w:rsidRDefault="000D5E5B" w:rsidP="000F3320">
            <w:pPr>
              <w:rPr>
                <w:sz w:val="20"/>
              </w:rPr>
            </w:pPr>
          </w:p>
        </w:tc>
        <w:tc>
          <w:tcPr>
            <w:tcW w:w="1162" w:type="dxa"/>
            <w:gridSpan w:val="2"/>
            <w:tcBorders>
              <w:top w:val="nil"/>
              <w:left w:val="nil"/>
              <w:bottom w:val="nil"/>
              <w:right w:val="nil"/>
            </w:tcBorders>
            <w:shd w:val="clear" w:color="auto" w:fill="auto"/>
            <w:noWrap/>
            <w:vAlign w:val="bottom"/>
            <w:hideMark/>
          </w:tcPr>
          <w:p w14:paraId="51396366" w14:textId="77777777" w:rsidR="000D5E5B" w:rsidRPr="008C20C3" w:rsidRDefault="000D5E5B" w:rsidP="000F3320">
            <w:pPr>
              <w:rPr>
                <w:sz w:val="20"/>
              </w:rPr>
            </w:pPr>
          </w:p>
        </w:tc>
        <w:tc>
          <w:tcPr>
            <w:tcW w:w="1480" w:type="dxa"/>
            <w:tcBorders>
              <w:top w:val="nil"/>
              <w:left w:val="nil"/>
              <w:bottom w:val="nil"/>
              <w:right w:val="nil"/>
            </w:tcBorders>
            <w:shd w:val="clear" w:color="auto" w:fill="auto"/>
            <w:noWrap/>
            <w:vAlign w:val="bottom"/>
            <w:hideMark/>
          </w:tcPr>
          <w:p w14:paraId="21A723C9" w14:textId="77777777" w:rsidR="000D5E5B" w:rsidRPr="008C20C3" w:rsidRDefault="000D5E5B" w:rsidP="000F3320">
            <w:pPr>
              <w:rPr>
                <w:sz w:val="20"/>
              </w:rPr>
            </w:pPr>
          </w:p>
        </w:tc>
        <w:tc>
          <w:tcPr>
            <w:tcW w:w="1388" w:type="dxa"/>
            <w:tcBorders>
              <w:top w:val="nil"/>
              <w:left w:val="nil"/>
              <w:bottom w:val="nil"/>
              <w:right w:val="nil"/>
            </w:tcBorders>
            <w:shd w:val="clear" w:color="auto" w:fill="auto"/>
            <w:noWrap/>
            <w:vAlign w:val="bottom"/>
            <w:hideMark/>
          </w:tcPr>
          <w:p w14:paraId="2414A6CB" w14:textId="77777777" w:rsidR="000D5E5B" w:rsidRPr="008C20C3" w:rsidRDefault="000D5E5B" w:rsidP="000F3320">
            <w:pPr>
              <w:rPr>
                <w:sz w:val="20"/>
              </w:rPr>
            </w:pPr>
          </w:p>
        </w:tc>
      </w:tr>
      <w:tr w:rsidR="000D5E5B" w:rsidRPr="008C20C3" w14:paraId="751FFA8A" w14:textId="77777777" w:rsidTr="000F3320">
        <w:trPr>
          <w:gridAfter w:val="1"/>
          <w:wAfter w:w="9" w:type="dxa"/>
          <w:trHeight w:val="301"/>
        </w:trPr>
        <w:tc>
          <w:tcPr>
            <w:tcW w:w="43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3FFD6"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lastRenderedPageBreak/>
              <w:t xml:space="preserve">Effective (Weighted) Sample Size </w:t>
            </w:r>
          </w:p>
        </w:tc>
        <w:tc>
          <w:tcPr>
            <w:tcW w:w="986" w:type="dxa"/>
            <w:tcBorders>
              <w:top w:val="single" w:sz="4" w:space="0" w:color="auto"/>
              <w:left w:val="nil"/>
              <w:bottom w:val="single" w:sz="4" w:space="0" w:color="auto"/>
              <w:right w:val="single" w:sz="4" w:space="0" w:color="auto"/>
            </w:tcBorders>
            <w:shd w:val="clear" w:color="auto" w:fill="auto"/>
            <w:noWrap/>
            <w:vAlign w:val="bottom"/>
            <w:hideMark/>
          </w:tcPr>
          <w:p w14:paraId="673AA25C"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Control</w:t>
            </w:r>
          </w:p>
        </w:tc>
        <w:tc>
          <w:tcPr>
            <w:tcW w:w="1130" w:type="dxa"/>
            <w:tcBorders>
              <w:top w:val="single" w:sz="4" w:space="0" w:color="auto"/>
              <w:left w:val="nil"/>
              <w:bottom w:val="single" w:sz="4" w:space="0" w:color="auto"/>
              <w:right w:val="single" w:sz="4" w:space="0" w:color="auto"/>
            </w:tcBorders>
            <w:shd w:val="clear" w:color="auto" w:fill="auto"/>
            <w:noWrap/>
            <w:vAlign w:val="bottom"/>
            <w:hideMark/>
          </w:tcPr>
          <w:p w14:paraId="4F7399A8"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Treated</w:t>
            </w:r>
          </w:p>
        </w:tc>
        <w:tc>
          <w:tcPr>
            <w:tcW w:w="1400" w:type="dxa"/>
            <w:tcBorders>
              <w:top w:val="nil"/>
              <w:left w:val="nil"/>
              <w:bottom w:val="nil"/>
              <w:right w:val="nil"/>
            </w:tcBorders>
            <w:shd w:val="clear" w:color="auto" w:fill="auto"/>
            <w:noWrap/>
            <w:vAlign w:val="bottom"/>
            <w:hideMark/>
          </w:tcPr>
          <w:p w14:paraId="20DAB400" w14:textId="77777777" w:rsidR="000D5E5B" w:rsidRPr="008C20C3" w:rsidRDefault="000D5E5B" w:rsidP="000F3320">
            <w:pPr>
              <w:rPr>
                <w:rFonts w:ascii="Calibri" w:hAnsi="Calibri" w:cs="Calibri"/>
                <w:color w:val="000000"/>
                <w:sz w:val="22"/>
                <w:szCs w:val="22"/>
              </w:rPr>
            </w:pPr>
          </w:p>
        </w:tc>
        <w:tc>
          <w:tcPr>
            <w:tcW w:w="1845" w:type="dxa"/>
            <w:tcBorders>
              <w:top w:val="nil"/>
              <w:left w:val="nil"/>
              <w:bottom w:val="nil"/>
              <w:right w:val="nil"/>
            </w:tcBorders>
            <w:shd w:val="clear" w:color="auto" w:fill="auto"/>
            <w:noWrap/>
            <w:vAlign w:val="bottom"/>
            <w:hideMark/>
          </w:tcPr>
          <w:p w14:paraId="0138220B" w14:textId="77777777" w:rsidR="000D5E5B" w:rsidRPr="008C20C3" w:rsidRDefault="000D5E5B" w:rsidP="000F3320">
            <w:pPr>
              <w:rPr>
                <w:sz w:val="20"/>
              </w:rPr>
            </w:pPr>
          </w:p>
        </w:tc>
        <w:tc>
          <w:tcPr>
            <w:tcW w:w="1162" w:type="dxa"/>
            <w:gridSpan w:val="2"/>
            <w:tcBorders>
              <w:top w:val="nil"/>
              <w:left w:val="nil"/>
              <w:bottom w:val="nil"/>
              <w:right w:val="nil"/>
            </w:tcBorders>
            <w:shd w:val="clear" w:color="auto" w:fill="auto"/>
            <w:noWrap/>
            <w:vAlign w:val="bottom"/>
            <w:hideMark/>
          </w:tcPr>
          <w:p w14:paraId="617EC2C1" w14:textId="77777777" w:rsidR="000D5E5B" w:rsidRPr="008C20C3" w:rsidRDefault="000D5E5B" w:rsidP="000F3320">
            <w:pPr>
              <w:rPr>
                <w:sz w:val="20"/>
              </w:rPr>
            </w:pPr>
          </w:p>
        </w:tc>
        <w:tc>
          <w:tcPr>
            <w:tcW w:w="1480" w:type="dxa"/>
            <w:tcBorders>
              <w:top w:val="nil"/>
              <w:left w:val="nil"/>
              <w:bottom w:val="nil"/>
              <w:right w:val="nil"/>
            </w:tcBorders>
            <w:shd w:val="clear" w:color="auto" w:fill="auto"/>
            <w:noWrap/>
            <w:vAlign w:val="bottom"/>
            <w:hideMark/>
          </w:tcPr>
          <w:p w14:paraId="5702603F" w14:textId="77777777" w:rsidR="000D5E5B" w:rsidRPr="008C20C3" w:rsidRDefault="000D5E5B" w:rsidP="000F3320">
            <w:pPr>
              <w:rPr>
                <w:sz w:val="20"/>
              </w:rPr>
            </w:pPr>
          </w:p>
        </w:tc>
        <w:tc>
          <w:tcPr>
            <w:tcW w:w="1388" w:type="dxa"/>
            <w:tcBorders>
              <w:top w:val="nil"/>
              <w:left w:val="nil"/>
              <w:bottom w:val="nil"/>
              <w:right w:val="nil"/>
            </w:tcBorders>
            <w:shd w:val="clear" w:color="auto" w:fill="auto"/>
            <w:noWrap/>
            <w:vAlign w:val="bottom"/>
            <w:hideMark/>
          </w:tcPr>
          <w:p w14:paraId="1133390A" w14:textId="77777777" w:rsidR="000D5E5B" w:rsidRPr="008C20C3" w:rsidRDefault="000D5E5B" w:rsidP="000F3320">
            <w:pPr>
              <w:rPr>
                <w:sz w:val="20"/>
              </w:rPr>
            </w:pPr>
          </w:p>
        </w:tc>
      </w:tr>
      <w:tr w:rsidR="000D5E5B" w:rsidRPr="008C20C3" w14:paraId="0FEDC760"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66DB6C07"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Before Weighting</w:t>
            </w:r>
          </w:p>
        </w:tc>
        <w:tc>
          <w:tcPr>
            <w:tcW w:w="986" w:type="dxa"/>
            <w:tcBorders>
              <w:top w:val="nil"/>
              <w:left w:val="nil"/>
              <w:bottom w:val="single" w:sz="4" w:space="0" w:color="auto"/>
              <w:right w:val="single" w:sz="4" w:space="0" w:color="auto"/>
            </w:tcBorders>
            <w:shd w:val="clear" w:color="auto" w:fill="auto"/>
            <w:noWrap/>
            <w:vAlign w:val="bottom"/>
            <w:hideMark/>
          </w:tcPr>
          <w:p w14:paraId="0ACC37F7" w14:textId="77777777" w:rsidR="000D5E5B" w:rsidRPr="008C20C3" w:rsidRDefault="000D5E5B" w:rsidP="000F3320">
            <w:pPr>
              <w:jc w:val="right"/>
              <w:rPr>
                <w:rFonts w:ascii="Calibri" w:hAnsi="Calibri" w:cs="Calibri"/>
                <w:color w:val="000000"/>
                <w:sz w:val="22"/>
                <w:szCs w:val="22"/>
              </w:rPr>
            </w:pPr>
            <w:r>
              <w:rPr>
                <w:rFonts w:ascii="Calibri" w:hAnsi="Calibri" w:cs="Calibri"/>
                <w:color w:val="000000"/>
                <w:sz w:val="22"/>
                <w:szCs w:val="22"/>
              </w:rPr>
              <w:t>3564</w:t>
            </w:r>
          </w:p>
        </w:tc>
        <w:tc>
          <w:tcPr>
            <w:tcW w:w="1130" w:type="dxa"/>
            <w:tcBorders>
              <w:top w:val="nil"/>
              <w:left w:val="nil"/>
              <w:bottom w:val="single" w:sz="4" w:space="0" w:color="auto"/>
              <w:right w:val="single" w:sz="4" w:space="0" w:color="auto"/>
            </w:tcBorders>
            <w:shd w:val="clear" w:color="auto" w:fill="auto"/>
            <w:noWrap/>
            <w:vAlign w:val="bottom"/>
            <w:hideMark/>
          </w:tcPr>
          <w:p w14:paraId="578BB607" w14:textId="77777777" w:rsidR="000D5E5B" w:rsidRPr="008C20C3" w:rsidRDefault="000D5E5B" w:rsidP="000F3320">
            <w:pPr>
              <w:jc w:val="right"/>
              <w:rPr>
                <w:rFonts w:ascii="Calibri" w:hAnsi="Calibri" w:cs="Calibri"/>
                <w:color w:val="000000"/>
                <w:sz w:val="22"/>
                <w:szCs w:val="22"/>
              </w:rPr>
            </w:pPr>
            <w:r>
              <w:rPr>
                <w:rFonts w:ascii="Calibri" w:hAnsi="Calibri" w:cs="Calibri"/>
                <w:color w:val="000000"/>
                <w:sz w:val="22"/>
                <w:szCs w:val="22"/>
              </w:rPr>
              <w:t>544</w:t>
            </w:r>
          </w:p>
        </w:tc>
        <w:tc>
          <w:tcPr>
            <w:tcW w:w="1400" w:type="dxa"/>
            <w:tcBorders>
              <w:top w:val="nil"/>
              <w:left w:val="nil"/>
              <w:bottom w:val="nil"/>
              <w:right w:val="nil"/>
            </w:tcBorders>
            <w:shd w:val="clear" w:color="auto" w:fill="auto"/>
            <w:noWrap/>
            <w:vAlign w:val="bottom"/>
            <w:hideMark/>
          </w:tcPr>
          <w:p w14:paraId="25D30655" w14:textId="77777777" w:rsidR="000D5E5B" w:rsidRPr="008C20C3" w:rsidRDefault="000D5E5B" w:rsidP="000F3320">
            <w:pPr>
              <w:jc w:val="right"/>
              <w:rPr>
                <w:rFonts w:ascii="Calibri" w:hAnsi="Calibri" w:cs="Calibri"/>
                <w:color w:val="000000"/>
                <w:sz w:val="22"/>
                <w:szCs w:val="22"/>
              </w:rPr>
            </w:pPr>
          </w:p>
        </w:tc>
        <w:tc>
          <w:tcPr>
            <w:tcW w:w="1845" w:type="dxa"/>
            <w:tcBorders>
              <w:top w:val="nil"/>
              <w:left w:val="nil"/>
              <w:bottom w:val="nil"/>
              <w:right w:val="nil"/>
            </w:tcBorders>
            <w:shd w:val="clear" w:color="auto" w:fill="auto"/>
            <w:noWrap/>
            <w:vAlign w:val="bottom"/>
            <w:hideMark/>
          </w:tcPr>
          <w:p w14:paraId="2BA6B1EA" w14:textId="77777777" w:rsidR="000D5E5B" w:rsidRPr="008C20C3" w:rsidRDefault="000D5E5B" w:rsidP="000F3320">
            <w:pPr>
              <w:rPr>
                <w:sz w:val="20"/>
              </w:rPr>
            </w:pPr>
          </w:p>
        </w:tc>
        <w:tc>
          <w:tcPr>
            <w:tcW w:w="1162" w:type="dxa"/>
            <w:gridSpan w:val="2"/>
            <w:tcBorders>
              <w:top w:val="nil"/>
              <w:left w:val="nil"/>
              <w:bottom w:val="nil"/>
              <w:right w:val="nil"/>
            </w:tcBorders>
            <w:shd w:val="clear" w:color="auto" w:fill="auto"/>
            <w:noWrap/>
            <w:vAlign w:val="bottom"/>
            <w:hideMark/>
          </w:tcPr>
          <w:p w14:paraId="350418FA" w14:textId="77777777" w:rsidR="000D5E5B" w:rsidRPr="008C20C3" w:rsidRDefault="000D5E5B" w:rsidP="000F3320">
            <w:pPr>
              <w:rPr>
                <w:sz w:val="20"/>
              </w:rPr>
            </w:pPr>
          </w:p>
        </w:tc>
        <w:tc>
          <w:tcPr>
            <w:tcW w:w="1480" w:type="dxa"/>
            <w:tcBorders>
              <w:top w:val="nil"/>
              <w:left w:val="nil"/>
              <w:bottom w:val="nil"/>
              <w:right w:val="nil"/>
            </w:tcBorders>
            <w:shd w:val="clear" w:color="auto" w:fill="auto"/>
            <w:noWrap/>
            <w:vAlign w:val="bottom"/>
            <w:hideMark/>
          </w:tcPr>
          <w:p w14:paraId="793F06C8" w14:textId="77777777" w:rsidR="000D5E5B" w:rsidRPr="008C20C3" w:rsidRDefault="000D5E5B" w:rsidP="000F3320">
            <w:pPr>
              <w:rPr>
                <w:sz w:val="20"/>
              </w:rPr>
            </w:pPr>
          </w:p>
        </w:tc>
        <w:tc>
          <w:tcPr>
            <w:tcW w:w="1388" w:type="dxa"/>
            <w:tcBorders>
              <w:top w:val="nil"/>
              <w:left w:val="nil"/>
              <w:bottom w:val="nil"/>
              <w:right w:val="nil"/>
            </w:tcBorders>
            <w:shd w:val="clear" w:color="auto" w:fill="auto"/>
            <w:noWrap/>
            <w:vAlign w:val="bottom"/>
            <w:hideMark/>
          </w:tcPr>
          <w:p w14:paraId="01F4304E" w14:textId="77777777" w:rsidR="000D5E5B" w:rsidRPr="008C20C3" w:rsidRDefault="000D5E5B" w:rsidP="000F3320">
            <w:pPr>
              <w:rPr>
                <w:sz w:val="20"/>
              </w:rPr>
            </w:pPr>
          </w:p>
        </w:tc>
      </w:tr>
      <w:tr w:rsidR="000D5E5B" w:rsidRPr="008C20C3" w14:paraId="343809B7" w14:textId="77777777" w:rsidTr="000F3320">
        <w:trPr>
          <w:gridAfter w:val="1"/>
          <w:wAfter w:w="9" w:type="dxa"/>
          <w:trHeight w:val="301"/>
        </w:trPr>
        <w:tc>
          <w:tcPr>
            <w:tcW w:w="4381" w:type="dxa"/>
            <w:tcBorders>
              <w:top w:val="nil"/>
              <w:left w:val="single" w:sz="4" w:space="0" w:color="auto"/>
              <w:bottom w:val="single" w:sz="4" w:space="0" w:color="auto"/>
              <w:right w:val="single" w:sz="4" w:space="0" w:color="auto"/>
            </w:tcBorders>
            <w:shd w:val="clear" w:color="auto" w:fill="auto"/>
            <w:noWrap/>
            <w:vAlign w:val="bottom"/>
            <w:hideMark/>
          </w:tcPr>
          <w:p w14:paraId="300679B5" w14:textId="77777777" w:rsidR="000D5E5B" w:rsidRPr="008C20C3" w:rsidRDefault="000D5E5B" w:rsidP="000F3320">
            <w:pPr>
              <w:rPr>
                <w:rFonts w:ascii="Calibri" w:hAnsi="Calibri" w:cs="Calibri"/>
                <w:color w:val="000000"/>
                <w:sz w:val="22"/>
                <w:szCs w:val="22"/>
              </w:rPr>
            </w:pPr>
            <w:r w:rsidRPr="008C20C3">
              <w:rPr>
                <w:rFonts w:ascii="Calibri" w:hAnsi="Calibri" w:cs="Calibri"/>
                <w:color w:val="000000"/>
                <w:sz w:val="22"/>
                <w:szCs w:val="22"/>
              </w:rPr>
              <w:t>After Weighting</w:t>
            </w:r>
          </w:p>
        </w:tc>
        <w:tc>
          <w:tcPr>
            <w:tcW w:w="986" w:type="dxa"/>
            <w:tcBorders>
              <w:top w:val="nil"/>
              <w:left w:val="nil"/>
              <w:bottom w:val="single" w:sz="4" w:space="0" w:color="auto"/>
              <w:right w:val="single" w:sz="4" w:space="0" w:color="auto"/>
            </w:tcBorders>
            <w:shd w:val="clear" w:color="auto" w:fill="auto"/>
            <w:noWrap/>
            <w:vAlign w:val="bottom"/>
            <w:hideMark/>
          </w:tcPr>
          <w:p w14:paraId="0377D858" w14:textId="77777777" w:rsidR="000D5E5B" w:rsidRPr="008C20C3" w:rsidRDefault="000D5E5B" w:rsidP="000F3320">
            <w:pPr>
              <w:jc w:val="right"/>
              <w:rPr>
                <w:rFonts w:ascii="Calibri" w:hAnsi="Calibri" w:cs="Calibri"/>
                <w:color w:val="000000"/>
                <w:sz w:val="22"/>
                <w:szCs w:val="22"/>
              </w:rPr>
            </w:pPr>
            <w:r w:rsidRPr="004B22C7">
              <w:rPr>
                <w:rFonts w:ascii="Calibri" w:hAnsi="Calibri" w:cs="Calibri"/>
                <w:color w:val="000000"/>
                <w:sz w:val="22"/>
                <w:szCs w:val="22"/>
              </w:rPr>
              <w:t xml:space="preserve">2217.12     </w:t>
            </w:r>
          </w:p>
        </w:tc>
        <w:tc>
          <w:tcPr>
            <w:tcW w:w="1130" w:type="dxa"/>
            <w:tcBorders>
              <w:top w:val="nil"/>
              <w:left w:val="nil"/>
              <w:bottom w:val="single" w:sz="4" w:space="0" w:color="auto"/>
              <w:right w:val="single" w:sz="4" w:space="0" w:color="auto"/>
            </w:tcBorders>
            <w:shd w:val="clear" w:color="auto" w:fill="auto"/>
            <w:noWrap/>
            <w:vAlign w:val="bottom"/>
            <w:hideMark/>
          </w:tcPr>
          <w:p w14:paraId="27B3554D" w14:textId="77777777" w:rsidR="000D5E5B" w:rsidRPr="008C20C3" w:rsidRDefault="000D5E5B" w:rsidP="000F3320">
            <w:pPr>
              <w:jc w:val="right"/>
              <w:rPr>
                <w:rFonts w:ascii="Calibri" w:hAnsi="Calibri" w:cs="Calibri"/>
                <w:color w:val="000000"/>
                <w:sz w:val="22"/>
                <w:szCs w:val="22"/>
              </w:rPr>
            </w:pPr>
            <w:r>
              <w:rPr>
                <w:rFonts w:ascii="Calibri" w:hAnsi="Calibri" w:cs="Calibri"/>
                <w:color w:val="000000"/>
                <w:sz w:val="22"/>
                <w:szCs w:val="22"/>
              </w:rPr>
              <w:t>544</w:t>
            </w:r>
          </w:p>
        </w:tc>
        <w:tc>
          <w:tcPr>
            <w:tcW w:w="1400" w:type="dxa"/>
            <w:tcBorders>
              <w:top w:val="nil"/>
              <w:left w:val="nil"/>
              <w:bottom w:val="nil"/>
              <w:right w:val="nil"/>
            </w:tcBorders>
            <w:shd w:val="clear" w:color="auto" w:fill="auto"/>
            <w:noWrap/>
            <w:vAlign w:val="bottom"/>
            <w:hideMark/>
          </w:tcPr>
          <w:p w14:paraId="25DC40B1" w14:textId="77777777" w:rsidR="000D5E5B" w:rsidRPr="008C20C3" w:rsidRDefault="000D5E5B" w:rsidP="000F3320">
            <w:pPr>
              <w:jc w:val="right"/>
              <w:rPr>
                <w:rFonts w:ascii="Calibri" w:hAnsi="Calibri" w:cs="Calibri"/>
                <w:color w:val="000000"/>
                <w:sz w:val="22"/>
                <w:szCs w:val="22"/>
              </w:rPr>
            </w:pPr>
          </w:p>
        </w:tc>
        <w:tc>
          <w:tcPr>
            <w:tcW w:w="1845" w:type="dxa"/>
            <w:tcBorders>
              <w:top w:val="nil"/>
              <w:left w:val="nil"/>
              <w:bottom w:val="nil"/>
              <w:right w:val="nil"/>
            </w:tcBorders>
            <w:shd w:val="clear" w:color="auto" w:fill="auto"/>
            <w:noWrap/>
            <w:vAlign w:val="bottom"/>
            <w:hideMark/>
          </w:tcPr>
          <w:p w14:paraId="0DAA985A" w14:textId="77777777" w:rsidR="000D5E5B" w:rsidRPr="008C20C3" w:rsidRDefault="000D5E5B" w:rsidP="000F3320">
            <w:pPr>
              <w:rPr>
                <w:sz w:val="20"/>
              </w:rPr>
            </w:pPr>
          </w:p>
        </w:tc>
        <w:tc>
          <w:tcPr>
            <w:tcW w:w="1162" w:type="dxa"/>
            <w:gridSpan w:val="2"/>
            <w:tcBorders>
              <w:top w:val="nil"/>
              <w:left w:val="nil"/>
              <w:bottom w:val="nil"/>
              <w:right w:val="nil"/>
            </w:tcBorders>
            <w:shd w:val="clear" w:color="auto" w:fill="auto"/>
            <w:noWrap/>
            <w:vAlign w:val="bottom"/>
            <w:hideMark/>
          </w:tcPr>
          <w:p w14:paraId="64A36433" w14:textId="77777777" w:rsidR="000D5E5B" w:rsidRPr="008C20C3" w:rsidRDefault="000D5E5B" w:rsidP="000F3320">
            <w:pPr>
              <w:rPr>
                <w:sz w:val="20"/>
              </w:rPr>
            </w:pPr>
          </w:p>
        </w:tc>
        <w:tc>
          <w:tcPr>
            <w:tcW w:w="1480" w:type="dxa"/>
            <w:tcBorders>
              <w:top w:val="nil"/>
              <w:left w:val="nil"/>
              <w:bottom w:val="nil"/>
              <w:right w:val="nil"/>
            </w:tcBorders>
            <w:shd w:val="clear" w:color="auto" w:fill="auto"/>
            <w:noWrap/>
            <w:vAlign w:val="bottom"/>
            <w:hideMark/>
          </w:tcPr>
          <w:p w14:paraId="6B47D882" w14:textId="77777777" w:rsidR="000D5E5B" w:rsidRPr="008C20C3" w:rsidRDefault="000D5E5B" w:rsidP="000F3320">
            <w:pPr>
              <w:rPr>
                <w:sz w:val="20"/>
              </w:rPr>
            </w:pPr>
          </w:p>
        </w:tc>
        <w:tc>
          <w:tcPr>
            <w:tcW w:w="1388" w:type="dxa"/>
            <w:tcBorders>
              <w:top w:val="nil"/>
              <w:left w:val="nil"/>
              <w:bottom w:val="nil"/>
              <w:right w:val="nil"/>
            </w:tcBorders>
            <w:shd w:val="clear" w:color="auto" w:fill="auto"/>
            <w:noWrap/>
            <w:vAlign w:val="bottom"/>
            <w:hideMark/>
          </w:tcPr>
          <w:p w14:paraId="3E49E737" w14:textId="77777777" w:rsidR="000D5E5B" w:rsidRPr="008C20C3" w:rsidRDefault="000D5E5B" w:rsidP="000F3320">
            <w:pPr>
              <w:rPr>
                <w:sz w:val="20"/>
              </w:rPr>
            </w:pPr>
          </w:p>
        </w:tc>
      </w:tr>
    </w:tbl>
    <w:p w14:paraId="64D97810" w14:textId="43790AE2" w:rsidR="000D5E5B" w:rsidRDefault="000D5E5B" w:rsidP="000D5E5B">
      <w:pPr>
        <w:pStyle w:val="SMHeading"/>
        <w:rPr>
          <w:rFonts w:ascii="Arial" w:hAnsi="Arial" w:cs="Arial"/>
          <w:sz w:val="20"/>
          <w:szCs w:val="20"/>
        </w:rPr>
      </w:pPr>
      <w:r w:rsidRPr="00DC623A">
        <w:rPr>
          <w:rFonts w:ascii="Arial" w:hAnsi="Arial" w:cs="Arial"/>
          <w:sz w:val="20"/>
          <w:szCs w:val="20"/>
        </w:rPr>
        <w:t xml:space="preserve"> </w:t>
      </w:r>
    </w:p>
    <w:p w14:paraId="6372BAE7" w14:textId="15BEF29E" w:rsidR="000D5E5B" w:rsidRDefault="000D5E5B" w:rsidP="000D5E5B">
      <w:pPr>
        <w:rPr>
          <w:rFonts w:ascii="Arial" w:hAnsi="Arial" w:cs="Arial"/>
          <w:b/>
          <w:bCs/>
          <w:kern w:val="32"/>
          <w:sz w:val="20"/>
        </w:rPr>
      </w:pPr>
      <w:r>
        <w:rPr>
          <w:rFonts w:ascii="Arial" w:hAnsi="Arial" w:cs="Arial"/>
          <w:sz w:val="20"/>
        </w:rPr>
        <w:br w:type="page"/>
      </w:r>
    </w:p>
    <w:p w14:paraId="20ED2795" w14:textId="34E699CA" w:rsidR="009A5287" w:rsidRPr="00DC623A" w:rsidRDefault="00015F74" w:rsidP="00B42F9C">
      <w:pPr>
        <w:pStyle w:val="SMHeading"/>
        <w:rPr>
          <w:rFonts w:ascii="Arial" w:hAnsi="Arial" w:cs="Arial"/>
          <w:b w:val="0"/>
          <w:sz w:val="20"/>
          <w:szCs w:val="20"/>
        </w:rPr>
      </w:pPr>
      <w:r w:rsidRPr="00DC623A">
        <w:rPr>
          <w:rFonts w:ascii="Arial" w:hAnsi="Arial" w:cs="Arial"/>
          <w:sz w:val="20"/>
          <w:szCs w:val="20"/>
        </w:rPr>
        <w:lastRenderedPageBreak/>
        <w:t>Table S</w:t>
      </w:r>
      <w:r w:rsidR="00D017AB">
        <w:rPr>
          <w:rFonts w:ascii="Arial" w:hAnsi="Arial" w:cs="Arial"/>
          <w:sz w:val="20"/>
          <w:szCs w:val="20"/>
        </w:rPr>
        <w:t>5</w:t>
      </w:r>
      <w:r w:rsidRPr="00DC623A">
        <w:rPr>
          <w:rFonts w:ascii="Arial" w:hAnsi="Arial" w:cs="Arial"/>
          <w:sz w:val="20"/>
          <w:szCs w:val="20"/>
        </w:rPr>
        <w:t>.</w:t>
      </w:r>
      <w:r w:rsidR="00B42F9C" w:rsidRPr="00DC623A">
        <w:rPr>
          <w:rFonts w:ascii="Arial" w:hAnsi="Arial" w:cs="Arial"/>
          <w:sz w:val="20"/>
          <w:szCs w:val="20"/>
        </w:rPr>
        <w:t xml:space="preserve"> </w:t>
      </w:r>
      <w:r w:rsidR="00101B1A">
        <w:rPr>
          <w:rFonts w:ascii="Arial" w:hAnsi="Arial" w:cs="Arial"/>
          <w:b w:val="0"/>
          <w:sz w:val="20"/>
          <w:szCs w:val="20"/>
        </w:rPr>
        <w:t>The total cost of Bolsa Verde in contact USD 2016 (</w:t>
      </w:r>
      <w:r w:rsidR="00F83B26">
        <w:rPr>
          <w:rFonts w:ascii="Arial" w:hAnsi="Arial" w:cs="Arial"/>
          <w:b w:val="0"/>
          <w:sz w:val="20"/>
          <w:szCs w:val="20"/>
        </w:rPr>
        <w:t xml:space="preserve">converting all amounts in USD 2016, and further </w:t>
      </w:r>
      <w:r w:rsidR="00101B1A">
        <w:rPr>
          <w:rFonts w:ascii="Arial" w:hAnsi="Arial" w:cs="Arial"/>
          <w:b w:val="0"/>
          <w:sz w:val="20"/>
          <w:szCs w:val="20"/>
        </w:rPr>
        <w:t>applying a 3 % discount for costs after 2016)</w:t>
      </w:r>
    </w:p>
    <w:p w14:paraId="45143467" w14:textId="77777777" w:rsidR="009A5287" w:rsidRPr="00DC623A" w:rsidRDefault="009A5287" w:rsidP="00477182">
      <w:pPr>
        <w:pStyle w:val="SMcaption"/>
        <w:rPr>
          <w:rFonts w:ascii="Arial" w:hAnsi="Arial" w:cs="Arial"/>
          <w:sz w:val="20"/>
        </w:rPr>
      </w:pPr>
    </w:p>
    <w:tbl>
      <w:tblPr>
        <w:tblW w:w="13063" w:type="dxa"/>
        <w:tblLook w:val="04A0" w:firstRow="1" w:lastRow="0" w:firstColumn="1" w:lastColumn="0" w:noHBand="0" w:noVBand="1"/>
      </w:tblPr>
      <w:tblGrid>
        <w:gridCol w:w="908"/>
        <w:gridCol w:w="3047"/>
        <w:gridCol w:w="3038"/>
        <w:gridCol w:w="6070"/>
      </w:tblGrid>
      <w:tr w:rsidR="00101B1A" w:rsidRPr="00101B1A" w14:paraId="3FBC1922" w14:textId="77777777" w:rsidTr="00A3781A">
        <w:trPr>
          <w:trHeight w:val="280"/>
        </w:trPr>
        <w:tc>
          <w:tcPr>
            <w:tcW w:w="90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ADCCC" w14:textId="77777777"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Year</w:t>
            </w:r>
          </w:p>
        </w:tc>
        <w:tc>
          <w:tcPr>
            <w:tcW w:w="3047" w:type="dxa"/>
            <w:tcBorders>
              <w:top w:val="single" w:sz="4" w:space="0" w:color="auto"/>
              <w:left w:val="nil"/>
              <w:bottom w:val="single" w:sz="4" w:space="0" w:color="auto"/>
              <w:right w:val="single" w:sz="4" w:space="0" w:color="auto"/>
            </w:tcBorders>
            <w:shd w:val="clear" w:color="auto" w:fill="auto"/>
            <w:noWrap/>
            <w:vAlign w:val="center"/>
            <w:hideMark/>
          </w:tcPr>
          <w:p w14:paraId="65755D0B" w14:textId="3E8981DA"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current Brazilian Reais</w:t>
            </w:r>
          </w:p>
        </w:tc>
        <w:tc>
          <w:tcPr>
            <w:tcW w:w="3038" w:type="dxa"/>
            <w:tcBorders>
              <w:top w:val="single" w:sz="4" w:space="0" w:color="auto"/>
              <w:left w:val="nil"/>
              <w:bottom w:val="single" w:sz="4" w:space="0" w:color="auto"/>
              <w:right w:val="single" w:sz="4" w:space="0" w:color="auto"/>
            </w:tcBorders>
            <w:shd w:val="clear" w:color="auto" w:fill="auto"/>
            <w:noWrap/>
            <w:vAlign w:val="center"/>
            <w:hideMark/>
          </w:tcPr>
          <w:p w14:paraId="627F4E27" w14:textId="77777777"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current USD from CEPAL</w:t>
            </w:r>
          </w:p>
        </w:tc>
        <w:tc>
          <w:tcPr>
            <w:tcW w:w="6070" w:type="dxa"/>
            <w:tcBorders>
              <w:top w:val="single" w:sz="4" w:space="0" w:color="auto"/>
              <w:left w:val="nil"/>
              <w:bottom w:val="single" w:sz="4" w:space="0" w:color="auto"/>
              <w:right w:val="single" w:sz="4" w:space="0" w:color="auto"/>
            </w:tcBorders>
            <w:shd w:val="clear" w:color="auto" w:fill="auto"/>
            <w:noWrap/>
            <w:vAlign w:val="center"/>
            <w:hideMark/>
          </w:tcPr>
          <w:p w14:paraId="48E6223B" w14:textId="77777777"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in constant USD 2016</w:t>
            </w:r>
          </w:p>
        </w:tc>
      </w:tr>
      <w:tr w:rsidR="00101B1A" w:rsidRPr="00101B1A" w14:paraId="38342680"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2E1D162D"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2011</w:t>
            </w:r>
          </w:p>
        </w:tc>
        <w:tc>
          <w:tcPr>
            <w:tcW w:w="3047" w:type="dxa"/>
            <w:tcBorders>
              <w:top w:val="nil"/>
              <w:left w:val="nil"/>
              <w:bottom w:val="single" w:sz="4" w:space="0" w:color="auto"/>
              <w:right w:val="single" w:sz="4" w:space="0" w:color="auto"/>
            </w:tcBorders>
            <w:shd w:val="clear" w:color="auto" w:fill="auto"/>
            <w:noWrap/>
            <w:vAlign w:val="center"/>
            <w:hideMark/>
          </w:tcPr>
          <w:p w14:paraId="2CE89A9C"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8,500,000</w:t>
            </w:r>
          </w:p>
        </w:tc>
        <w:tc>
          <w:tcPr>
            <w:tcW w:w="3038" w:type="dxa"/>
            <w:tcBorders>
              <w:top w:val="nil"/>
              <w:left w:val="nil"/>
              <w:bottom w:val="single" w:sz="4" w:space="0" w:color="auto"/>
              <w:right w:val="single" w:sz="4" w:space="0" w:color="auto"/>
            </w:tcBorders>
            <w:shd w:val="clear" w:color="000000" w:fill="FFFFFF"/>
            <w:noWrap/>
            <w:vAlign w:val="center"/>
            <w:hideMark/>
          </w:tcPr>
          <w:p w14:paraId="7280197A" w14:textId="77777777" w:rsidR="00101B1A" w:rsidRPr="00817067" w:rsidRDefault="00101B1A" w:rsidP="00101B1A">
            <w:pPr>
              <w:jc w:val="center"/>
              <w:rPr>
                <w:rFonts w:ascii="Arial" w:hAnsi="Arial" w:cs="Arial"/>
                <w:sz w:val="20"/>
              </w:rPr>
            </w:pPr>
            <w:r w:rsidRPr="00817067">
              <w:rPr>
                <w:rFonts w:ascii="Arial" w:hAnsi="Arial" w:cs="Arial"/>
                <w:sz w:val="20"/>
              </w:rPr>
              <w:t>5,081,213</w:t>
            </w:r>
          </w:p>
        </w:tc>
        <w:tc>
          <w:tcPr>
            <w:tcW w:w="6070" w:type="dxa"/>
            <w:tcBorders>
              <w:top w:val="nil"/>
              <w:left w:val="nil"/>
              <w:bottom w:val="single" w:sz="4" w:space="0" w:color="auto"/>
              <w:right w:val="single" w:sz="4" w:space="0" w:color="auto"/>
            </w:tcBorders>
            <w:shd w:val="clear" w:color="000000" w:fill="FFFFFF"/>
            <w:noWrap/>
            <w:vAlign w:val="center"/>
            <w:hideMark/>
          </w:tcPr>
          <w:p w14:paraId="375E501C"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5,421,589</w:t>
            </w:r>
          </w:p>
        </w:tc>
      </w:tr>
      <w:tr w:rsidR="00101B1A" w:rsidRPr="00101B1A" w14:paraId="0F22AEB0"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3B5DEA8"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2012</w:t>
            </w:r>
          </w:p>
        </w:tc>
        <w:tc>
          <w:tcPr>
            <w:tcW w:w="3047" w:type="dxa"/>
            <w:tcBorders>
              <w:top w:val="nil"/>
              <w:left w:val="nil"/>
              <w:bottom w:val="single" w:sz="4" w:space="0" w:color="auto"/>
              <w:right w:val="single" w:sz="4" w:space="0" w:color="auto"/>
            </w:tcBorders>
            <w:shd w:val="clear" w:color="auto" w:fill="auto"/>
            <w:noWrap/>
            <w:vAlign w:val="center"/>
            <w:hideMark/>
          </w:tcPr>
          <w:p w14:paraId="332BAAEC" w14:textId="53B2D7B1" w:rsidR="00101B1A" w:rsidRPr="00817067" w:rsidRDefault="00101B1A" w:rsidP="00101B1A">
            <w:pPr>
              <w:jc w:val="center"/>
              <w:rPr>
                <w:rFonts w:ascii="Arial" w:hAnsi="Arial" w:cs="Arial"/>
                <w:color w:val="000000"/>
                <w:sz w:val="20"/>
              </w:rPr>
            </w:pPr>
          </w:p>
        </w:tc>
        <w:tc>
          <w:tcPr>
            <w:tcW w:w="3038" w:type="dxa"/>
            <w:tcBorders>
              <w:top w:val="nil"/>
              <w:left w:val="nil"/>
              <w:bottom w:val="single" w:sz="4" w:space="0" w:color="auto"/>
              <w:right w:val="single" w:sz="4" w:space="0" w:color="auto"/>
            </w:tcBorders>
            <w:shd w:val="clear" w:color="auto" w:fill="auto"/>
            <w:noWrap/>
            <w:vAlign w:val="center"/>
            <w:hideMark/>
          </w:tcPr>
          <w:p w14:paraId="2D48FC0C"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c>
          <w:tcPr>
            <w:tcW w:w="6070" w:type="dxa"/>
            <w:tcBorders>
              <w:top w:val="nil"/>
              <w:left w:val="nil"/>
              <w:bottom w:val="single" w:sz="4" w:space="0" w:color="auto"/>
              <w:right w:val="single" w:sz="4" w:space="0" w:color="auto"/>
            </w:tcBorders>
            <w:shd w:val="clear" w:color="000000" w:fill="FFFFFF"/>
            <w:noWrap/>
            <w:vAlign w:val="center"/>
            <w:hideMark/>
          </w:tcPr>
          <w:p w14:paraId="63FA29CE"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r>
      <w:tr w:rsidR="00101B1A" w:rsidRPr="00101B1A" w14:paraId="17764DEE"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0944A2A"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2013</w:t>
            </w:r>
          </w:p>
        </w:tc>
        <w:tc>
          <w:tcPr>
            <w:tcW w:w="3047" w:type="dxa"/>
            <w:tcBorders>
              <w:top w:val="nil"/>
              <w:left w:val="nil"/>
              <w:bottom w:val="single" w:sz="4" w:space="0" w:color="auto"/>
              <w:right w:val="single" w:sz="4" w:space="0" w:color="auto"/>
            </w:tcBorders>
            <w:shd w:val="clear" w:color="auto" w:fill="auto"/>
            <w:noWrap/>
            <w:vAlign w:val="center"/>
            <w:hideMark/>
          </w:tcPr>
          <w:p w14:paraId="13EDF7E4"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54,185,274</w:t>
            </w:r>
          </w:p>
        </w:tc>
        <w:tc>
          <w:tcPr>
            <w:tcW w:w="3038" w:type="dxa"/>
            <w:tcBorders>
              <w:top w:val="nil"/>
              <w:left w:val="nil"/>
              <w:bottom w:val="single" w:sz="4" w:space="0" w:color="auto"/>
              <w:right w:val="single" w:sz="4" w:space="0" w:color="auto"/>
            </w:tcBorders>
            <w:shd w:val="clear" w:color="000000" w:fill="FFFFFF"/>
            <w:noWrap/>
            <w:vAlign w:val="center"/>
            <w:hideMark/>
          </w:tcPr>
          <w:p w14:paraId="2B4B9602"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25,131,277</w:t>
            </w:r>
          </w:p>
        </w:tc>
        <w:tc>
          <w:tcPr>
            <w:tcW w:w="6070" w:type="dxa"/>
            <w:tcBorders>
              <w:top w:val="nil"/>
              <w:left w:val="nil"/>
              <w:bottom w:val="single" w:sz="4" w:space="0" w:color="auto"/>
              <w:right w:val="single" w:sz="4" w:space="0" w:color="auto"/>
            </w:tcBorders>
            <w:shd w:val="clear" w:color="000000" w:fill="FFFFFF"/>
            <w:noWrap/>
            <w:vAlign w:val="center"/>
            <w:hideMark/>
          </w:tcPr>
          <w:p w14:paraId="0DC69CB4"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25,891,827</w:t>
            </w:r>
          </w:p>
        </w:tc>
      </w:tr>
      <w:tr w:rsidR="00101B1A" w:rsidRPr="00101B1A" w14:paraId="79C11A2F"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0986134"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2014</w:t>
            </w:r>
          </w:p>
        </w:tc>
        <w:tc>
          <w:tcPr>
            <w:tcW w:w="3047" w:type="dxa"/>
            <w:tcBorders>
              <w:top w:val="nil"/>
              <w:left w:val="nil"/>
              <w:bottom w:val="single" w:sz="4" w:space="0" w:color="auto"/>
              <w:right w:val="single" w:sz="4" w:space="0" w:color="auto"/>
            </w:tcBorders>
            <w:shd w:val="clear" w:color="auto" w:fill="auto"/>
            <w:noWrap/>
            <w:vAlign w:val="center"/>
            <w:hideMark/>
          </w:tcPr>
          <w:p w14:paraId="60D5D524"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83,800,112</w:t>
            </w:r>
          </w:p>
        </w:tc>
        <w:tc>
          <w:tcPr>
            <w:tcW w:w="3038" w:type="dxa"/>
            <w:tcBorders>
              <w:top w:val="nil"/>
              <w:left w:val="nil"/>
              <w:bottom w:val="single" w:sz="4" w:space="0" w:color="auto"/>
              <w:right w:val="single" w:sz="4" w:space="0" w:color="auto"/>
            </w:tcBorders>
            <w:shd w:val="clear" w:color="000000" w:fill="FFFFFF"/>
            <w:noWrap/>
            <w:vAlign w:val="center"/>
            <w:hideMark/>
          </w:tcPr>
          <w:p w14:paraId="065EAA56"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35,614,884</w:t>
            </w:r>
          </w:p>
        </w:tc>
        <w:tc>
          <w:tcPr>
            <w:tcW w:w="6070" w:type="dxa"/>
            <w:tcBorders>
              <w:top w:val="nil"/>
              <w:left w:val="nil"/>
              <w:bottom w:val="single" w:sz="4" w:space="0" w:color="auto"/>
              <w:right w:val="single" w:sz="4" w:space="0" w:color="auto"/>
            </w:tcBorders>
            <w:shd w:val="clear" w:color="000000" w:fill="FFFFFF"/>
            <w:noWrap/>
            <w:vAlign w:val="center"/>
            <w:hideMark/>
          </w:tcPr>
          <w:p w14:paraId="78B95A10"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36,106,978</w:t>
            </w:r>
          </w:p>
        </w:tc>
      </w:tr>
      <w:tr w:rsidR="00101B1A" w:rsidRPr="00101B1A" w14:paraId="726CED79"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00167F61"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2015</w:t>
            </w:r>
          </w:p>
        </w:tc>
        <w:tc>
          <w:tcPr>
            <w:tcW w:w="3047" w:type="dxa"/>
            <w:tcBorders>
              <w:top w:val="nil"/>
              <w:left w:val="nil"/>
              <w:bottom w:val="single" w:sz="4" w:space="0" w:color="auto"/>
              <w:right w:val="single" w:sz="4" w:space="0" w:color="auto"/>
            </w:tcBorders>
            <w:shd w:val="clear" w:color="auto" w:fill="auto"/>
            <w:noWrap/>
            <w:vAlign w:val="center"/>
            <w:hideMark/>
          </w:tcPr>
          <w:p w14:paraId="7A215AEA"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92,830,525</w:t>
            </w:r>
          </w:p>
        </w:tc>
        <w:tc>
          <w:tcPr>
            <w:tcW w:w="3038" w:type="dxa"/>
            <w:tcBorders>
              <w:top w:val="nil"/>
              <w:left w:val="nil"/>
              <w:bottom w:val="single" w:sz="4" w:space="0" w:color="auto"/>
              <w:right w:val="single" w:sz="4" w:space="0" w:color="auto"/>
            </w:tcBorders>
            <w:shd w:val="clear" w:color="000000" w:fill="FFFFFF"/>
            <w:noWrap/>
            <w:vAlign w:val="center"/>
            <w:hideMark/>
          </w:tcPr>
          <w:p w14:paraId="6CA9C96E"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27,902,974</w:t>
            </w:r>
          </w:p>
        </w:tc>
        <w:tc>
          <w:tcPr>
            <w:tcW w:w="6070" w:type="dxa"/>
            <w:tcBorders>
              <w:top w:val="nil"/>
              <w:left w:val="nil"/>
              <w:bottom w:val="single" w:sz="4" w:space="0" w:color="auto"/>
              <w:right w:val="single" w:sz="4" w:space="0" w:color="auto"/>
            </w:tcBorders>
            <w:shd w:val="clear" w:color="000000" w:fill="FFFFFF"/>
            <w:noWrap/>
            <w:vAlign w:val="center"/>
            <w:hideMark/>
          </w:tcPr>
          <w:p w14:paraId="48A16357"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28,254,974</w:t>
            </w:r>
          </w:p>
        </w:tc>
      </w:tr>
      <w:tr w:rsidR="00101B1A" w:rsidRPr="00101B1A" w14:paraId="7D804AC7"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57DF383C"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2016</w:t>
            </w:r>
          </w:p>
        </w:tc>
        <w:tc>
          <w:tcPr>
            <w:tcW w:w="3047" w:type="dxa"/>
            <w:tcBorders>
              <w:top w:val="nil"/>
              <w:left w:val="nil"/>
              <w:bottom w:val="single" w:sz="4" w:space="0" w:color="auto"/>
              <w:right w:val="single" w:sz="4" w:space="0" w:color="auto"/>
            </w:tcBorders>
            <w:shd w:val="clear" w:color="auto" w:fill="auto"/>
            <w:noWrap/>
            <w:vAlign w:val="center"/>
            <w:hideMark/>
          </w:tcPr>
          <w:p w14:paraId="297D4A9D"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73,424,347</w:t>
            </w:r>
          </w:p>
        </w:tc>
        <w:tc>
          <w:tcPr>
            <w:tcW w:w="3038" w:type="dxa"/>
            <w:tcBorders>
              <w:top w:val="nil"/>
              <w:left w:val="nil"/>
              <w:bottom w:val="single" w:sz="4" w:space="0" w:color="auto"/>
              <w:right w:val="single" w:sz="4" w:space="0" w:color="auto"/>
            </w:tcBorders>
            <w:shd w:val="clear" w:color="000000" w:fill="FFFFFF"/>
            <w:noWrap/>
            <w:vAlign w:val="center"/>
            <w:hideMark/>
          </w:tcPr>
          <w:p w14:paraId="46A42354"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21,030,580</w:t>
            </w:r>
          </w:p>
        </w:tc>
        <w:tc>
          <w:tcPr>
            <w:tcW w:w="6070" w:type="dxa"/>
            <w:tcBorders>
              <w:top w:val="nil"/>
              <w:left w:val="nil"/>
              <w:bottom w:val="single" w:sz="4" w:space="0" w:color="auto"/>
              <w:right w:val="single" w:sz="4" w:space="0" w:color="auto"/>
            </w:tcBorders>
            <w:shd w:val="clear" w:color="000000" w:fill="FFFFFF"/>
            <w:noWrap/>
            <w:vAlign w:val="center"/>
            <w:hideMark/>
          </w:tcPr>
          <w:p w14:paraId="21EC337F"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21,030,580</w:t>
            </w:r>
          </w:p>
        </w:tc>
      </w:tr>
      <w:tr w:rsidR="00101B1A" w:rsidRPr="00101B1A" w14:paraId="3891B95C"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3DC1A49C"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2017</w:t>
            </w:r>
          </w:p>
        </w:tc>
        <w:tc>
          <w:tcPr>
            <w:tcW w:w="3047" w:type="dxa"/>
            <w:tcBorders>
              <w:top w:val="nil"/>
              <w:left w:val="nil"/>
              <w:bottom w:val="single" w:sz="4" w:space="0" w:color="auto"/>
              <w:right w:val="single" w:sz="4" w:space="0" w:color="auto"/>
            </w:tcBorders>
            <w:shd w:val="clear" w:color="auto" w:fill="auto"/>
            <w:noWrap/>
            <w:vAlign w:val="center"/>
            <w:hideMark/>
          </w:tcPr>
          <w:p w14:paraId="48D4D94D"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61,273,533</w:t>
            </w:r>
          </w:p>
        </w:tc>
        <w:tc>
          <w:tcPr>
            <w:tcW w:w="3038" w:type="dxa"/>
            <w:tcBorders>
              <w:top w:val="nil"/>
              <w:left w:val="nil"/>
              <w:bottom w:val="single" w:sz="4" w:space="0" w:color="auto"/>
              <w:right w:val="single" w:sz="4" w:space="0" w:color="auto"/>
            </w:tcBorders>
            <w:shd w:val="clear" w:color="000000" w:fill="FFFFFF"/>
            <w:noWrap/>
            <w:vAlign w:val="center"/>
            <w:hideMark/>
          </w:tcPr>
          <w:p w14:paraId="28A136A4"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19,199,641</w:t>
            </w:r>
          </w:p>
        </w:tc>
        <w:tc>
          <w:tcPr>
            <w:tcW w:w="6070" w:type="dxa"/>
            <w:tcBorders>
              <w:top w:val="nil"/>
              <w:left w:val="nil"/>
              <w:bottom w:val="single" w:sz="4" w:space="0" w:color="auto"/>
              <w:right w:val="single" w:sz="4" w:space="0" w:color="auto"/>
            </w:tcBorders>
            <w:shd w:val="clear" w:color="000000" w:fill="FFFFFF"/>
            <w:noWrap/>
            <w:vAlign w:val="center"/>
            <w:hideMark/>
          </w:tcPr>
          <w:p w14:paraId="4BB9F8FC"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18,251,605</w:t>
            </w:r>
          </w:p>
        </w:tc>
      </w:tr>
      <w:tr w:rsidR="00101B1A" w:rsidRPr="00101B1A" w14:paraId="26EE4F92"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4980C1C8"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2018</w:t>
            </w:r>
          </w:p>
        </w:tc>
        <w:tc>
          <w:tcPr>
            <w:tcW w:w="3047" w:type="dxa"/>
            <w:tcBorders>
              <w:top w:val="nil"/>
              <w:left w:val="nil"/>
              <w:bottom w:val="single" w:sz="4" w:space="0" w:color="auto"/>
              <w:right w:val="single" w:sz="4" w:space="0" w:color="auto"/>
            </w:tcBorders>
            <w:shd w:val="clear" w:color="auto" w:fill="auto"/>
            <w:noWrap/>
            <w:vAlign w:val="center"/>
            <w:hideMark/>
          </w:tcPr>
          <w:p w14:paraId="6B96FACF"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c>
          <w:tcPr>
            <w:tcW w:w="3038" w:type="dxa"/>
            <w:tcBorders>
              <w:top w:val="nil"/>
              <w:left w:val="nil"/>
              <w:bottom w:val="single" w:sz="4" w:space="0" w:color="auto"/>
              <w:right w:val="single" w:sz="4" w:space="0" w:color="auto"/>
            </w:tcBorders>
            <w:shd w:val="clear" w:color="auto" w:fill="auto"/>
            <w:noWrap/>
            <w:vAlign w:val="center"/>
            <w:hideMark/>
          </w:tcPr>
          <w:p w14:paraId="1A20B948"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c>
          <w:tcPr>
            <w:tcW w:w="6070" w:type="dxa"/>
            <w:tcBorders>
              <w:top w:val="nil"/>
              <w:left w:val="nil"/>
              <w:bottom w:val="single" w:sz="4" w:space="0" w:color="auto"/>
              <w:right w:val="single" w:sz="4" w:space="0" w:color="auto"/>
            </w:tcBorders>
            <w:shd w:val="clear" w:color="000000" w:fill="FFFFFF"/>
            <w:noWrap/>
            <w:vAlign w:val="center"/>
            <w:hideMark/>
          </w:tcPr>
          <w:p w14:paraId="7470D027"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r>
      <w:tr w:rsidR="00101B1A" w:rsidRPr="00101B1A" w14:paraId="7011D6EB"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1F6F60FE"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c>
          <w:tcPr>
            <w:tcW w:w="3047" w:type="dxa"/>
            <w:tcBorders>
              <w:top w:val="nil"/>
              <w:left w:val="nil"/>
              <w:bottom w:val="single" w:sz="4" w:space="0" w:color="auto"/>
              <w:right w:val="single" w:sz="4" w:space="0" w:color="auto"/>
            </w:tcBorders>
            <w:shd w:val="clear" w:color="auto" w:fill="auto"/>
            <w:noWrap/>
            <w:vAlign w:val="center"/>
            <w:hideMark/>
          </w:tcPr>
          <w:p w14:paraId="0EE8B8A8" w14:textId="09C5CE52"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 xml:space="preserve">unadjusted total in </w:t>
            </w:r>
            <w:r w:rsidR="00A3781A" w:rsidRPr="00817067">
              <w:rPr>
                <w:rFonts w:ascii="Arial" w:hAnsi="Arial" w:cs="Arial"/>
                <w:b/>
                <w:bCs/>
                <w:color w:val="000000"/>
                <w:sz w:val="20"/>
              </w:rPr>
              <w:t xml:space="preserve">Brazilian </w:t>
            </w:r>
            <w:r w:rsidRPr="00817067">
              <w:rPr>
                <w:rFonts w:ascii="Arial" w:hAnsi="Arial" w:cs="Arial"/>
                <w:b/>
                <w:bCs/>
                <w:color w:val="000000"/>
                <w:sz w:val="20"/>
              </w:rPr>
              <w:t>Reais</w:t>
            </w:r>
          </w:p>
        </w:tc>
        <w:tc>
          <w:tcPr>
            <w:tcW w:w="3038" w:type="dxa"/>
            <w:tcBorders>
              <w:top w:val="nil"/>
              <w:left w:val="nil"/>
              <w:bottom w:val="single" w:sz="4" w:space="0" w:color="auto"/>
              <w:right w:val="single" w:sz="4" w:space="0" w:color="auto"/>
            </w:tcBorders>
            <w:shd w:val="clear" w:color="auto" w:fill="auto"/>
            <w:noWrap/>
            <w:vAlign w:val="center"/>
            <w:hideMark/>
          </w:tcPr>
          <w:p w14:paraId="1100CA58" w14:textId="7334BB9B"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unadjusted total in current USD</w:t>
            </w:r>
          </w:p>
        </w:tc>
        <w:tc>
          <w:tcPr>
            <w:tcW w:w="6070" w:type="dxa"/>
            <w:tcBorders>
              <w:top w:val="nil"/>
              <w:left w:val="nil"/>
              <w:bottom w:val="single" w:sz="4" w:space="0" w:color="auto"/>
              <w:right w:val="single" w:sz="4" w:space="0" w:color="auto"/>
            </w:tcBorders>
            <w:shd w:val="clear" w:color="auto" w:fill="auto"/>
            <w:noWrap/>
            <w:vAlign w:val="center"/>
            <w:hideMark/>
          </w:tcPr>
          <w:p w14:paraId="665F461E" w14:textId="0B820998"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total sum constant 2016 USD</w:t>
            </w:r>
          </w:p>
        </w:tc>
      </w:tr>
      <w:tr w:rsidR="00101B1A" w:rsidRPr="00101B1A" w14:paraId="48641BEF" w14:textId="77777777" w:rsidTr="00A3781A">
        <w:trPr>
          <w:trHeight w:val="280"/>
        </w:trPr>
        <w:tc>
          <w:tcPr>
            <w:tcW w:w="908" w:type="dxa"/>
            <w:tcBorders>
              <w:top w:val="nil"/>
              <w:left w:val="single" w:sz="4" w:space="0" w:color="auto"/>
              <w:bottom w:val="single" w:sz="4" w:space="0" w:color="auto"/>
              <w:right w:val="single" w:sz="4" w:space="0" w:color="auto"/>
            </w:tcBorders>
            <w:shd w:val="clear" w:color="auto" w:fill="auto"/>
            <w:noWrap/>
            <w:vAlign w:val="center"/>
            <w:hideMark/>
          </w:tcPr>
          <w:p w14:paraId="776EF665" w14:textId="77777777" w:rsidR="00101B1A" w:rsidRPr="00817067" w:rsidRDefault="00101B1A" w:rsidP="00101B1A">
            <w:pPr>
              <w:jc w:val="center"/>
              <w:rPr>
                <w:rFonts w:ascii="Arial" w:hAnsi="Arial" w:cs="Arial"/>
                <w:color w:val="000000"/>
                <w:sz w:val="20"/>
              </w:rPr>
            </w:pPr>
            <w:r w:rsidRPr="00817067">
              <w:rPr>
                <w:rFonts w:ascii="Arial" w:hAnsi="Arial" w:cs="Arial"/>
                <w:color w:val="000000"/>
                <w:sz w:val="20"/>
              </w:rPr>
              <w:t> </w:t>
            </w:r>
          </w:p>
        </w:tc>
        <w:tc>
          <w:tcPr>
            <w:tcW w:w="3047" w:type="dxa"/>
            <w:tcBorders>
              <w:top w:val="nil"/>
              <w:left w:val="nil"/>
              <w:bottom w:val="single" w:sz="4" w:space="0" w:color="auto"/>
              <w:right w:val="single" w:sz="4" w:space="0" w:color="auto"/>
            </w:tcBorders>
            <w:shd w:val="clear" w:color="auto" w:fill="auto"/>
            <w:noWrap/>
            <w:vAlign w:val="center"/>
            <w:hideMark/>
          </w:tcPr>
          <w:p w14:paraId="76EF78CC" w14:textId="77777777"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374,013,791</w:t>
            </w:r>
          </w:p>
        </w:tc>
        <w:tc>
          <w:tcPr>
            <w:tcW w:w="3038" w:type="dxa"/>
            <w:tcBorders>
              <w:top w:val="nil"/>
              <w:left w:val="nil"/>
              <w:bottom w:val="single" w:sz="4" w:space="0" w:color="auto"/>
              <w:right w:val="single" w:sz="4" w:space="0" w:color="auto"/>
            </w:tcBorders>
            <w:shd w:val="clear" w:color="auto" w:fill="auto"/>
            <w:noWrap/>
            <w:vAlign w:val="center"/>
            <w:hideMark/>
          </w:tcPr>
          <w:p w14:paraId="5BFA30E7" w14:textId="77777777"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133,960,570</w:t>
            </w:r>
          </w:p>
        </w:tc>
        <w:tc>
          <w:tcPr>
            <w:tcW w:w="6070" w:type="dxa"/>
            <w:tcBorders>
              <w:top w:val="nil"/>
              <w:left w:val="nil"/>
              <w:bottom w:val="single" w:sz="4" w:space="0" w:color="auto"/>
              <w:right w:val="single" w:sz="4" w:space="0" w:color="auto"/>
            </w:tcBorders>
            <w:shd w:val="clear" w:color="auto" w:fill="auto"/>
            <w:noWrap/>
            <w:vAlign w:val="center"/>
            <w:hideMark/>
          </w:tcPr>
          <w:p w14:paraId="2833056E" w14:textId="77777777" w:rsidR="00101B1A" w:rsidRPr="00817067" w:rsidRDefault="00101B1A" w:rsidP="00101B1A">
            <w:pPr>
              <w:jc w:val="center"/>
              <w:rPr>
                <w:rFonts w:ascii="Arial" w:hAnsi="Arial" w:cs="Arial"/>
                <w:b/>
                <w:bCs/>
                <w:color w:val="000000"/>
                <w:sz w:val="20"/>
              </w:rPr>
            </w:pPr>
            <w:r w:rsidRPr="00817067">
              <w:rPr>
                <w:rFonts w:ascii="Arial" w:hAnsi="Arial" w:cs="Arial"/>
                <w:b/>
                <w:bCs/>
                <w:color w:val="000000"/>
                <w:sz w:val="20"/>
              </w:rPr>
              <w:t>134,957,552</w:t>
            </w:r>
          </w:p>
        </w:tc>
      </w:tr>
    </w:tbl>
    <w:p w14:paraId="16687C11" w14:textId="77777777" w:rsidR="00663B2E" w:rsidRDefault="00907ED9" w:rsidP="00B9440A">
      <w:pPr>
        <w:pStyle w:val="SMcaption"/>
        <w:rPr>
          <w:rFonts w:ascii="Arial" w:hAnsi="Arial" w:cs="Arial"/>
          <w:sz w:val="20"/>
        </w:rPr>
        <w:sectPr w:rsidR="00663B2E" w:rsidSect="003F5AA9">
          <w:pgSz w:w="15840" w:h="12240" w:orient="landscape"/>
          <w:pgMar w:top="1800" w:right="1440" w:bottom="1800" w:left="1440" w:header="720" w:footer="720" w:gutter="0"/>
          <w:cols w:space="720"/>
          <w:docGrid w:linePitch="360"/>
        </w:sectPr>
      </w:pPr>
      <w:r>
        <w:rPr>
          <w:rFonts w:ascii="Arial" w:hAnsi="Arial" w:cs="Arial"/>
          <w:sz w:val="20"/>
        </w:rPr>
        <w:t xml:space="preserve">Source: </w:t>
      </w:r>
      <w:r w:rsidRPr="00DB5141">
        <w:rPr>
          <w:rFonts w:ascii="Arial" w:hAnsi="Arial" w:cs="Arial"/>
          <w:color w:val="000000"/>
          <w:sz w:val="20"/>
        </w:rPr>
        <w:t xml:space="preserve">Non-contributory Social Protection </w:t>
      </w:r>
      <w:proofErr w:type="spellStart"/>
      <w:r w:rsidRPr="00DB5141">
        <w:rPr>
          <w:rFonts w:ascii="Arial" w:hAnsi="Arial" w:cs="Arial"/>
          <w:color w:val="000000"/>
          <w:sz w:val="20"/>
        </w:rPr>
        <w:t>Programmes</w:t>
      </w:r>
      <w:proofErr w:type="spellEnd"/>
      <w:r w:rsidRPr="00DB5141">
        <w:rPr>
          <w:rFonts w:ascii="Arial" w:hAnsi="Arial" w:cs="Arial"/>
          <w:color w:val="000000"/>
          <w:sz w:val="20"/>
        </w:rPr>
        <w:t xml:space="preserve"> Database </w:t>
      </w:r>
      <w:r>
        <w:rPr>
          <w:rFonts w:ascii="Arial" w:hAnsi="Arial" w:cs="Arial"/>
          <w:color w:val="000000"/>
          <w:sz w:val="20"/>
        </w:rPr>
        <w:t>of</w:t>
      </w:r>
      <w:r w:rsidRPr="00DB5141">
        <w:rPr>
          <w:rFonts w:ascii="Arial" w:hAnsi="Arial" w:cs="Arial"/>
          <w:color w:val="000000"/>
          <w:sz w:val="20"/>
        </w:rPr>
        <w:t xml:space="preserve"> the Economic Commission for Latin America and the Caribbean (</w:t>
      </w:r>
      <w:hyperlink r:id="rId28" w:history="1">
        <w:r w:rsidRPr="00DB5141">
          <w:rPr>
            <w:rStyle w:val="Hyperlink"/>
            <w:rFonts w:ascii="Arial" w:hAnsi="Arial" w:cs="Arial"/>
            <w:sz w:val="20"/>
          </w:rPr>
          <w:t>https://dds.cepal.org/bpsnc/programme?id=60</w:t>
        </w:r>
      </w:hyperlink>
      <w:r w:rsidRPr="00DB5141">
        <w:rPr>
          <w:rFonts w:ascii="Arial" w:hAnsi="Arial" w:cs="Arial"/>
          <w:color w:val="000000"/>
          <w:sz w:val="20"/>
        </w:rPr>
        <w:t>)</w:t>
      </w:r>
      <w:r w:rsidR="009A3D26">
        <w:rPr>
          <w:rFonts w:ascii="Arial" w:hAnsi="Arial" w:cs="Arial"/>
          <w:sz w:val="20"/>
        </w:rPr>
        <w:br w:type="page"/>
      </w:r>
    </w:p>
    <w:p w14:paraId="10C22F57" w14:textId="5D6361A3" w:rsidR="007843C9" w:rsidRPr="00016E79" w:rsidRDefault="00820484" w:rsidP="00205091">
      <w:pPr>
        <w:rPr>
          <w:rFonts w:ascii="Arial" w:hAnsi="Arial" w:cs="Arial"/>
          <w:b/>
          <w:sz w:val="20"/>
        </w:rPr>
      </w:pPr>
      <w:r w:rsidRPr="00016E79">
        <w:rPr>
          <w:rFonts w:ascii="Arial" w:hAnsi="Arial" w:cs="Arial"/>
          <w:b/>
          <w:sz w:val="20"/>
        </w:rPr>
        <w:lastRenderedPageBreak/>
        <w:t>References</w:t>
      </w:r>
    </w:p>
    <w:p w14:paraId="7BFE0089" w14:textId="77777777" w:rsidR="009E37C3" w:rsidRPr="009E37C3" w:rsidRDefault="00016E79" w:rsidP="009E37C3">
      <w:pPr>
        <w:pStyle w:val="Bibliography"/>
        <w:rPr>
          <w:rFonts w:ascii="Arial" w:hAnsi="Arial" w:cs="Arial"/>
          <w:sz w:val="20"/>
        </w:rPr>
      </w:pPr>
      <w:r>
        <w:rPr>
          <w:rFonts w:ascii="Arial" w:hAnsi="Arial" w:cs="Arial"/>
          <w:b/>
          <w:sz w:val="20"/>
          <w:highlight w:val="yellow"/>
        </w:rPr>
        <w:fldChar w:fldCharType="begin"/>
      </w:r>
      <w:r>
        <w:rPr>
          <w:rFonts w:ascii="Arial" w:hAnsi="Arial" w:cs="Arial"/>
          <w:b/>
          <w:sz w:val="20"/>
          <w:highlight w:val="yellow"/>
        </w:rPr>
        <w:instrText xml:space="preserve"> ADDIN ZOTERO_BIBL {"uncited":[],"omitted":[],"custom":[]} CSL_BIBLIOGRAPHY </w:instrText>
      </w:r>
      <w:r>
        <w:rPr>
          <w:rFonts w:ascii="Arial" w:hAnsi="Arial" w:cs="Arial"/>
          <w:b/>
          <w:sz w:val="20"/>
          <w:highlight w:val="yellow"/>
        </w:rPr>
        <w:fldChar w:fldCharType="separate"/>
      </w:r>
      <w:r w:rsidR="009E37C3" w:rsidRPr="009E37C3">
        <w:rPr>
          <w:rFonts w:ascii="Arial" w:hAnsi="Arial" w:cs="Arial"/>
          <w:sz w:val="20"/>
        </w:rPr>
        <w:t xml:space="preserve">1. </w:t>
      </w:r>
      <w:r w:rsidR="009E37C3" w:rsidRPr="009E37C3">
        <w:rPr>
          <w:rFonts w:ascii="Arial" w:hAnsi="Arial" w:cs="Arial"/>
          <w:sz w:val="20"/>
        </w:rPr>
        <w:tab/>
        <w:t xml:space="preserve">C. Samii, M. Lisiecki, P. Kulkarni, L. Paler, L. Chavis, Effects of payment for environmental services (PES) on deforestation and poverty in low and middle income countries: a systematic review. </w:t>
      </w:r>
      <w:r w:rsidR="009E37C3" w:rsidRPr="009E37C3">
        <w:rPr>
          <w:rFonts w:ascii="Arial" w:hAnsi="Arial" w:cs="Arial"/>
          <w:i/>
          <w:iCs/>
          <w:sz w:val="20"/>
        </w:rPr>
        <w:t>Campbell Systematic Reviews</w:t>
      </w:r>
      <w:r w:rsidR="009E37C3" w:rsidRPr="009E37C3">
        <w:rPr>
          <w:rFonts w:ascii="Arial" w:hAnsi="Arial" w:cs="Arial"/>
          <w:sz w:val="20"/>
        </w:rPr>
        <w:t xml:space="preserve"> </w:t>
      </w:r>
      <w:r w:rsidR="009E37C3" w:rsidRPr="009E37C3">
        <w:rPr>
          <w:rFonts w:ascii="Arial" w:hAnsi="Arial" w:cs="Arial"/>
          <w:b/>
          <w:bCs/>
          <w:sz w:val="20"/>
        </w:rPr>
        <w:t>10</w:t>
      </w:r>
      <w:r w:rsidR="009E37C3" w:rsidRPr="009E37C3">
        <w:rPr>
          <w:rFonts w:ascii="Arial" w:hAnsi="Arial" w:cs="Arial"/>
          <w:sz w:val="20"/>
        </w:rPr>
        <w:t xml:space="preserve"> (2014).</w:t>
      </w:r>
    </w:p>
    <w:p w14:paraId="5A677204" w14:textId="77777777" w:rsidR="009E37C3" w:rsidRPr="009E37C3" w:rsidRDefault="009E37C3" w:rsidP="009E37C3">
      <w:pPr>
        <w:pStyle w:val="Bibliography"/>
        <w:rPr>
          <w:rFonts w:ascii="Arial" w:hAnsi="Arial" w:cs="Arial"/>
          <w:sz w:val="20"/>
        </w:rPr>
      </w:pPr>
      <w:r w:rsidRPr="009E37C3">
        <w:rPr>
          <w:rFonts w:ascii="Arial" w:hAnsi="Arial" w:cs="Arial"/>
          <w:sz w:val="20"/>
        </w:rPr>
        <w:t xml:space="preserve">2. </w:t>
      </w:r>
      <w:r w:rsidRPr="009E37C3">
        <w:rPr>
          <w:rFonts w:ascii="Arial" w:hAnsi="Arial" w:cs="Arial"/>
          <w:sz w:val="20"/>
        </w:rPr>
        <w:tab/>
        <w:t xml:space="preserve">B. Callaway, P. H. C. Sant’Anna, Difference-in-Differences with multiple time periods. </w:t>
      </w:r>
      <w:r w:rsidRPr="009E37C3">
        <w:rPr>
          <w:rFonts w:ascii="Arial" w:hAnsi="Arial" w:cs="Arial"/>
          <w:i/>
          <w:iCs/>
          <w:sz w:val="20"/>
        </w:rPr>
        <w:t>Journal of Econometrics</w:t>
      </w:r>
      <w:r w:rsidRPr="009E37C3">
        <w:rPr>
          <w:rFonts w:ascii="Arial" w:hAnsi="Arial" w:cs="Arial"/>
          <w:sz w:val="20"/>
        </w:rPr>
        <w:t xml:space="preserve"> (2020) https:/doi.org/10.1016/j.jeconom.2020.12.001 (December 18, 2020).</w:t>
      </w:r>
    </w:p>
    <w:p w14:paraId="4D8DF32C" w14:textId="77777777" w:rsidR="009E37C3" w:rsidRPr="009E37C3" w:rsidRDefault="009E37C3" w:rsidP="009E37C3">
      <w:pPr>
        <w:pStyle w:val="Bibliography"/>
        <w:rPr>
          <w:rFonts w:ascii="Arial" w:hAnsi="Arial" w:cs="Arial"/>
          <w:sz w:val="20"/>
        </w:rPr>
      </w:pPr>
      <w:r w:rsidRPr="009E37C3">
        <w:rPr>
          <w:rFonts w:ascii="Arial" w:hAnsi="Arial" w:cs="Arial"/>
          <w:sz w:val="20"/>
        </w:rPr>
        <w:t xml:space="preserve">3. </w:t>
      </w:r>
      <w:r w:rsidRPr="009E37C3">
        <w:rPr>
          <w:rFonts w:ascii="Arial" w:hAnsi="Arial" w:cs="Arial"/>
          <w:sz w:val="20"/>
        </w:rPr>
        <w:tab/>
        <w:t xml:space="preserve">S. Desbureaux, Subjective modeling choices and the robustness of impact evaluations in conservation science. </w:t>
      </w:r>
      <w:r w:rsidRPr="009E37C3">
        <w:rPr>
          <w:rFonts w:ascii="Arial" w:hAnsi="Arial" w:cs="Arial"/>
          <w:i/>
          <w:iCs/>
          <w:sz w:val="20"/>
        </w:rPr>
        <w:t>Conservation Biology</w:t>
      </w:r>
      <w:r w:rsidRPr="009E37C3">
        <w:rPr>
          <w:rFonts w:ascii="Arial" w:hAnsi="Arial" w:cs="Arial"/>
          <w:sz w:val="20"/>
        </w:rPr>
        <w:t xml:space="preserve"> </w:t>
      </w:r>
      <w:r w:rsidRPr="009E37C3">
        <w:rPr>
          <w:rFonts w:ascii="Arial" w:hAnsi="Arial" w:cs="Arial"/>
          <w:b/>
          <w:bCs/>
          <w:sz w:val="20"/>
        </w:rPr>
        <w:t>35</w:t>
      </w:r>
      <w:r w:rsidRPr="009E37C3">
        <w:rPr>
          <w:rFonts w:ascii="Arial" w:hAnsi="Arial" w:cs="Arial"/>
          <w:sz w:val="20"/>
        </w:rPr>
        <w:t>, 1621–1626 (2021).</w:t>
      </w:r>
    </w:p>
    <w:p w14:paraId="59B6B227" w14:textId="77777777" w:rsidR="009E37C3" w:rsidRPr="009E37C3" w:rsidRDefault="009E37C3" w:rsidP="009E37C3">
      <w:pPr>
        <w:pStyle w:val="Bibliography"/>
        <w:rPr>
          <w:rFonts w:ascii="Arial" w:hAnsi="Arial" w:cs="Arial"/>
          <w:sz w:val="20"/>
        </w:rPr>
      </w:pPr>
      <w:r w:rsidRPr="009E37C3">
        <w:rPr>
          <w:rFonts w:ascii="Arial" w:hAnsi="Arial" w:cs="Arial"/>
          <w:sz w:val="20"/>
        </w:rPr>
        <w:t xml:space="preserve">4. </w:t>
      </w:r>
      <w:r w:rsidRPr="009E37C3">
        <w:rPr>
          <w:rFonts w:ascii="Arial" w:hAnsi="Arial" w:cs="Arial"/>
          <w:sz w:val="20"/>
        </w:rPr>
        <w:tab/>
        <w:t xml:space="preserve">A. Ortiz-Bobea, T. R. Ault, C. M. Carrillo, R. G. Chambers, D. B. Lobell, Anthropogenic climate change has slowed global agricultural productivity growth. </w:t>
      </w:r>
      <w:r w:rsidRPr="009E37C3">
        <w:rPr>
          <w:rFonts w:ascii="Arial" w:hAnsi="Arial" w:cs="Arial"/>
          <w:i/>
          <w:iCs/>
          <w:sz w:val="20"/>
        </w:rPr>
        <w:t>Nat. Clim. Chang.</w:t>
      </w:r>
      <w:r w:rsidRPr="009E37C3">
        <w:rPr>
          <w:rFonts w:ascii="Arial" w:hAnsi="Arial" w:cs="Arial"/>
          <w:sz w:val="20"/>
        </w:rPr>
        <w:t xml:space="preserve"> </w:t>
      </w:r>
      <w:r w:rsidRPr="009E37C3">
        <w:rPr>
          <w:rFonts w:ascii="Arial" w:hAnsi="Arial" w:cs="Arial"/>
          <w:b/>
          <w:bCs/>
          <w:sz w:val="20"/>
        </w:rPr>
        <w:t>11</w:t>
      </w:r>
      <w:r w:rsidRPr="009E37C3">
        <w:rPr>
          <w:rFonts w:ascii="Arial" w:hAnsi="Arial" w:cs="Arial"/>
          <w:sz w:val="20"/>
        </w:rPr>
        <w:t>, 306–312 (2021).</w:t>
      </w:r>
    </w:p>
    <w:p w14:paraId="50DD73D5" w14:textId="77777777" w:rsidR="009E37C3" w:rsidRPr="009E37C3" w:rsidRDefault="009E37C3" w:rsidP="009E37C3">
      <w:pPr>
        <w:pStyle w:val="Bibliography"/>
        <w:rPr>
          <w:rFonts w:ascii="Arial" w:hAnsi="Arial" w:cs="Arial"/>
          <w:sz w:val="20"/>
        </w:rPr>
      </w:pPr>
      <w:r w:rsidRPr="009E37C3">
        <w:rPr>
          <w:rFonts w:ascii="Arial" w:hAnsi="Arial" w:cs="Arial"/>
          <w:sz w:val="20"/>
        </w:rPr>
        <w:t xml:space="preserve">5. </w:t>
      </w:r>
      <w:r w:rsidRPr="009E37C3">
        <w:rPr>
          <w:rFonts w:ascii="Arial" w:hAnsi="Arial" w:cs="Arial"/>
          <w:sz w:val="20"/>
        </w:rPr>
        <w:tab/>
        <w:t>A. Abadie, S. Athey, G. W. Imbens, J. Wooldridge, “When Should You Adjust Standard Errors for Clustering?” (National Bureau of Economic Research, 2017) https:/doi.org/10.3386/w24003 (January 28, 2022).</w:t>
      </w:r>
    </w:p>
    <w:p w14:paraId="0999E99E" w14:textId="60D3381E" w:rsidR="00016E79" w:rsidRPr="00341AF1" w:rsidRDefault="00016E79" w:rsidP="00341AF1">
      <w:pPr>
        <w:pStyle w:val="SMcaption"/>
        <w:rPr>
          <w:rFonts w:ascii="Arial" w:hAnsi="Arial" w:cs="Arial"/>
          <w:b/>
          <w:sz w:val="20"/>
          <w:highlight w:val="yellow"/>
        </w:rPr>
      </w:pPr>
      <w:r>
        <w:rPr>
          <w:rFonts w:ascii="Arial" w:hAnsi="Arial" w:cs="Arial"/>
          <w:b/>
          <w:sz w:val="20"/>
          <w:highlight w:val="yellow"/>
        </w:rPr>
        <w:fldChar w:fldCharType="end"/>
      </w:r>
    </w:p>
    <w:sectPr w:rsidR="00016E79" w:rsidRPr="00341AF1" w:rsidSect="00663B2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C99F6B" w14:textId="77777777" w:rsidR="00685418" w:rsidRDefault="00685418">
      <w:r>
        <w:separator/>
      </w:r>
    </w:p>
  </w:endnote>
  <w:endnote w:type="continuationSeparator" w:id="0">
    <w:p w14:paraId="28EC81F4" w14:textId="77777777" w:rsidR="00685418" w:rsidRDefault="00685418">
      <w:r>
        <w:continuationSeparator/>
      </w:r>
    </w:p>
  </w:endnote>
  <w:endnote w:type="continuationNotice" w:id="1">
    <w:p w14:paraId="4AAF2E88" w14:textId="77777777" w:rsidR="00685418" w:rsidRDefault="006854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96907" w14:textId="2D3224C2" w:rsidR="00F125EE" w:rsidRDefault="00337AFB">
    <w:pPr>
      <w:pStyle w:val="Footer"/>
      <w:jc w:val="right"/>
    </w:pPr>
    <w:r>
      <w:fldChar w:fldCharType="begin"/>
    </w:r>
    <w:r>
      <w:instrText xml:space="preserve"> PAGE   \* MERGEFORMAT </w:instrText>
    </w:r>
    <w:r>
      <w:fldChar w:fldCharType="separate"/>
    </w:r>
    <w:r>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B3836" w14:textId="77777777" w:rsidR="00685418" w:rsidRDefault="00685418">
      <w:r>
        <w:separator/>
      </w:r>
    </w:p>
  </w:footnote>
  <w:footnote w:type="continuationSeparator" w:id="0">
    <w:p w14:paraId="2BA3FF4E" w14:textId="77777777" w:rsidR="00685418" w:rsidRDefault="00685418">
      <w:r>
        <w:continuationSeparator/>
      </w:r>
    </w:p>
  </w:footnote>
  <w:footnote w:type="continuationNotice" w:id="1">
    <w:p w14:paraId="300CC2AF" w14:textId="77777777" w:rsidR="00685418" w:rsidRDefault="006854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3D2A6A"/>
    <w:multiLevelType w:val="hybridMultilevel"/>
    <w:tmpl w:val="F572A5FC"/>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6D2502"/>
    <w:multiLevelType w:val="hybridMultilevel"/>
    <w:tmpl w:val="56768304"/>
    <w:lvl w:ilvl="0" w:tplc="A15CDC2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2F31470"/>
    <w:multiLevelType w:val="hybridMultilevel"/>
    <w:tmpl w:val="C4C0993E"/>
    <w:lvl w:ilvl="0" w:tplc="3378DB1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8151D8"/>
    <w:multiLevelType w:val="hybridMultilevel"/>
    <w:tmpl w:val="B2F84D5A"/>
    <w:lvl w:ilvl="0" w:tplc="843ED2BA">
      <w:start w:val="1"/>
      <w:numFmt w:val="lowerRoman"/>
      <w:lvlText w:val="%1)"/>
      <w:lvlJc w:val="left"/>
      <w:pPr>
        <w:ind w:left="1500" w:hanging="72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7"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2796072">
    <w:abstractNumId w:val="9"/>
  </w:num>
  <w:num w:numId="2" w16cid:durableId="2060324558">
    <w:abstractNumId w:val="7"/>
  </w:num>
  <w:num w:numId="3" w16cid:durableId="1138959184">
    <w:abstractNumId w:val="6"/>
  </w:num>
  <w:num w:numId="4" w16cid:durableId="82922869">
    <w:abstractNumId w:val="5"/>
  </w:num>
  <w:num w:numId="5" w16cid:durableId="400714338">
    <w:abstractNumId w:val="4"/>
  </w:num>
  <w:num w:numId="6" w16cid:durableId="2104375212">
    <w:abstractNumId w:val="8"/>
  </w:num>
  <w:num w:numId="7" w16cid:durableId="1169633561">
    <w:abstractNumId w:val="3"/>
  </w:num>
  <w:num w:numId="8" w16cid:durableId="1421098942">
    <w:abstractNumId w:val="2"/>
  </w:num>
  <w:num w:numId="9" w16cid:durableId="2121415122">
    <w:abstractNumId w:val="1"/>
  </w:num>
  <w:num w:numId="10" w16cid:durableId="1272400148">
    <w:abstractNumId w:val="0"/>
  </w:num>
  <w:num w:numId="11" w16cid:durableId="1752698351">
    <w:abstractNumId w:val="10"/>
  </w:num>
  <w:num w:numId="12" w16cid:durableId="361975402">
    <w:abstractNumId w:val="12"/>
  </w:num>
  <w:num w:numId="13" w16cid:durableId="1228303851">
    <w:abstractNumId w:val="17"/>
  </w:num>
  <w:num w:numId="14" w16cid:durableId="1345091448">
    <w:abstractNumId w:val="11"/>
  </w:num>
  <w:num w:numId="15" w16cid:durableId="880552951">
    <w:abstractNumId w:val="13"/>
  </w:num>
  <w:num w:numId="16" w16cid:durableId="2078504539">
    <w:abstractNumId w:val="16"/>
  </w:num>
  <w:num w:numId="17" w16cid:durableId="718942693">
    <w:abstractNumId w:val="14"/>
  </w:num>
  <w:num w:numId="18" w16cid:durableId="43583254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LI0NbA0MrU0MDY3srRU0lEKTi0uzszPAykwNKgFACCy+MgtAAAA"/>
  </w:docVars>
  <w:rsids>
    <w:rsidRoot w:val="002C030F"/>
    <w:rsid w:val="000004B2"/>
    <w:rsid w:val="00001942"/>
    <w:rsid w:val="00001C78"/>
    <w:rsid w:val="000031C9"/>
    <w:rsid w:val="00015539"/>
    <w:rsid w:val="00015F74"/>
    <w:rsid w:val="00016B5D"/>
    <w:rsid w:val="00016E79"/>
    <w:rsid w:val="0001761C"/>
    <w:rsid w:val="00017964"/>
    <w:rsid w:val="00017C53"/>
    <w:rsid w:val="00020101"/>
    <w:rsid w:val="000211A8"/>
    <w:rsid w:val="00021F2C"/>
    <w:rsid w:val="00023E52"/>
    <w:rsid w:val="00026102"/>
    <w:rsid w:val="000305FE"/>
    <w:rsid w:val="00030840"/>
    <w:rsid w:val="000314AC"/>
    <w:rsid w:val="00041DA4"/>
    <w:rsid w:val="00045ABF"/>
    <w:rsid w:val="0004656B"/>
    <w:rsid w:val="000549DD"/>
    <w:rsid w:val="00055003"/>
    <w:rsid w:val="000567D8"/>
    <w:rsid w:val="00061A52"/>
    <w:rsid w:val="00065EBD"/>
    <w:rsid w:val="000701E5"/>
    <w:rsid w:val="000731B6"/>
    <w:rsid w:val="00080955"/>
    <w:rsid w:val="00082AC5"/>
    <w:rsid w:val="00082DC1"/>
    <w:rsid w:val="00083B44"/>
    <w:rsid w:val="000850DC"/>
    <w:rsid w:val="000909EA"/>
    <w:rsid w:val="00097F7C"/>
    <w:rsid w:val="000A1933"/>
    <w:rsid w:val="000A2F58"/>
    <w:rsid w:val="000A41E4"/>
    <w:rsid w:val="000A46B3"/>
    <w:rsid w:val="000A5787"/>
    <w:rsid w:val="000A578C"/>
    <w:rsid w:val="000A5C4F"/>
    <w:rsid w:val="000B0B44"/>
    <w:rsid w:val="000B5809"/>
    <w:rsid w:val="000C259F"/>
    <w:rsid w:val="000C2771"/>
    <w:rsid w:val="000C54A5"/>
    <w:rsid w:val="000C7E4C"/>
    <w:rsid w:val="000D020F"/>
    <w:rsid w:val="000D0953"/>
    <w:rsid w:val="000D326D"/>
    <w:rsid w:val="000D5100"/>
    <w:rsid w:val="000D5BA4"/>
    <w:rsid w:val="000D5E5B"/>
    <w:rsid w:val="000E0780"/>
    <w:rsid w:val="000E220A"/>
    <w:rsid w:val="000E7AFB"/>
    <w:rsid w:val="000F0DCE"/>
    <w:rsid w:val="000F3B61"/>
    <w:rsid w:val="000F402A"/>
    <w:rsid w:val="00101B1A"/>
    <w:rsid w:val="00103C0F"/>
    <w:rsid w:val="00105D0A"/>
    <w:rsid w:val="00110CAF"/>
    <w:rsid w:val="00112C5B"/>
    <w:rsid w:val="00112EEA"/>
    <w:rsid w:val="00113604"/>
    <w:rsid w:val="00114193"/>
    <w:rsid w:val="00115A38"/>
    <w:rsid w:val="0011687B"/>
    <w:rsid w:val="001240F8"/>
    <w:rsid w:val="00124F82"/>
    <w:rsid w:val="001269E3"/>
    <w:rsid w:val="0013016B"/>
    <w:rsid w:val="001355E6"/>
    <w:rsid w:val="0014015D"/>
    <w:rsid w:val="00142DEB"/>
    <w:rsid w:val="00150CE6"/>
    <w:rsid w:val="001514FC"/>
    <w:rsid w:val="00153B84"/>
    <w:rsid w:val="00155B01"/>
    <w:rsid w:val="00162731"/>
    <w:rsid w:val="0016337A"/>
    <w:rsid w:val="00164269"/>
    <w:rsid w:val="0017058D"/>
    <w:rsid w:val="00170891"/>
    <w:rsid w:val="00177C8E"/>
    <w:rsid w:val="00180E2C"/>
    <w:rsid w:val="001818E1"/>
    <w:rsid w:val="001850DD"/>
    <w:rsid w:val="00185C7E"/>
    <w:rsid w:val="00190FBC"/>
    <w:rsid w:val="00197FAC"/>
    <w:rsid w:val="001A1BDE"/>
    <w:rsid w:val="001A4F52"/>
    <w:rsid w:val="001A5E03"/>
    <w:rsid w:val="001A5FE6"/>
    <w:rsid w:val="001A6AAB"/>
    <w:rsid w:val="001B02E5"/>
    <w:rsid w:val="001B1129"/>
    <w:rsid w:val="001B20BD"/>
    <w:rsid w:val="001B30ED"/>
    <w:rsid w:val="001B4BE8"/>
    <w:rsid w:val="001B565B"/>
    <w:rsid w:val="001B6E7D"/>
    <w:rsid w:val="001C0520"/>
    <w:rsid w:val="001C0975"/>
    <w:rsid w:val="001C3B15"/>
    <w:rsid w:val="001C5249"/>
    <w:rsid w:val="001C6E5F"/>
    <w:rsid w:val="001D145F"/>
    <w:rsid w:val="001D5B87"/>
    <w:rsid w:val="001D69E7"/>
    <w:rsid w:val="001E2115"/>
    <w:rsid w:val="001E7848"/>
    <w:rsid w:val="001F0876"/>
    <w:rsid w:val="001F167C"/>
    <w:rsid w:val="001F22BF"/>
    <w:rsid w:val="001F5E91"/>
    <w:rsid w:val="00204054"/>
    <w:rsid w:val="00205091"/>
    <w:rsid w:val="002050BC"/>
    <w:rsid w:val="002077B9"/>
    <w:rsid w:val="002106FA"/>
    <w:rsid w:val="00214956"/>
    <w:rsid w:val="002217C1"/>
    <w:rsid w:val="00221987"/>
    <w:rsid w:val="00222810"/>
    <w:rsid w:val="00223E72"/>
    <w:rsid w:val="00224492"/>
    <w:rsid w:val="00225855"/>
    <w:rsid w:val="00235899"/>
    <w:rsid w:val="002361D1"/>
    <w:rsid w:val="00236FD1"/>
    <w:rsid w:val="002410CB"/>
    <w:rsid w:val="00242C26"/>
    <w:rsid w:val="00243457"/>
    <w:rsid w:val="002471BA"/>
    <w:rsid w:val="002477A1"/>
    <w:rsid w:val="002509F0"/>
    <w:rsid w:val="00252228"/>
    <w:rsid w:val="0025399A"/>
    <w:rsid w:val="002545EF"/>
    <w:rsid w:val="00255433"/>
    <w:rsid w:val="00261E7B"/>
    <w:rsid w:val="00262D72"/>
    <w:rsid w:val="0027105A"/>
    <w:rsid w:val="002835F3"/>
    <w:rsid w:val="002856A5"/>
    <w:rsid w:val="00294FBB"/>
    <w:rsid w:val="0029559C"/>
    <w:rsid w:val="00296F77"/>
    <w:rsid w:val="002A6B0E"/>
    <w:rsid w:val="002B40B1"/>
    <w:rsid w:val="002B5867"/>
    <w:rsid w:val="002B5E27"/>
    <w:rsid w:val="002B7317"/>
    <w:rsid w:val="002C030F"/>
    <w:rsid w:val="002C155A"/>
    <w:rsid w:val="002C3B20"/>
    <w:rsid w:val="002C3F13"/>
    <w:rsid w:val="002C667A"/>
    <w:rsid w:val="002D3005"/>
    <w:rsid w:val="002D53CB"/>
    <w:rsid w:val="002D6D7B"/>
    <w:rsid w:val="002D6FEA"/>
    <w:rsid w:val="002E2F59"/>
    <w:rsid w:val="002E4FC0"/>
    <w:rsid w:val="002E7BE9"/>
    <w:rsid w:val="002E7FB9"/>
    <w:rsid w:val="0030128E"/>
    <w:rsid w:val="003031E2"/>
    <w:rsid w:val="0030376E"/>
    <w:rsid w:val="00307AC6"/>
    <w:rsid w:val="00310001"/>
    <w:rsid w:val="00311727"/>
    <w:rsid w:val="00312249"/>
    <w:rsid w:val="0031283C"/>
    <w:rsid w:val="003130F0"/>
    <w:rsid w:val="00313B67"/>
    <w:rsid w:val="00325B28"/>
    <w:rsid w:val="00325D90"/>
    <w:rsid w:val="00331780"/>
    <w:rsid w:val="00331B46"/>
    <w:rsid w:val="00331D75"/>
    <w:rsid w:val="00332689"/>
    <w:rsid w:val="00332BFB"/>
    <w:rsid w:val="00332D97"/>
    <w:rsid w:val="00335347"/>
    <w:rsid w:val="00335A08"/>
    <w:rsid w:val="0033677D"/>
    <w:rsid w:val="00337AFB"/>
    <w:rsid w:val="00341AF1"/>
    <w:rsid w:val="0034772A"/>
    <w:rsid w:val="0035189E"/>
    <w:rsid w:val="00353477"/>
    <w:rsid w:val="00353D2D"/>
    <w:rsid w:val="00355362"/>
    <w:rsid w:val="003568A8"/>
    <w:rsid w:val="00356DB3"/>
    <w:rsid w:val="003573E9"/>
    <w:rsid w:val="00360A9F"/>
    <w:rsid w:val="00363E44"/>
    <w:rsid w:val="00373077"/>
    <w:rsid w:val="00374871"/>
    <w:rsid w:val="00374D7A"/>
    <w:rsid w:val="00382AAB"/>
    <w:rsid w:val="0038395B"/>
    <w:rsid w:val="00384814"/>
    <w:rsid w:val="00385002"/>
    <w:rsid w:val="00387114"/>
    <w:rsid w:val="00394825"/>
    <w:rsid w:val="00395A39"/>
    <w:rsid w:val="00395E86"/>
    <w:rsid w:val="0039614B"/>
    <w:rsid w:val="00396E7A"/>
    <w:rsid w:val="00397983"/>
    <w:rsid w:val="003A0625"/>
    <w:rsid w:val="003A1DA8"/>
    <w:rsid w:val="003A1EE1"/>
    <w:rsid w:val="003A2FD8"/>
    <w:rsid w:val="003A46E1"/>
    <w:rsid w:val="003A769B"/>
    <w:rsid w:val="003B2A19"/>
    <w:rsid w:val="003B40E6"/>
    <w:rsid w:val="003B7CBA"/>
    <w:rsid w:val="003C027B"/>
    <w:rsid w:val="003C2BCD"/>
    <w:rsid w:val="003C5D14"/>
    <w:rsid w:val="003C7A3B"/>
    <w:rsid w:val="003C7C66"/>
    <w:rsid w:val="003D519C"/>
    <w:rsid w:val="003D6426"/>
    <w:rsid w:val="003E1247"/>
    <w:rsid w:val="003E1F84"/>
    <w:rsid w:val="003E2D7C"/>
    <w:rsid w:val="003E2F2F"/>
    <w:rsid w:val="003E65F0"/>
    <w:rsid w:val="003E6B58"/>
    <w:rsid w:val="003F125F"/>
    <w:rsid w:val="003F4B2A"/>
    <w:rsid w:val="003F5AA9"/>
    <w:rsid w:val="003F6E14"/>
    <w:rsid w:val="00402AED"/>
    <w:rsid w:val="00403304"/>
    <w:rsid w:val="00403632"/>
    <w:rsid w:val="00405336"/>
    <w:rsid w:val="00405CD8"/>
    <w:rsid w:val="004102E3"/>
    <w:rsid w:val="00410413"/>
    <w:rsid w:val="00411197"/>
    <w:rsid w:val="004117B9"/>
    <w:rsid w:val="004138B4"/>
    <w:rsid w:val="00414581"/>
    <w:rsid w:val="004173E1"/>
    <w:rsid w:val="00417B3E"/>
    <w:rsid w:val="0042003E"/>
    <w:rsid w:val="0042041F"/>
    <w:rsid w:val="0042204F"/>
    <w:rsid w:val="00431D36"/>
    <w:rsid w:val="00432573"/>
    <w:rsid w:val="00432D0A"/>
    <w:rsid w:val="00433576"/>
    <w:rsid w:val="00436C6F"/>
    <w:rsid w:val="00440E76"/>
    <w:rsid w:val="00441737"/>
    <w:rsid w:val="004417E9"/>
    <w:rsid w:val="004571D5"/>
    <w:rsid w:val="00461D81"/>
    <w:rsid w:val="0046356B"/>
    <w:rsid w:val="00463DE3"/>
    <w:rsid w:val="00467A42"/>
    <w:rsid w:val="00471E21"/>
    <w:rsid w:val="00472F0A"/>
    <w:rsid w:val="004735D3"/>
    <w:rsid w:val="004753A1"/>
    <w:rsid w:val="0047555A"/>
    <w:rsid w:val="00475682"/>
    <w:rsid w:val="004761DE"/>
    <w:rsid w:val="00477182"/>
    <w:rsid w:val="004779CB"/>
    <w:rsid w:val="00480F8F"/>
    <w:rsid w:val="0048400E"/>
    <w:rsid w:val="00484DD3"/>
    <w:rsid w:val="0049198F"/>
    <w:rsid w:val="004923E3"/>
    <w:rsid w:val="004961BE"/>
    <w:rsid w:val="004A0220"/>
    <w:rsid w:val="004A14C7"/>
    <w:rsid w:val="004A159F"/>
    <w:rsid w:val="004A40EC"/>
    <w:rsid w:val="004A4A0B"/>
    <w:rsid w:val="004B22C7"/>
    <w:rsid w:val="004B2F21"/>
    <w:rsid w:val="004B7622"/>
    <w:rsid w:val="004C36A1"/>
    <w:rsid w:val="004D1376"/>
    <w:rsid w:val="004D18BD"/>
    <w:rsid w:val="004D2DDA"/>
    <w:rsid w:val="004D5B20"/>
    <w:rsid w:val="004D5E91"/>
    <w:rsid w:val="004D7740"/>
    <w:rsid w:val="004E42D8"/>
    <w:rsid w:val="004E4BC7"/>
    <w:rsid w:val="004E4C3A"/>
    <w:rsid w:val="004E4FC1"/>
    <w:rsid w:val="004E72CF"/>
    <w:rsid w:val="004E7BA2"/>
    <w:rsid w:val="004F46BA"/>
    <w:rsid w:val="004F7421"/>
    <w:rsid w:val="004F7956"/>
    <w:rsid w:val="004F7EDF"/>
    <w:rsid w:val="005001AC"/>
    <w:rsid w:val="005005AB"/>
    <w:rsid w:val="00502367"/>
    <w:rsid w:val="005024A7"/>
    <w:rsid w:val="00505913"/>
    <w:rsid w:val="005067E5"/>
    <w:rsid w:val="00510159"/>
    <w:rsid w:val="00513D8E"/>
    <w:rsid w:val="0051506D"/>
    <w:rsid w:val="00523C22"/>
    <w:rsid w:val="00525EC7"/>
    <w:rsid w:val="00526C46"/>
    <w:rsid w:val="00527D71"/>
    <w:rsid w:val="00531CDD"/>
    <w:rsid w:val="00535714"/>
    <w:rsid w:val="00560283"/>
    <w:rsid w:val="005607DD"/>
    <w:rsid w:val="005638CA"/>
    <w:rsid w:val="00570D71"/>
    <w:rsid w:val="00570EA6"/>
    <w:rsid w:val="00574111"/>
    <w:rsid w:val="005748EB"/>
    <w:rsid w:val="00577CD5"/>
    <w:rsid w:val="005820C9"/>
    <w:rsid w:val="00586B0B"/>
    <w:rsid w:val="00587580"/>
    <w:rsid w:val="00590294"/>
    <w:rsid w:val="005938A5"/>
    <w:rsid w:val="005970EF"/>
    <w:rsid w:val="005A08A8"/>
    <w:rsid w:val="005A3B73"/>
    <w:rsid w:val="005A558C"/>
    <w:rsid w:val="005A563E"/>
    <w:rsid w:val="005A5A93"/>
    <w:rsid w:val="005A6A21"/>
    <w:rsid w:val="005B2C37"/>
    <w:rsid w:val="005B7D75"/>
    <w:rsid w:val="005C39F5"/>
    <w:rsid w:val="005D088E"/>
    <w:rsid w:val="005E28F8"/>
    <w:rsid w:val="005E44EE"/>
    <w:rsid w:val="005E60F3"/>
    <w:rsid w:val="005E6513"/>
    <w:rsid w:val="005F0510"/>
    <w:rsid w:val="005F1194"/>
    <w:rsid w:val="005F2E06"/>
    <w:rsid w:val="005F7D01"/>
    <w:rsid w:val="00600000"/>
    <w:rsid w:val="00602BDF"/>
    <w:rsid w:val="00603E47"/>
    <w:rsid w:val="006069C6"/>
    <w:rsid w:val="0060739D"/>
    <w:rsid w:val="00607626"/>
    <w:rsid w:val="00610332"/>
    <w:rsid w:val="00610E3A"/>
    <w:rsid w:val="00611A19"/>
    <w:rsid w:val="00612267"/>
    <w:rsid w:val="006138C1"/>
    <w:rsid w:val="006140DF"/>
    <w:rsid w:val="00614528"/>
    <w:rsid w:val="006147F7"/>
    <w:rsid w:val="00614A3D"/>
    <w:rsid w:val="00615943"/>
    <w:rsid w:val="00615E51"/>
    <w:rsid w:val="006231CE"/>
    <w:rsid w:val="006237F9"/>
    <w:rsid w:val="006249BA"/>
    <w:rsid w:val="0062666E"/>
    <w:rsid w:val="00633510"/>
    <w:rsid w:val="00636AF0"/>
    <w:rsid w:val="006379CE"/>
    <w:rsid w:val="00640D09"/>
    <w:rsid w:val="00644D47"/>
    <w:rsid w:val="006458FF"/>
    <w:rsid w:val="006469D2"/>
    <w:rsid w:val="00651114"/>
    <w:rsid w:val="00654F88"/>
    <w:rsid w:val="0065772A"/>
    <w:rsid w:val="00661A88"/>
    <w:rsid w:val="00663B2E"/>
    <w:rsid w:val="00664170"/>
    <w:rsid w:val="00670299"/>
    <w:rsid w:val="00673588"/>
    <w:rsid w:val="0067456B"/>
    <w:rsid w:val="0068184C"/>
    <w:rsid w:val="00684A80"/>
    <w:rsid w:val="00685418"/>
    <w:rsid w:val="00691985"/>
    <w:rsid w:val="006A017C"/>
    <w:rsid w:val="006A1764"/>
    <w:rsid w:val="006A1B64"/>
    <w:rsid w:val="006A4882"/>
    <w:rsid w:val="006A4B70"/>
    <w:rsid w:val="006A6B84"/>
    <w:rsid w:val="006B3C53"/>
    <w:rsid w:val="006C1357"/>
    <w:rsid w:val="006C1C57"/>
    <w:rsid w:val="006C4296"/>
    <w:rsid w:val="006D169A"/>
    <w:rsid w:val="006D21E5"/>
    <w:rsid w:val="006D29B2"/>
    <w:rsid w:val="006D4270"/>
    <w:rsid w:val="006E1845"/>
    <w:rsid w:val="006E3E68"/>
    <w:rsid w:val="006E478F"/>
    <w:rsid w:val="006E7C2B"/>
    <w:rsid w:val="006F0322"/>
    <w:rsid w:val="006F1BC7"/>
    <w:rsid w:val="00701E88"/>
    <w:rsid w:val="0070260C"/>
    <w:rsid w:val="007028FC"/>
    <w:rsid w:val="00702E2D"/>
    <w:rsid w:val="00704101"/>
    <w:rsid w:val="0070478B"/>
    <w:rsid w:val="00704A44"/>
    <w:rsid w:val="007108F5"/>
    <w:rsid w:val="00713E5B"/>
    <w:rsid w:val="007206D8"/>
    <w:rsid w:val="0072248E"/>
    <w:rsid w:val="0072504D"/>
    <w:rsid w:val="00726F64"/>
    <w:rsid w:val="00735667"/>
    <w:rsid w:val="007402FC"/>
    <w:rsid w:val="007411A1"/>
    <w:rsid w:val="00742D98"/>
    <w:rsid w:val="00754A29"/>
    <w:rsid w:val="00754B15"/>
    <w:rsid w:val="00754D4B"/>
    <w:rsid w:val="007552F7"/>
    <w:rsid w:val="00756AC9"/>
    <w:rsid w:val="007619C4"/>
    <w:rsid w:val="00762BF3"/>
    <w:rsid w:val="00762EC1"/>
    <w:rsid w:val="00763345"/>
    <w:rsid w:val="007633C7"/>
    <w:rsid w:val="00764AB1"/>
    <w:rsid w:val="007658EF"/>
    <w:rsid w:val="007665DD"/>
    <w:rsid w:val="0077186F"/>
    <w:rsid w:val="00783044"/>
    <w:rsid w:val="007843C9"/>
    <w:rsid w:val="00784D3A"/>
    <w:rsid w:val="007860B1"/>
    <w:rsid w:val="00796A69"/>
    <w:rsid w:val="00797F24"/>
    <w:rsid w:val="007A041D"/>
    <w:rsid w:val="007A07A6"/>
    <w:rsid w:val="007A248C"/>
    <w:rsid w:val="007A40ED"/>
    <w:rsid w:val="007A724F"/>
    <w:rsid w:val="007B016E"/>
    <w:rsid w:val="007B5946"/>
    <w:rsid w:val="007C2ECF"/>
    <w:rsid w:val="007C4C3E"/>
    <w:rsid w:val="007D444F"/>
    <w:rsid w:val="007D777F"/>
    <w:rsid w:val="007E4430"/>
    <w:rsid w:val="007E6D67"/>
    <w:rsid w:val="007F09E0"/>
    <w:rsid w:val="007F50F7"/>
    <w:rsid w:val="007F5279"/>
    <w:rsid w:val="007F5297"/>
    <w:rsid w:val="0080310C"/>
    <w:rsid w:val="00803B14"/>
    <w:rsid w:val="00807D35"/>
    <w:rsid w:val="00810CD9"/>
    <w:rsid w:val="00813848"/>
    <w:rsid w:val="00817067"/>
    <w:rsid w:val="00820484"/>
    <w:rsid w:val="00824DF3"/>
    <w:rsid w:val="008302D9"/>
    <w:rsid w:val="008304B5"/>
    <w:rsid w:val="00837C2B"/>
    <w:rsid w:val="00840426"/>
    <w:rsid w:val="00840BB2"/>
    <w:rsid w:val="00841280"/>
    <w:rsid w:val="00842EB8"/>
    <w:rsid w:val="00844974"/>
    <w:rsid w:val="00847EF4"/>
    <w:rsid w:val="00857B33"/>
    <w:rsid w:val="00861377"/>
    <w:rsid w:val="008614D7"/>
    <w:rsid w:val="008622DF"/>
    <w:rsid w:val="00865DE4"/>
    <w:rsid w:val="0087014C"/>
    <w:rsid w:val="0087074F"/>
    <w:rsid w:val="00870BC1"/>
    <w:rsid w:val="00876112"/>
    <w:rsid w:val="00876931"/>
    <w:rsid w:val="00876E5C"/>
    <w:rsid w:val="0088006B"/>
    <w:rsid w:val="00885C9B"/>
    <w:rsid w:val="00885E9D"/>
    <w:rsid w:val="0088608F"/>
    <w:rsid w:val="00886DA6"/>
    <w:rsid w:val="00890ECE"/>
    <w:rsid w:val="0089544B"/>
    <w:rsid w:val="00896A48"/>
    <w:rsid w:val="00896C66"/>
    <w:rsid w:val="008A1738"/>
    <w:rsid w:val="008A20A5"/>
    <w:rsid w:val="008A2C83"/>
    <w:rsid w:val="008B4484"/>
    <w:rsid w:val="008B644F"/>
    <w:rsid w:val="008C069B"/>
    <w:rsid w:val="008C1419"/>
    <w:rsid w:val="008C20C3"/>
    <w:rsid w:val="008C39EF"/>
    <w:rsid w:val="008C54F3"/>
    <w:rsid w:val="008C60B3"/>
    <w:rsid w:val="008C681A"/>
    <w:rsid w:val="008C6D28"/>
    <w:rsid w:val="008C7879"/>
    <w:rsid w:val="008C7E18"/>
    <w:rsid w:val="008D5D2A"/>
    <w:rsid w:val="008D6572"/>
    <w:rsid w:val="008E3207"/>
    <w:rsid w:val="008E530F"/>
    <w:rsid w:val="008E6ADA"/>
    <w:rsid w:val="008E7C20"/>
    <w:rsid w:val="008F1534"/>
    <w:rsid w:val="008F6686"/>
    <w:rsid w:val="008F77D1"/>
    <w:rsid w:val="00900574"/>
    <w:rsid w:val="00907ED9"/>
    <w:rsid w:val="009116C0"/>
    <w:rsid w:val="00911B0A"/>
    <w:rsid w:val="00914B63"/>
    <w:rsid w:val="00922A43"/>
    <w:rsid w:val="009258B8"/>
    <w:rsid w:val="009354E0"/>
    <w:rsid w:val="009354F3"/>
    <w:rsid w:val="00940210"/>
    <w:rsid w:val="009402AD"/>
    <w:rsid w:val="00943C3C"/>
    <w:rsid w:val="009447DC"/>
    <w:rsid w:val="009519CF"/>
    <w:rsid w:val="00953FB4"/>
    <w:rsid w:val="009559C0"/>
    <w:rsid w:val="00956829"/>
    <w:rsid w:val="00961BA5"/>
    <w:rsid w:val="00961C18"/>
    <w:rsid w:val="00963998"/>
    <w:rsid w:val="009653B2"/>
    <w:rsid w:val="009658E3"/>
    <w:rsid w:val="00966650"/>
    <w:rsid w:val="00966814"/>
    <w:rsid w:val="00967384"/>
    <w:rsid w:val="009726F3"/>
    <w:rsid w:val="00973CAA"/>
    <w:rsid w:val="009743A9"/>
    <w:rsid w:val="009773A4"/>
    <w:rsid w:val="00977A43"/>
    <w:rsid w:val="00977C0B"/>
    <w:rsid w:val="009810B5"/>
    <w:rsid w:val="00982BD9"/>
    <w:rsid w:val="009838AB"/>
    <w:rsid w:val="00983B83"/>
    <w:rsid w:val="00983EAA"/>
    <w:rsid w:val="009855B3"/>
    <w:rsid w:val="009856E8"/>
    <w:rsid w:val="009A0F2D"/>
    <w:rsid w:val="009A3D26"/>
    <w:rsid w:val="009A5287"/>
    <w:rsid w:val="009A670E"/>
    <w:rsid w:val="009B0AA3"/>
    <w:rsid w:val="009B2AC5"/>
    <w:rsid w:val="009B6F35"/>
    <w:rsid w:val="009B7984"/>
    <w:rsid w:val="009C2138"/>
    <w:rsid w:val="009C55E6"/>
    <w:rsid w:val="009D3C71"/>
    <w:rsid w:val="009E0AE3"/>
    <w:rsid w:val="009E1B01"/>
    <w:rsid w:val="009E3797"/>
    <w:rsid w:val="009E37C3"/>
    <w:rsid w:val="009E3BE4"/>
    <w:rsid w:val="009E5AAF"/>
    <w:rsid w:val="009F325A"/>
    <w:rsid w:val="009F4BED"/>
    <w:rsid w:val="009F4C85"/>
    <w:rsid w:val="009F7D93"/>
    <w:rsid w:val="00A02F76"/>
    <w:rsid w:val="00A03029"/>
    <w:rsid w:val="00A0366E"/>
    <w:rsid w:val="00A055F4"/>
    <w:rsid w:val="00A05B5E"/>
    <w:rsid w:val="00A063EA"/>
    <w:rsid w:val="00A10308"/>
    <w:rsid w:val="00A11512"/>
    <w:rsid w:val="00A2281E"/>
    <w:rsid w:val="00A22EC5"/>
    <w:rsid w:val="00A30ADA"/>
    <w:rsid w:val="00A314D6"/>
    <w:rsid w:val="00A3403B"/>
    <w:rsid w:val="00A36FEC"/>
    <w:rsid w:val="00A37584"/>
    <w:rsid w:val="00A3781A"/>
    <w:rsid w:val="00A42F16"/>
    <w:rsid w:val="00A4310A"/>
    <w:rsid w:val="00A46094"/>
    <w:rsid w:val="00A50B19"/>
    <w:rsid w:val="00A51A12"/>
    <w:rsid w:val="00A54CF5"/>
    <w:rsid w:val="00A57368"/>
    <w:rsid w:val="00A62176"/>
    <w:rsid w:val="00A627D4"/>
    <w:rsid w:val="00A6383C"/>
    <w:rsid w:val="00A651EE"/>
    <w:rsid w:val="00A65D9D"/>
    <w:rsid w:val="00A660D2"/>
    <w:rsid w:val="00A67950"/>
    <w:rsid w:val="00A72B81"/>
    <w:rsid w:val="00A74DA2"/>
    <w:rsid w:val="00A771BB"/>
    <w:rsid w:val="00A9012C"/>
    <w:rsid w:val="00A9090C"/>
    <w:rsid w:val="00A94F28"/>
    <w:rsid w:val="00AA703B"/>
    <w:rsid w:val="00AB2633"/>
    <w:rsid w:val="00AB3E62"/>
    <w:rsid w:val="00AB4D7A"/>
    <w:rsid w:val="00AB54AA"/>
    <w:rsid w:val="00AB7D3D"/>
    <w:rsid w:val="00AC092A"/>
    <w:rsid w:val="00AC15B4"/>
    <w:rsid w:val="00AC3289"/>
    <w:rsid w:val="00AD1B15"/>
    <w:rsid w:val="00AD3ADF"/>
    <w:rsid w:val="00AD4876"/>
    <w:rsid w:val="00AD499C"/>
    <w:rsid w:val="00AD4DFD"/>
    <w:rsid w:val="00AD6BBF"/>
    <w:rsid w:val="00AD7CDF"/>
    <w:rsid w:val="00AE447A"/>
    <w:rsid w:val="00AE5A70"/>
    <w:rsid w:val="00AE7C2D"/>
    <w:rsid w:val="00AF01AB"/>
    <w:rsid w:val="00AF142F"/>
    <w:rsid w:val="00AF3C4C"/>
    <w:rsid w:val="00B00127"/>
    <w:rsid w:val="00B003EE"/>
    <w:rsid w:val="00B01C50"/>
    <w:rsid w:val="00B04A2A"/>
    <w:rsid w:val="00B04CA5"/>
    <w:rsid w:val="00B11B5F"/>
    <w:rsid w:val="00B15008"/>
    <w:rsid w:val="00B16F99"/>
    <w:rsid w:val="00B17471"/>
    <w:rsid w:val="00B20FD7"/>
    <w:rsid w:val="00B222D4"/>
    <w:rsid w:val="00B2519E"/>
    <w:rsid w:val="00B262FA"/>
    <w:rsid w:val="00B31ACE"/>
    <w:rsid w:val="00B32B68"/>
    <w:rsid w:val="00B32D8E"/>
    <w:rsid w:val="00B33765"/>
    <w:rsid w:val="00B36869"/>
    <w:rsid w:val="00B37FCB"/>
    <w:rsid w:val="00B42F9C"/>
    <w:rsid w:val="00B43B31"/>
    <w:rsid w:val="00B44AE6"/>
    <w:rsid w:val="00B47CFA"/>
    <w:rsid w:val="00B52BE9"/>
    <w:rsid w:val="00B55B8E"/>
    <w:rsid w:val="00B562E0"/>
    <w:rsid w:val="00B569CB"/>
    <w:rsid w:val="00B57F00"/>
    <w:rsid w:val="00B61999"/>
    <w:rsid w:val="00B632AC"/>
    <w:rsid w:val="00B637B6"/>
    <w:rsid w:val="00B67028"/>
    <w:rsid w:val="00B674EC"/>
    <w:rsid w:val="00B73084"/>
    <w:rsid w:val="00B738B3"/>
    <w:rsid w:val="00B74A20"/>
    <w:rsid w:val="00B757D6"/>
    <w:rsid w:val="00B75F69"/>
    <w:rsid w:val="00B76A9A"/>
    <w:rsid w:val="00B7765A"/>
    <w:rsid w:val="00B77B2A"/>
    <w:rsid w:val="00B82C22"/>
    <w:rsid w:val="00B833FC"/>
    <w:rsid w:val="00B8385F"/>
    <w:rsid w:val="00B84D0A"/>
    <w:rsid w:val="00B86D05"/>
    <w:rsid w:val="00B8723B"/>
    <w:rsid w:val="00B93DBA"/>
    <w:rsid w:val="00B9440A"/>
    <w:rsid w:val="00BA1137"/>
    <w:rsid w:val="00BA37AC"/>
    <w:rsid w:val="00BA42E8"/>
    <w:rsid w:val="00BB1F2F"/>
    <w:rsid w:val="00BB2D2A"/>
    <w:rsid w:val="00BC153A"/>
    <w:rsid w:val="00BC5FFF"/>
    <w:rsid w:val="00BD3BBE"/>
    <w:rsid w:val="00BD410A"/>
    <w:rsid w:val="00BD58CF"/>
    <w:rsid w:val="00BD70B1"/>
    <w:rsid w:val="00BE58D6"/>
    <w:rsid w:val="00BF0B32"/>
    <w:rsid w:val="00BF1682"/>
    <w:rsid w:val="00BF2A5F"/>
    <w:rsid w:val="00BF467F"/>
    <w:rsid w:val="00BF55AC"/>
    <w:rsid w:val="00C046DC"/>
    <w:rsid w:val="00C04CC1"/>
    <w:rsid w:val="00C0775F"/>
    <w:rsid w:val="00C1142B"/>
    <w:rsid w:val="00C11489"/>
    <w:rsid w:val="00C11ADB"/>
    <w:rsid w:val="00C12210"/>
    <w:rsid w:val="00C1226A"/>
    <w:rsid w:val="00C12B57"/>
    <w:rsid w:val="00C23BB6"/>
    <w:rsid w:val="00C25A68"/>
    <w:rsid w:val="00C26E74"/>
    <w:rsid w:val="00C323D5"/>
    <w:rsid w:val="00C329AE"/>
    <w:rsid w:val="00C34139"/>
    <w:rsid w:val="00C360CC"/>
    <w:rsid w:val="00C40287"/>
    <w:rsid w:val="00C406CF"/>
    <w:rsid w:val="00C416F2"/>
    <w:rsid w:val="00C47714"/>
    <w:rsid w:val="00C478F0"/>
    <w:rsid w:val="00C50C6D"/>
    <w:rsid w:val="00C52364"/>
    <w:rsid w:val="00C529B5"/>
    <w:rsid w:val="00C551D8"/>
    <w:rsid w:val="00C5714F"/>
    <w:rsid w:val="00C57B72"/>
    <w:rsid w:val="00C600D9"/>
    <w:rsid w:val="00C629F7"/>
    <w:rsid w:val="00C67F79"/>
    <w:rsid w:val="00C70C16"/>
    <w:rsid w:val="00C70EF6"/>
    <w:rsid w:val="00C714E9"/>
    <w:rsid w:val="00C727A3"/>
    <w:rsid w:val="00C72AD3"/>
    <w:rsid w:val="00C84621"/>
    <w:rsid w:val="00C923A5"/>
    <w:rsid w:val="00C96E33"/>
    <w:rsid w:val="00C97233"/>
    <w:rsid w:val="00CA7C0F"/>
    <w:rsid w:val="00CA7E10"/>
    <w:rsid w:val="00CA7E24"/>
    <w:rsid w:val="00CB0C1D"/>
    <w:rsid w:val="00CC1384"/>
    <w:rsid w:val="00CC1BA0"/>
    <w:rsid w:val="00CC3DC4"/>
    <w:rsid w:val="00CD11C8"/>
    <w:rsid w:val="00CD3720"/>
    <w:rsid w:val="00CD6E9C"/>
    <w:rsid w:val="00CE1CD4"/>
    <w:rsid w:val="00CE30E9"/>
    <w:rsid w:val="00CE5EB5"/>
    <w:rsid w:val="00CF0021"/>
    <w:rsid w:val="00CF16C9"/>
    <w:rsid w:val="00CF1848"/>
    <w:rsid w:val="00CF40B5"/>
    <w:rsid w:val="00CF59A6"/>
    <w:rsid w:val="00CF5C2F"/>
    <w:rsid w:val="00CF6EEB"/>
    <w:rsid w:val="00D00E44"/>
    <w:rsid w:val="00D017AB"/>
    <w:rsid w:val="00D01A1A"/>
    <w:rsid w:val="00D02BDF"/>
    <w:rsid w:val="00D03F22"/>
    <w:rsid w:val="00D04BCF"/>
    <w:rsid w:val="00D1173D"/>
    <w:rsid w:val="00D135CF"/>
    <w:rsid w:val="00D13E6D"/>
    <w:rsid w:val="00D143D9"/>
    <w:rsid w:val="00D17327"/>
    <w:rsid w:val="00D22CA1"/>
    <w:rsid w:val="00D22F91"/>
    <w:rsid w:val="00D269AB"/>
    <w:rsid w:val="00D33848"/>
    <w:rsid w:val="00D346C2"/>
    <w:rsid w:val="00D401F5"/>
    <w:rsid w:val="00D41C8A"/>
    <w:rsid w:val="00D44D59"/>
    <w:rsid w:val="00D46B27"/>
    <w:rsid w:val="00D500C4"/>
    <w:rsid w:val="00D50578"/>
    <w:rsid w:val="00D52823"/>
    <w:rsid w:val="00D537A6"/>
    <w:rsid w:val="00D55AAC"/>
    <w:rsid w:val="00D60C68"/>
    <w:rsid w:val="00D61D77"/>
    <w:rsid w:val="00D63FC6"/>
    <w:rsid w:val="00D64517"/>
    <w:rsid w:val="00D65638"/>
    <w:rsid w:val="00D6631C"/>
    <w:rsid w:val="00D67E41"/>
    <w:rsid w:val="00D71B53"/>
    <w:rsid w:val="00D72618"/>
    <w:rsid w:val="00D75D09"/>
    <w:rsid w:val="00D771D6"/>
    <w:rsid w:val="00D864C5"/>
    <w:rsid w:val="00D92222"/>
    <w:rsid w:val="00D93340"/>
    <w:rsid w:val="00D96A6F"/>
    <w:rsid w:val="00D97143"/>
    <w:rsid w:val="00D9791C"/>
    <w:rsid w:val="00DA0AC2"/>
    <w:rsid w:val="00DA1732"/>
    <w:rsid w:val="00DA22DA"/>
    <w:rsid w:val="00DA4E83"/>
    <w:rsid w:val="00DA5063"/>
    <w:rsid w:val="00DA59EA"/>
    <w:rsid w:val="00DA64F6"/>
    <w:rsid w:val="00DA6A09"/>
    <w:rsid w:val="00DB255F"/>
    <w:rsid w:val="00DB3E77"/>
    <w:rsid w:val="00DB47FD"/>
    <w:rsid w:val="00DB5C0B"/>
    <w:rsid w:val="00DB61FB"/>
    <w:rsid w:val="00DB6447"/>
    <w:rsid w:val="00DC548F"/>
    <w:rsid w:val="00DC623A"/>
    <w:rsid w:val="00DC6254"/>
    <w:rsid w:val="00DC743F"/>
    <w:rsid w:val="00DD421A"/>
    <w:rsid w:val="00DD7090"/>
    <w:rsid w:val="00DE542D"/>
    <w:rsid w:val="00DF334D"/>
    <w:rsid w:val="00DF4F0F"/>
    <w:rsid w:val="00DF5B82"/>
    <w:rsid w:val="00DF7150"/>
    <w:rsid w:val="00DF73C6"/>
    <w:rsid w:val="00DF7B4F"/>
    <w:rsid w:val="00E013F6"/>
    <w:rsid w:val="00E015A5"/>
    <w:rsid w:val="00E0451F"/>
    <w:rsid w:val="00E10480"/>
    <w:rsid w:val="00E15173"/>
    <w:rsid w:val="00E160FE"/>
    <w:rsid w:val="00E17D7F"/>
    <w:rsid w:val="00E20585"/>
    <w:rsid w:val="00E219B3"/>
    <w:rsid w:val="00E257C8"/>
    <w:rsid w:val="00E257FA"/>
    <w:rsid w:val="00E26716"/>
    <w:rsid w:val="00E31AC5"/>
    <w:rsid w:val="00E31FD2"/>
    <w:rsid w:val="00E36C9E"/>
    <w:rsid w:val="00E37047"/>
    <w:rsid w:val="00E4454F"/>
    <w:rsid w:val="00E46035"/>
    <w:rsid w:val="00E50361"/>
    <w:rsid w:val="00E513C5"/>
    <w:rsid w:val="00E52414"/>
    <w:rsid w:val="00E57FEB"/>
    <w:rsid w:val="00E60D0F"/>
    <w:rsid w:val="00E63539"/>
    <w:rsid w:val="00E6382A"/>
    <w:rsid w:val="00E64ED7"/>
    <w:rsid w:val="00E65D07"/>
    <w:rsid w:val="00E67183"/>
    <w:rsid w:val="00E67462"/>
    <w:rsid w:val="00E73C98"/>
    <w:rsid w:val="00E764D5"/>
    <w:rsid w:val="00E82D8E"/>
    <w:rsid w:val="00E82F37"/>
    <w:rsid w:val="00E83CFE"/>
    <w:rsid w:val="00E847FF"/>
    <w:rsid w:val="00E84ED8"/>
    <w:rsid w:val="00E85052"/>
    <w:rsid w:val="00E85B2B"/>
    <w:rsid w:val="00E94657"/>
    <w:rsid w:val="00E95857"/>
    <w:rsid w:val="00E9773B"/>
    <w:rsid w:val="00EA1C98"/>
    <w:rsid w:val="00EA596B"/>
    <w:rsid w:val="00EA60B0"/>
    <w:rsid w:val="00EB01FF"/>
    <w:rsid w:val="00EB1E23"/>
    <w:rsid w:val="00EB299F"/>
    <w:rsid w:val="00EB4FDC"/>
    <w:rsid w:val="00EB6AB1"/>
    <w:rsid w:val="00EC0BA8"/>
    <w:rsid w:val="00EC13A3"/>
    <w:rsid w:val="00EC48CA"/>
    <w:rsid w:val="00EC65EB"/>
    <w:rsid w:val="00EC6615"/>
    <w:rsid w:val="00EC7C85"/>
    <w:rsid w:val="00ED28CA"/>
    <w:rsid w:val="00ED333E"/>
    <w:rsid w:val="00ED3EC8"/>
    <w:rsid w:val="00ED4C7A"/>
    <w:rsid w:val="00ED5702"/>
    <w:rsid w:val="00ED7E58"/>
    <w:rsid w:val="00EE1132"/>
    <w:rsid w:val="00EE25D3"/>
    <w:rsid w:val="00EE27D2"/>
    <w:rsid w:val="00EE39B0"/>
    <w:rsid w:val="00EE6869"/>
    <w:rsid w:val="00F00DAF"/>
    <w:rsid w:val="00F02D84"/>
    <w:rsid w:val="00F04CD9"/>
    <w:rsid w:val="00F04F69"/>
    <w:rsid w:val="00F0511B"/>
    <w:rsid w:val="00F07470"/>
    <w:rsid w:val="00F078F3"/>
    <w:rsid w:val="00F11CAA"/>
    <w:rsid w:val="00F125EE"/>
    <w:rsid w:val="00F12C96"/>
    <w:rsid w:val="00F12E98"/>
    <w:rsid w:val="00F130FA"/>
    <w:rsid w:val="00F16FDD"/>
    <w:rsid w:val="00F22029"/>
    <w:rsid w:val="00F22FC7"/>
    <w:rsid w:val="00F25DEF"/>
    <w:rsid w:val="00F31D79"/>
    <w:rsid w:val="00F33184"/>
    <w:rsid w:val="00F34FB4"/>
    <w:rsid w:val="00F37AA5"/>
    <w:rsid w:val="00F37FA5"/>
    <w:rsid w:val="00F43350"/>
    <w:rsid w:val="00F45AB1"/>
    <w:rsid w:val="00F46E2B"/>
    <w:rsid w:val="00F514EC"/>
    <w:rsid w:val="00F51C37"/>
    <w:rsid w:val="00F60CD4"/>
    <w:rsid w:val="00F630EA"/>
    <w:rsid w:val="00F64286"/>
    <w:rsid w:val="00F7007E"/>
    <w:rsid w:val="00F70200"/>
    <w:rsid w:val="00F715DE"/>
    <w:rsid w:val="00F73193"/>
    <w:rsid w:val="00F74F95"/>
    <w:rsid w:val="00F80705"/>
    <w:rsid w:val="00F83B26"/>
    <w:rsid w:val="00F85FFF"/>
    <w:rsid w:val="00F86A52"/>
    <w:rsid w:val="00F91C00"/>
    <w:rsid w:val="00F959B8"/>
    <w:rsid w:val="00FA0B0C"/>
    <w:rsid w:val="00FA1481"/>
    <w:rsid w:val="00FA2116"/>
    <w:rsid w:val="00FB407D"/>
    <w:rsid w:val="00FB5C07"/>
    <w:rsid w:val="00FB66BF"/>
    <w:rsid w:val="00FC2A8B"/>
    <w:rsid w:val="00FC5377"/>
    <w:rsid w:val="00FC7E44"/>
    <w:rsid w:val="00FD0751"/>
    <w:rsid w:val="00FD0FFE"/>
    <w:rsid w:val="00FD1666"/>
    <w:rsid w:val="00FD78F3"/>
    <w:rsid w:val="00FE2660"/>
    <w:rsid w:val="00FE279C"/>
    <w:rsid w:val="00FF04E3"/>
    <w:rsid w:val="00FF11A7"/>
    <w:rsid w:val="00FF1F2C"/>
    <w:rsid w:val="00FF2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tabs>
        <w:tab w:val="left" w:pos="384"/>
      </w:tabs>
      <w:spacing w:after="240"/>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3055">
      <w:bodyDiv w:val="1"/>
      <w:marLeft w:val="0"/>
      <w:marRight w:val="0"/>
      <w:marTop w:val="0"/>
      <w:marBottom w:val="0"/>
      <w:divBdr>
        <w:top w:val="none" w:sz="0" w:space="0" w:color="auto"/>
        <w:left w:val="none" w:sz="0" w:space="0" w:color="auto"/>
        <w:bottom w:val="none" w:sz="0" w:space="0" w:color="auto"/>
        <w:right w:val="none" w:sz="0" w:space="0" w:color="auto"/>
      </w:divBdr>
    </w:div>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557282417">
      <w:bodyDiv w:val="1"/>
      <w:marLeft w:val="0"/>
      <w:marRight w:val="0"/>
      <w:marTop w:val="0"/>
      <w:marBottom w:val="0"/>
      <w:divBdr>
        <w:top w:val="none" w:sz="0" w:space="0" w:color="auto"/>
        <w:left w:val="none" w:sz="0" w:space="0" w:color="auto"/>
        <w:bottom w:val="none" w:sz="0" w:space="0" w:color="auto"/>
        <w:right w:val="none" w:sz="0" w:space="0" w:color="auto"/>
      </w:divBdr>
    </w:div>
    <w:div w:id="559218865">
      <w:bodyDiv w:val="1"/>
      <w:marLeft w:val="0"/>
      <w:marRight w:val="0"/>
      <w:marTop w:val="0"/>
      <w:marBottom w:val="0"/>
      <w:divBdr>
        <w:top w:val="none" w:sz="0" w:space="0" w:color="auto"/>
        <w:left w:val="none" w:sz="0" w:space="0" w:color="auto"/>
        <w:bottom w:val="none" w:sz="0" w:space="0" w:color="auto"/>
        <w:right w:val="none" w:sz="0" w:space="0" w:color="auto"/>
      </w:divBdr>
    </w:div>
    <w:div w:id="795875629">
      <w:bodyDiv w:val="1"/>
      <w:marLeft w:val="0"/>
      <w:marRight w:val="0"/>
      <w:marTop w:val="0"/>
      <w:marBottom w:val="0"/>
      <w:divBdr>
        <w:top w:val="none" w:sz="0" w:space="0" w:color="auto"/>
        <w:left w:val="none" w:sz="0" w:space="0" w:color="auto"/>
        <w:bottom w:val="none" w:sz="0" w:space="0" w:color="auto"/>
        <w:right w:val="none" w:sz="0" w:space="0" w:color="auto"/>
      </w:divBdr>
    </w:div>
    <w:div w:id="897935705">
      <w:bodyDiv w:val="1"/>
      <w:marLeft w:val="0"/>
      <w:marRight w:val="0"/>
      <w:marTop w:val="0"/>
      <w:marBottom w:val="0"/>
      <w:divBdr>
        <w:top w:val="none" w:sz="0" w:space="0" w:color="auto"/>
        <w:left w:val="none" w:sz="0" w:space="0" w:color="auto"/>
        <w:bottom w:val="none" w:sz="0" w:space="0" w:color="auto"/>
        <w:right w:val="none" w:sz="0" w:space="0" w:color="auto"/>
      </w:divBdr>
    </w:div>
    <w:div w:id="1010989751">
      <w:bodyDiv w:val="1"/>
      <w:marLeft w:val="0"/>
      <w:marRight w:val="0"/>
      <w:marTop w:val="0"/>
      <w:marBottom w:val="0"/>
      <w:divBdr>
        <w:top w:val="none" w:sz="0" w:space="0" w:color="auto"/>
        <w:left w:val="none" w:sz="0" w:space="0" w:color="auto"/>
        <w:bottom w:val="none" w:sz="0" w:space="0" w:color="auto"/>
        <w:right w:val="none" w:sz="0" w:space="0" w:color="auto"/>
      </w:divBdr>
    </w:div>
    <w:div w:id="1086536375">
      <w:bodyDiv w:val="1"/>
      <w:marLeft w:val="0"/>
      <w:marRight w:val="0"/>
      <w:marTop w:val="0"/>
      <w:marBottom w:val="0"/>
      <w:divBdr>
        <w:top w:val="none" w:sz="0" w:space="0" w:color="auto"/>
        <w:left w:val="none" w:sz="0" w:space="0" w:color="auto"/>
        <w:bottom w:val="none" w:sz="0" w:space="0" w:color="auto"/>
        <w:right w:val="none" w:sz="0" w:space="0" w:color="auto"/>
      </w:divBdr>
    </w:div>
    <w:div w:id="1284923164">
      <w:bodyDiv w:val="1"/>
      <w:marLeft w:val="0"/>
      <w:marRight w:val="0"/>
      <w:marTop w:val="0"/>
      <w:marBottom w:val="0"/>
      <w:divBdr>
        <w:top w:val="none" w:sz="0" w:space="0" w:color="auto"/>
        <w:left w:val="none" w:sz="0" w:space="0" w:color="auto"/>
        <w:bottom w:val="none" w:sz="0" w:space="0" w:color="auto"/>
        <w:right w:val="none" w:sz="0" w:space="0" w:color="auto"/>
      </w:divBdr>
    </w:div>
    <w:div w:id="1312949385">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 w:id="171180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ostedoat@conservation.org"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dds.cepal.org/bpsnc/programme?id=60" TargetMode="Externa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mapbiomas.org/colecoes-mapbiomas-1?cama_set_language=pt-BR"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A570-445A-4792-B7C4-EE81A5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29</Pages>
  <Words>5835</Words>
  <Characters>33264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39021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Sebastien Costedoat</cp:lastModifiedBy>
  <cp:revision>137</cp:revision>
  <cp:lastPrinted>2018-02-26T17:19:00Z</cp:lastPrinted>
  <dcterms:created xsi:type="dcterms:W3CDTF">2022-08-22T03:22:00Z</dcterms:created>
  <dcterms:modified xsi:type="dcterms:W3CDTF">2022-09-30T21:01:00Z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id="y0VovjIZ"/&gt;&lt;style id="http://www.zotero.org/styles/pnas" hasBibliography="1" bibliographyStyleHasBeenSet="1"/&gt;&lt;prefs&gt;&lt;pref name="fieldType" value="Field"/&gt;&lt;/prefs&gt;&lt;/data&gt;</vt:lpwstr>
  </property>
</Properties>
</file>