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498" w:rsidRPr="00FF6B9E" w:rsidRDefault="00D91498" w:rsidP="001100E3">
      <w:pPr>
        <w:pStyle w:val="BBAuthorName"/>
        <w:spacing w:line="360" w:lineRule="auto"/>
        <w:rPr>
          <w:rFonts w:ascii="Times New Roman" w:hAnsi="Times New Roman"/>
          <w:b/>
          <w:bCs/>
          <w:szCs w:val="24"/>
        </w:rPr>
      </w:pPr>
      <w:r w:rsidRPr="00FF6B9E">
        <w:rPr>
          <w:rFonts w:ascii="Times New Roman" w:hAnsi="Times New Roman"/>
          <w:b/>
          <w:bCs/>
          <w:szCs w:val="24"/>
        </w:rPr>
        <w:t>SUPPORTING INFORMATION</w:t>
      </w:r>
    </w:p>
    <w:p w:rsidR="00AD6719" w:rsidRPr="005E0CFE" w:rsidRDefault="00AD6719" w:rsidP="00AD6719">
      <w:pPr>
        <w:pStyle w:val="BBAuthorName"/>
        <w:spacing w:line="360" w:lineRule="auto"/>
        <w:rPr>
          <w:rFonts w:ascii="Times New Roman" w:hAnsi="Times New Roman"/>
          <w:sz w:val="28"/>
          <w:szCs w:val="28"/>
        </w:rPr>
      </w:pPr>
      <w:r w:rsidRPr="005E0CFE">
        <w:rPr>
          <w:rFonts w:ascii="Times New Roman" w:hAnsi="Times New Roman"/>
          <w:b/>
          <w:bCs/>
          <w:sz w:val="28"/>
          <w:szCs w:val="28"/>
        </w:rPr>
        <w:t xml:space="preserve">Bonding of </w:t>
      </w:r>
      <w:proofErr w:type="spellStart"/>
      <w:r w:rsidRPr="005E0CFE">
        <w:rPr>
          <w:rFonts w:ascii="Times New Roman" w:hAnsi="Times New Roman"/>
          <w:b/>
          <w:bCs/>
          <w:sz w:val="28"/>
          <w:szCs w:val="28"/>
        </w:rPr>
        <w:t>isovalent</w:t>
      </w:r>
      <w:proofErr w:type="spellEnd"/>
      <w:r w:rsidRPr="005E0CFE">
        <w:rPr>
          <w:rFonts w:ascii="Times New Roman" w:hAnsi="Times New Roman"/>
          <w:b/>
          <w:bCs/>
          <w:sz w:val="28"/>
          <w:szCs w:val="28"/>
        </w:rPr>
        <w:t xml:space="preserve"> homologous actinide and lanthanide pairs with chalcogenide donors: Effect of metal f-orbital participation and donor softness</w:t>
      </w:r>
    </w:p>
    <w:p w:rsidR="00AD6719" w:rsidRPr="00FF6B9E" w:rsidRDefault="001F7267" w:rsidP="00AD6719">
      <w:pPr>
        <w:pStyle w:val="BBAuthorName"/>
        <w:spacing w:line="360" w:lineRule="auto"/>
        <w:rPr>
          <w:rFonts w:ascii="Times New Roman" w:hAnsi="Times New Roman"/>
          <w:szCs w:val="24"/>
          <w:vertAlign w:val="superscript"/>
          <w:lang w:val="de-DE"/>
        </w:rPr>
      </w:pPr>
      <w:r>
        <w:rPr>
          <w:rFonts w:ascii="Times New Roman" w:hAnsi="Times New Roman"/>
          <w:szCs w:val="24"/>
          <w:lang w:val="de-DE"/>
        </w:rPr>
        <w:t>Saparya</w:t>
      </w:r>
      <w:r w:rsidR="00AD6719" w:rsidRPr="00FF6B9E">
        <w:rPr>
          <w:rFonts w:ascii="Times New Roman" w:hAnsi="Times New Roman"/>
          <w:szCs w:val="24"/>
          <w:lang w:val="de-DE"/>
        </w:rPr>
        <w:t xml:space="preserve"> Chattaraj</w:t>
      </w:r>
      <w:r w:rsidR="00AD6719" w:rsidRPr="00FF6B9E">
        <w:rPr>
          <w:rFonts w:ascii="Times New Roman" w:hAnsi="Times New Roman"/>
          <w:szCs w:val="24"/>
          <w:vertAlign w:val="superscript"/>
          <w:lang w:val="de-DE"/>
        </w:rPr>
        <w:t>a,c</w:t>
      </w:r>
      <w:r>
        <w:rPr>
          <w:rFonts w:ascii="Times New Roman" w:hAnsi="Times New Roman"/>
          <w:szCs w:val="24"/>
          <w:lang w:val="de-DE"/>
        </w:rPr>
        <w:t>, Arunasis</w:t>
      </w:r>
      <w:bookmarkStart w:id="0" w:name="_GoBack"/>
      <w:bookmarkEnd w:id="0"/>
      <w:r w:rsidR="00AD6719" w:rsidRPr="00FF6B9E">
        <w:rPr>
          <w:rFonts w:ascii="Times New Roman" w:hAnsi="Times New Roman"/>
          <w:szCs w:val="24"/>
          <w:lang w:val="de-DE"/>
        </w:rPr>
        <w:t xml:space="preserve"> Bhattacharyya</w:t>
      </w:r>
      <w:r w:rsidR="00AD6719" w:rsidRPr="00FF6B9E">
        <w:rPr>
          <w:rFonts w:ascii="Times New Roman" w:hAnsi="Times New Roman"/>
          <w:szCs w:val="24"/>
          <w:vertAlign w:val="superscript"/>
          <w:lang w:val="de-DE"/>
        </w:rPr>
        <w:t>b,c*</w:t>
      </w:r>
    </w:p>
    <w:p w:rsidR="00AD6719" w:rsidRPr="00FF6B9E" w:rsidRDefault="00AD6719" w:rsidP="00AD6719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F6B9E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FF6B9E">
        <w:rPr>
          <w:rFonts w:ascii="Times New Roman" w:hAnsi="Times New Roman" w:cs="Times New Roman"/>
          <w:i/>
          <w:sz w:val="24"/>
          <w:szCs w:val="24"/>
        </w:rPr>
        <w:t>Health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Physics Division, Health, Safety and Environment Group, </w:t>
      </w:r>
      <w:proofErr w:type="spellStart"/>
      <w:r w:rsidRPr="00FF6B9E">
        <w:rPr>
          <w:rFonts w:ascii="Times New Roman" w:hAnsi="Times New Roman" w:cs="Times New Roman"/>
          <w:i/>
          <w:sz w:val="24"/>
          <w:szCs w:val="24"/>
        </w:rPr>
        <w:t>Bhabha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Atomic Research Centre, Mumbai – 400 085, India</w:t>
      </w:r>
    </w:p>
    <w:p w:rsidR="00AD6719" w:rsidRPr="00FF6B9E" w:rsidRDefault="00AD6719" w:rsidP="00AD6719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F6B9E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FF6B9E">
        <w:rPr>
          <w:rFonts w:ascii="Times New Roman" w:hAnsi="Times New Roman" w:cs="Times New Roman"/>
          <w:i/>
          <w:sz w:val="24"/>
          <w:szCs w:val="24"/>
        </w:rPr>
        <w:t>Radiochemistry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Division, Radiochemistry and Isotope Group, </w:t>
      </w:r>
      <w:proofErr w:type="spellStart"/>
      <w:r w:rsidRPr="00FF6B9E">
        <w:rPr>
          <w:rFonts w:ascii="Times New Roman" w:hAnsi="Times New Roman" w:cs="Times New Roman"/>
          <w:i/>
          <w:sz w:val="24"/>
          <w:szCs w:val="24"/>
        </w:rPr>
        <w:t>Bhabha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Atomic Research Centre, Mumbai – 400 085, India, </w:t>
      </w:r>
    </w:p>
    <w:p w:rsidR="00AD6719" w:rsidRPr="00FF6B9E" w:rsidRDefault="00AD6719" w:rsidP="00AD6719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F6B9E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FF6B9E">
        <w:rPr>
          <w:rFonts w:ascii="Times New Roman" w:hAnsi="Times New Roman" w:cs="Times New Roman"/>
          <w:i/>
          <w:sz w:val="24"/>
          <w:szCs w:val="24"/>
        </w:rPr>
        <w:t>Homi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F6B9E">
        <w:rPr>
          <w:rFonts w:ascii="Times New Roman" w:hAnsi="Times New Roman" w:cs="Times New Roman"/>
          <w:i/>
          <w:sz w:val="24"/>
          <w:szCs w:val="24"/>
        </w:rPr>
        <w:t>Bhabha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 xml:space="preserve"> National Institute, </w:t>
      </w:r>
      <w:proofErr w:type="spellStart"/>
      <w:r w:rsidRPr="00FF6B9E">
        <w:rPr>
          <w:rFonts w:ascii="Times New Roman" w:hAnsi="Times New Roman" w:cs="Times New Roman"/>
          <w:i/>
          <w:sz w:val="24"/>
          <w:szCs w:val="24"/>
        </w:rPr>
        <w:t>Anushaktinagar</w:t>
      </w:r>
      <w:proofErr w:type="spellEnd"/>
      <w:r w:rsidRPr="00FF6B9E">
        <w:rPr>
          <w:rFonts w:ascii="Times New Roman" w:hAnsi="Times New Roman" w:cs="Times New Roman"/>
          <w:i/>
          <w:sz w:val="24"/>
          <w:szCs w:val="24"/>
        </w:rPr>
        <w:t>, Mumbai-400 094, India</w:t>
      </w: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</w:p>
    <w:p w:rsidR="00AD6719" w:rsidRPr="00E64993" w:rsidRDefault="00AD6719" w:rsidP="00AD6719">
      <w:pPr>
        <w:spacing w:line="480" w:lineRule="auto"/>
        <w:jc w:val="both"/>
        <w:rPr>
          <w:rFonts w:ascii="Times New Roman" w:hAnsi="Times New Roman" w:cs="Times New Roman"/>
          <w:b/>
          <w:sz w:val="20"/>
          <w:lang w:val="en-GB"/>
        </w:rPr>
      </w:pPr>
      <w:r w:rsidRPr="00E64993">
        <w:rPr>
          <w:rFonts w:ascii="Times New Roman" w:hAnsi="Times New Roman" w:cs="Times New Roman"/>
          <w:b/>
          <w:sz w:val="20"/>
          <w:lang w:val="en-GB"/>
        </w:rPr>
        <w:t xml:space="preserve">*Corresponding Author: </w:t>
      </w:r>
      <w:r w:rsidRPr="00E64993">
        <w:rPr>
          <w:rFonts w:ascii="Times New Roman" w:hAnsi="Times New Roman" w:cs="Times New Roman"/>
          <w:iCs/>
          <w:sz w:val="20"/>
        </w:rPr>
        <w:t>Tel.: +91 22 25596335, E-mail: arun12@barc.gov.in</w:t>
      </w:r>
    </w:p>
    <w:p w:rsidR="00D91498" w:rsidRPr="00FF6B9E" w:rsidRDefault="00D91498" w:rsidP="00D91498">
      <w:pPr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91498" w:rsidRPr="00FF6B9E" w:rsidRDefault="00D91498" w:rsidP="00D91498">
      <w:pPr>
        <w:pStyle w:val="AFTitleRunningHead"/>
        <w:spacing w:line="360" w:lineRule="auto"/>
        <w:rPr>
          <w:rFonts w:ascii="Times New Roman" w:hAnsi="Times New Roman"/>
          <w:szCs w:val="24"/>
        </w:rPr>
      </w:pPr>
    </w:p>
    <w:p w:rsidR="00D91498" w:rsidRPr="00FF6B9E" w:rsidRDefault="00D91498" w:rsidP="00D91498">
      <w:pPr>
        <w:pStyle w:val="TAMainText"/>
        <w:spacing w:line="360" w:lineRule="auto"/>
        <w:rPr>
          <w:rFonts w:ascii="Times New Roman" w:hAnsi="Times New Roman"/>
          <w:szCs w:val="24"/>
        </w:rPr>
      </w:pPr>
    </w:p>
    <w:p w:rsidR="00D91498" w:rsidRPr="00FF6B9E" w:rsidRDefault="00D91498" w:rsidP="00D91498">
      <w:pPr>
        <w:pStyle w:val="TAMainText"/>
        <w:spacing w:line="360" w:lineRule="auto"/>
        <w:rPr>
          <w:rFonts w:ascii="Times New Roman" w:hAnsi="Times New Roman"/>
          <w:szCs w:val="24"/>
        </w:rPr>
      </w:pPr>
    </w:p>
    <w:p w:rsidR="00D91498" w:rsidRPr="00FF6B9E" w:rsidRDefault="00D91498" w:rsidP="00D91498">
      <w:pPr>
        <w:pStyle w:val="TAMainText"/>
        <w:spacing w:line="360" w:lineRule="auto"/>
        <w:rPr>
          <w:rFonts w:ascii="Times New Roman" w:hAnsi="Times New Roman"/>
          <w:szCs w:val="24"/>
        </w:rPr>
      </w:pPr>
    </w:p>
    <w:p w:rsidR="00D91498" w:rsidRPr="00FF6B9E" w:rsidRDefault="00D91498" w:rsidP="00D91498">
      <w:pPr>
        <w:pStyle w:val="TAMainText"/>
        <w:spacing w:line="360" w:lineRule="auto"/>
        <w:rPr>
          <w:rFonts w:ascii="Times New Roman" w:hAnsi="Times New Roman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Pr="009651BF" w:rsidRDefault="00923982" w:rsidP="0092398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Frontier MO data for all the systems</w:t>
      </w:r>
    </w:p>
    <w:p w:rsidR="00923982" w:rsidRPr="00FF6B9E" w:rsidRDefault="00923982" w:rsidP="00923982">
      <w:pPr>
        <w:jc w:val="both"/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B03B0A">
        <w:rPr>
          <w:noProof/>
          <w:lang w:eastAsia="en-IN"/>
        </w:rPr>
        <w:drawing>
          <wp:inline distT="0" distB="0" distL="0" distR="0" wp14:anchorId="554A2867" wp14:editId="18FCD47B">
            <wp:extent cx="5731510" cy="6433552"/>
            <wp:effectExtent l="0" t="0" r="254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433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Pr="00FF6B9E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Pr="009651BF" w:rsidRDefault="00923982" w:rsidP="0092398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S2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from Energy Decomposition Analysis</w:t>
      </w:r>
    </w:p>
    <w:tbl>
      <w:tblPr>
        <w:tblW w:w="92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0"/>
        <w:gridCol w:w="1091"/>
        <w:gridCol w:w="1094"/>
        <w:gridCol w:w="948"/>
        <w:gridCol w:w="934"/>
        <w:gridCol w:w="1080"/>
        <w:gridCol w:w="1094"/>
        <w:gridCol w:w="1026"/>
        <w:gridCol w:w="1042"/>
      </w:tblGrid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85" w:type="dxa"/>
            <w:gridSpan w:val="2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∆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bond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(kcal/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882" w:type="dxa"/>
            <w:gridSpan w:val="2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∆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Pauli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(kcal/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174" w:type="dxa"/>
            <w:gridSpan w:val="2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∆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elstat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(kcal/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68" w:type="dxa"/>
            <w:gridSpan w:val="2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∆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orb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(kcal/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System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LnX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]</w:t>
            </w: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+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0-O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-1024.06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-1085.53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577.6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650.87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-1272.9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-1333.7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-328.76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-402.71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5-O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-1126.47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-1133.25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690.52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589.62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-1396.23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-1329.22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-420.76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-393.64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6-O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-1124.07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-1147.02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667.08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545.67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-1389.47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-1305.91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-401.68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-386.78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7-O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-1105.38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-1123.21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626.04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570.96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-1369.95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-1328.96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-361.48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-365.21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-849.28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-902.16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380.77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413.53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-948.37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-976.34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-281.68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-339.35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-952.08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-956.78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412.93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324.5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-1012.05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-943.51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-352.96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-337.77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-950.55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-986.37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357.05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242.84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-974.31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-881.64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-333.29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-347.58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-934.89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-948.6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425.81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375.29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-1033.53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-990.53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-327.17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-333.36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0-Se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-825.23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-876.52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336.6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359.1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-884.67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-905.6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-277.17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-330.01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5-Se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-925.81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-939.61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340.82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245.86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-924.15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-847.87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-342.47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-337.59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6-Se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-931.79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-970.9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287.76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208.22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-886.1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-819.21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-333.45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-359.91</w:t>
            </w:r>
          </w:p>
        </w:tc>
      </w:tr>
      <w:tr w:rsidR="00923982" w:rsidRPr="00FF6B9E" w:rsidTr="00922C9B">
        <w:trPr>
          <w:trHeight w:val="300"/>
        </w:trPr>
        <w:tc>
          <w:tcPr>
            <w:tcW w:w="95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7-Se</w:t>
            </w:r>
          </w:p>
        </w:tc>
        <w:tc>
          <w:tcPr>
            <w:tcW w:w="1091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-910.64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-924.76</w:t>
            </w:r>
          </w:p>
        </w:tc>
        <w:tc>
          <w:tcPr>
            <w:tcW w:w="948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366.3</w:t>
            </w:r>
          </w:p>
        </w:tc>
        <w:tc>
          <w:tcPr>
            <w:tcW w:w="93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323.5</w:t>
            </w:r>
          </w:p>
        </w:tc>
        <w:tc>
          <w:tcPr>
            <w:tcW w:w="1080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-954.63</w:t>
            </w:r>
          </w:p>
        </w:tc>
        <w:tc>
          <w:tcPr>
            <w:tcW w:w="1094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-917.51</w:t>
            </w:r>
          </w:p>
        </w:tc>
        <w:tc>
          <w:tcPr>
            <w:tcW w:w="1026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-322.31</w:t>
            </w:r>
          </w:p>
        </w:tc>
        <w:tc>
          <w:tcPr>
            <w:tcW w:w="1042" w:type="dxa"/>
            <w:shd w:val="clear" w:color="auto" w:fill="auto"/>
            <w:noWrap/>
            <w:hideMark/>
          </w:tcPr>
          <w:p w:rsidR="00923982" w:rsidRPr="00FF6B9E" w:rsidRDefault="00923982" w:rsidP="00922C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-330.75</w:t>
            </w:r>
          </w:p>
        </w:tc>
      </w:tr>
    </w:tbl>
    <w:p w:rsidR="00923982" w:rsidRDefault="00923982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3982" w:rsidRDefault="00923982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3982" w:rsidRDefault="00923982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Default="00923982" w:rsidP="00923982"/>
    <w:p w:rsidR="00923982" w:rsidRPr="00923982" w:rsidRDefault="00923982" w:rsidP="00923982"/>
    <w:p w:rsidR="00D91498" w:rsidRPr="009651BF" w:rsidRDefault="00D91498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="0092398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gramEnd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/Ln-X bond lengths for all the systems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Bond Length (Å)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System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AnX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LnX</w:t>
            </w:r>
            <w:proofErr w:type="spellEnd"/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1.897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1.791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1.791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1.773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1.792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1.787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1.804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1.763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2.422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2.303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2.316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2.337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2.450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2.279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2.248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2.565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2.447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2.483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2.547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2.548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2.610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2.424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2.391</w:t>
            </w:r>
          </w:p>
        </w:tc>
      </w:tr>
    </w:tbl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9651BF" w:rsidRDefault="00D91498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="0092398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AIM charges on </w:t>
      </w:r>
      <w:proofErr w:type="gramStart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gramEnd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/Ln and X centres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1031"/>
        <w:gridCol w:w="889"/>
        <w:gridCol w:w="960"/>
      </w:tblGrid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AIM Charges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System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-1.18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-1.01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-0.93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-0.90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-0.91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1.91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-0.91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-0.74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1.64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-0.64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1.61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-0.61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1.66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-0.66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-0.71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1.84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-0.84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-0.67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1.57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-0.57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-0.54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-0.50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1.58</w:t>
            </w:r>
          </w:p>
        </w:tc>
        <w:tc>
          <w:tcPr>
            <w:tcW w:w="1031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-0.58</w:t>
            </w:r>
          </w:p>
        </w:tc>
        <w:tc>
          <w:tcPr>
            <w:tcW w:w="88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-0.65</w:t>
            </w:r>
          </w:p>
        </w:tc>
      </w:tr>
    </w:tbl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0C09C6" w:rsidP="006E6232">
      <w:pPr>
        <w:keepNext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0D73B56D">
            <wp:extent cx="4584700" cy="5511165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4700" cy="5511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91498" w:rsidRPr="009651BF" w:rsidRDefault="00D91498" w:rsidP="006E6232">
      <w:pPr>
        <w:pStyle w:val="Caption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Figure S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Figure \* ARABIC </w:instrTex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 w:rsidRPr="009651BF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Correlation plots between natural and AIM charges</w:t>
      </w: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9651BF" w:rsidRDefault="00D91498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="00923982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QTAIM metrics for </w:t>
      </w:r>
      <w:proofErr w:type="gramStart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gramEnd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/Ln-X bonds</w:t>
      </w:r>
    </w:p>
    <w:tbl>
      <w:tblPr>
        <w:tblW w:w="96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56"/>
        <w:gridCol w:w="960"/>
        <w:gridCol w:w="960"/>
        <w:gridCol w:w="1360"/>
        <w:gridCol w:w="1172"/>
        <w:gridCol w:w="1148"/>
        <w:gridCol w:w="960"/>
      </w:tblGrid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QTAIM 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metrices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at (</w:t>
            </w:r>
            <w:proofErr w:type="gramStart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3,-</w:t>
            </w:r>
            <w:proofErr w:type="gramEnd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1) BCP</w:t>
            </w:r>
          </w:p>
        </w:tc>
        <w:tc>
          <w:tcPr>
            <w:tcW w:w="1920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Electron Density</w:t>
            </w:r>
          </w:p>
        </w:tc>
        <w:tc>
          <w:tcPr>
            <w:tcW w:w="2532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Laplacian of Electron Density</w:t>
            </w:r>
          </w:p>
        </w:tc>
        <w:tc>
          <w:tcPr>
            <w:tcW w:w="2108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Total Energy Density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An-X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Ln-X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An-X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Ln-X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An-X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Ln-X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0.213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0.414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-0.184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-0.275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(0.285)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0.259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0.499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0.440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-0.265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0.275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(0.283)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0.242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0.496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0.500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-0.228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0.265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(0.269)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0.257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0.708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0.664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-0.243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0.107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-0.092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0.110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0.149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0.199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-0.056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0.086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0.121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0.173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-0.034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0.130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0.182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0.182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-0.081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-0.065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0.081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0.135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0.143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-0.031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0.070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0.109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0.129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-0.024</w:t>
            </w:r>
          </w:p>
        </w:tc>
      </w:tr>
      <w:tr w:rsidR="00D91498" w:rsidRPr="00FF6B9E" w:rsidTr="006E6232">
        <w:trPr>
          <w:trHeight w:val="300"/>
          <w:jc w:val="center"/>
        </w:trPr>
        <w:tc>
          <w:tcPr>
            <w:tcW w:w="305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0.106</w:t>
            </w:r>
          </w:p>
        </w:tc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0.156</w:t>
            </w:r>
          </w:p>
        </w:tc>
        <w:tc>
          <w:tcPr>
            <w:tcW w:w="117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0.153</w:t>
            </w:r>
          </w:p>
        </w:tc>
        <w:tc>
          <w:tcPr>
            <w:tcW w:w="1148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-0.055</w:t>
            </w:r>
          </w:p>
        </w:tc>
      </w:tr>
    </w:tbl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6B9E">
        <w:rPr>
          <w:rFonts w:ascii="Times New Roman" w:hAnsi="Times New Roman" w:cs="Times New Roman"/>
          <w:sz w:val="24"/>
          <w:szCs w:val="24"/>
        </w:rPr>
        <w:t xml:space="preserve">Values in parenthesis are taken from </w:t>
      </w:r>
      <w:r w:rsidRPr="00FF6B9E">
        <w:rPr>
          <w:rFonts w:ascii="Times New Roman" w:hAnsi="Times New Roman" w:cs="Times New Roman"/>
          <w:i/>
          <w:iCs/>
          <w:sz w:val="24"/>
          <w:szCs w:val="24"/>
        </w:rPr>
        <w:t xml:space="preserve">Q.-R. Huang, J. R. </w:t>
      </w:r>
      <w:proofErr w:type="spellStart"/>
      <w:r w:rsidRPr="00FF6B9E">
        <w:rPr>
          <w:rFonts w:ascii="Times New Roman" w:hAnsi="Times New Roman" w:cs="Times New Roman"/>
          <w:i/>
          <w:iCs/>
          <w:sz w:val="24"/>
          <w:szCs w:val="24"/>
        </w:rPr>
        <w:t>Kingham</w:t>
      </w:r>
      <w:proofErr w:type="spellEnd"/>
      <w:r w:rsidRPr="00FF6B9E">
        <w:rPr>
          <w:rFonts w:ascii="Times New Roman" w:hAnsi="Times New Roman" w:cs="Times New Roman"/>
          <w:i/>
          <w:iCs/>
          <w:sz w:val="24"/>
          <w:szCs w:val="24"/>
        </w:rPr>
        <w:t xml:space="preserve"> and N. </w:t>
      </w:r>
      <w:proofErr w:type="spellStart"/>
      <w:r w:rsidRPr="00FF6B9E">
        <w:rPr>
          <w:rFonts w:ascii="Times New Roman" w:hAnsi="Times New Roman" w:cs="Times New Roman"/>
          <w:i/>
          <w:iCs/>
          <w:sz w:val="24"/>
          <w:szCs w:val="24"/>
        </w:rPr>
        <w:t>Kaltsoyannis</w:t>
      </w:r>
      <w:proofErr w:type="spellEnd"/>
      <w:r w:rsidRPr="00FF6B9E">
        <w:rPr>
          <w:rFonts w:ascii="Times New Roman" w:hAnsi="Times New Roman" w:cs="Times New Roman"/>
          <w:i/>
          <w:iCs/>
          <w:sz w:val="24"/>
          <w:szCs w:val="24"/>
        </w:rPr>
        <w:t xml:space="preserve">, Dalton Transactions, 2015, </w:t>
      </w:r>
      <w:r w:rsidRPr="00FF6B9E">
        <w:rPr>
          <w:rFonts w:ascii="Times New Roman" w:hAnsi="Times New Roman" w:cs="Times New Roman"/>
          <w:b/>
          <w:bCs/>
          <w:i/>
          <w:iCs/>
          <w:sz w:val="24"/>
          <w:szCs w:val="24"/>
        </w:rPr>
        <w:t>44</w:t>
      </w:r>
      <w:r w:rsidRPr="00FF6B9E">
        <w:rPr>
          <w:rFonts w:ascii="Times New Roman" w:hAnsi="Times New Roman" w:cs="Times New Roman"/>
          <w:i/>
          <w:iCs/>
          <w:sz w:val="24"/>
          <w:szCs w:val="24"/>
        </w:rPr>
        <w:t>, 2554–2566.</w:t>
      </w: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D91498" w:rsidRPr="009651BF" w:rsidRDefault="00D91498" w:rsidP="006E6232">
      <w:pPr>
        <w:pStyle w:val="Caption"/>
        <w:jc w:val="center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="00923982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Wiberg</w:t>
      </w:r>
      <w:proofErr w:type="spellEnd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bond indices and delocalisation indices for </w:t>
      </w:r>
      <w:proofErr w:type="gramStart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An</w:t>
      </w:r>
      <w:proofErr w:type="gramEnd"/>
      <w:r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>/Ln-X bonds</w:t>
      </w:r>
    </w:p>
    <w:tbl>
      <w:tblPr>
        <w:tblW w:w="5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0"/>
        <w:gridCol w:w="960"/>
        <w:gridCol w:w="960"/>
        <w:gridCol w:w="1020"/>
        <w:gridCol w:w="1020"/>
      </w:tblGrid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Wiberg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Bond Indices</w:t>
            </w:r>
          </w:p>
        </w:tc>
        <w:tc>
          <w:tcPr>
            <w:tcW w:w="2040" w:type="dxa"/>
            <w:gridSpan w:val="2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Delocalisation Indices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Bond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An-X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Ln-X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An-X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Ln-X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1.423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1.678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1.756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1.946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1.745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1.940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(2.097)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2.000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1.644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2.050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(2.079)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1.926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7-O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1.710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1.733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2.046</w:t>
            </w:r>
          </w:p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(2.081)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1.984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1.860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2.079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1.956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2.142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1.246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1.642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0.870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1.970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1.041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7-S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2.063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2.248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1.961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2.151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2.013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2.042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1.024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2.206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1.072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1.674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0.818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1.825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1.048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13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7-Se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2.143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2.125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2.283</w:t>
            </w:r>
          </w:p>
        </w:tc>
        <w:tc>
          <w:tcPr>
            <w:tcW w:w="102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2.184</w:t>
            </w:r>
          </w:p>
        </w:tc>
      </w:tr>
    </w:tbl>
    <w:p w:rsidR="00D91498" w:rsidRPr="00FF6B9E" w:rsidRDefault="00D91498" w:rsidP="00D91498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F6B9E">
        <w:rPr>
          <w:rFonts w:ascii="Times New Roman" w:hAnsi="Times New Roman" w:cs="Times New Roman"/>
          <w:sz w:val="24"/>
          <w:szCs w:val="24"/>
        </w:rPr>
        <w:t xml:space="preserve">Values in parenthesis are taken from Q.-R. Huang, J. R. </w:t>
      </w:r>
      <w:proofErr w:type="spellStart"/>
      <w:r w:rsidRPr="00FF6B9E">
        <w:rPr>
          <w:rFonts w:ascii="Times New Roman" w:hAnsi="Times New Roman" w:cs="Times New Roman"/>
          <w:sz w:val="24"/>
          <w:szCs w:val="24"/>
        </w:rPr>
        <w:t>Kingham</w:t>
      </w:r>
      <w:proofErr w:type="spellEnd"/>
      <w:r w:rsidRPr="00FF6B9E">
        <w:rPr>
          <w:rFonts w:ascii="Times New Roman" w:hAnsi="Times New Roman" w:cs="Times New Roman"/>
          <w:sz w:val="24"/>
          <w:szCs w:val="24"/>
        </w:rPr>
        <w:t xml:space="preserve"> and N. </w:t>
      </w:r>
      <w:proofErr w:type="spellStart"/>
      <w:r w:rsidRPr="00FF6B9E">
        <w:rPr>
          <w:rFonts w:ascii="Times New Roman" w:hAnsi="Times New Roman" w:cs="Times New Roman"/>
          <w:sz w:val="24"/>
          <w:szCs w:val="24"/>
        </w:rPr>
        <w:t>Kaltsoyannis</w:t>
      </w:r>
      <w:proofErr w:type="spellEnd"/>
      <w:r w:rsidRPr="00FF6B9E">
        <w:rPr>
          <w:rFonts w:ascii="Times New Roman" w:hAnsi="Times New Roman" w:cs="Times New Roman"/>
          <w:sz w:val="24"/>
          <w:szCs w:val="24"/>
        </w:rPr>
        <w:t xml:space="preserve">, </w:t>
      </w:r>
      <w:r w:rsidRPr="00FF6B9E">
        <w:rPr>
          <w:rFonts w:ascii="Times New Roman" w:hAnsi="Times New Roman" w:cs="Times New Roman"/>
          <w:i/>
          <w:iCs/>
          <w:sz w:val="24"/>
          <w:szCs w:val="24"/>
        </w:rPr>
        <w:t>Dalton Transactions</w:t>
      </w:r>
      <w:r w:rsidRPr="00FF6B9E">
        <w:rPr>
          <w:rFonts w:ascii="Times New Roman" w:hAnsi="Times New Roman" w:cs="Times New Roman"/>
          <w:sz w:val="24"/>
          <w:szCs w:val="24"/>
        </w:rPr>
        <w:t xml:space="preserve">, 2015, </w:t>
      </w:r>
      <w:r w:rsidRPr="00FF6B9E"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FF6B9E">
        <w:rPr>
          <w:rFonts w:ascii="Times New Roman" w:hAnsi="Times New Roman" w:cs="Times New Roman"/>
          <w:sz w:val="24"/>
          <w:szCs w:val="24"/>
        </w:rPr>
        <w:t>, 2554–2566.</w:t>
      </w: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3B0A" w:rsidRDefault="00B03B0A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3B0A" w:rsidRDefault="00B03B0A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3B0A" w:rsidRDefault="00B03B0A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23982" w:rsidRDefault="00923982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03B0A" w:rsidRPr="00FF6B9E" w:rsidRDefault="00B03B0A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9651BF" w:rsidRDefault="00923982" w:rsidP="006E6232">
      <w:pPr>
        <w:pStyle w:val="Caption"/>
        <w:keepNext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S7</w:t>
      </w:r>
      <w:r w:rsidR="00D91498" w:rsidRPr="009651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Energetic contribution from second order perturbation analysis for donor acceptor delocalisation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1043"/>
        <w:gridCol w:w="906"/>
        <w:gridCol w:w="1022"/>
        <w:gridCol w:w="869"/>
      </w:tblGrid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40" w:type="dxa"/>
            <w:gridSpan w:val="4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Delocalisation Energy (kcal/</w:t>
            </w:r>
            <w:proofErr w:type="spell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mol</w:t>
            </w:r>
            <w:proofErr w:type="spell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System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proofErr w:type="gramEnd"/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to An-X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to An-X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Ln to Ln- X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 to Ln-X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0-O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42.85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54.4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9.88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5-O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17.45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4.18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6-O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16.74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4.96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15.27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3.44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7-O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6.32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17.76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4.75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26.17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25.46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3.66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9.23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6.69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1.78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1.72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11.26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0-Se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22.61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20.71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5-Se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8.16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2.36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4.48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1.53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6-Se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5.81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2.18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</w:tr>
      <w:tr w:rsidR="00D91498" w:rsidRPr="00FF6B9E" w:rsidTr="00C03B36">
        <w:trPr>
          <w:trHeight w:val="300"/>
          <w:jc w:val="center"/>
        </w:trPr>
        <w:tc>
          <w:tcPr>
            <w:tcW w:w="960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7-Se</w:t>
            </w:r>
          </w:p>
        </w:tc>
        <w:tc>
          <w:tcPr>
            <w:tcW w:w="1043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10.19</w:t>
            </w:r>
          </w:p>
        </w:tc>
        <w:tc>
          <w:tcPr>
            <w:tcW w:w="906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1022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8.06</w:t>
            </w:r>
          </w:p>
        </w:tc>
        <w:tc>
          <w:tcPr>
            <w:tcW w:w="869" w:type="dxa"/>
            <w:shd w:val="clear" w:color="auto" w:fill="auto"/>
            <w:noWrap/>
            <w:hideMark/>
          </w:tcPr>
          <w:p w:rsidR="00D91498" w:rsidRPr="00FF6B9E" w:rsidRDefault="00D91498" w:rsidP="00C03B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B9E">
              <w:rPr>
                <w:rFonts w:ascii="Times New Roman" w:hAnsi="Times New Roman" w:cs="Times New Roman"/>
                <w:sz w:val="24"/>
                <w:szCs w:val="24"/>
              </w:rPr>
              <w:t>2.54</w:t>
            </w:r>
          </w:p>
        </w:tc>
      </w:tr>
    </w:tbl>
    <w:p w:rsidR="00D91498" w:rsidRPr="00FF6B9E" w:rsidRDefault="00D91498" w:rsidP="00D91498">
      <w:pPr>
        <w:pStyle w:val="Caption"/>
        <w:keepNext/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Pr="00FF6B9E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91498" w:rsidRDefault="00D91498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03B36" w:rsidRPr="00FF6B9E" w:rsidRDefault="00C03B36" w:rsidP="00D9149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B317D" w:rsidRDefault="003B317D"/>
    <w:sectPr w:rsidR="003B31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7D5531"/>
    <w:multiLevelType w:val="hybridMultilevel"/>
    <w:tmpl w:val="6854D330"/>
    <w:lvl w:ilvl="0" w:tplc="ACFA9D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016"/>
    <w:rsid w:val="000C09C6"/>
    <w:rsid w:val="001100E3"/>
    <w:rsid w:val="001F7267"/>
    <w:rsid w:val="003B317D"/>
    <w:rsid w:val="00410529"/>
    <w:rsid w:val="005E0CFE"/>
    <w:rsid w:val="006E6232"/>
    <w:rsid w:val="00923982"/>
    <w:rsid w:val="009651BF"/>
    <w:rsid w:val="009E4016"/>
    <w:rsid w:val="00A90D29"/>
    <w:rsid w:val="00AD6719"/>
    <w:rsid w:val="00B03B0A"/>
    <w:rsid w:val="00C03B36"/>
    <w:rsid w:val="00D9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A6C31"/>
  <w15:chartTrackingRefBased/>
  <w15:docId w15:val="{6A4D7036-720F-44AE-98AB-02769C0AD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91498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91498"/>
    <w:pPr>
      <w:spacing w:after="200" w:line="240" w:lineRule="auto"/>
    </w:pPr>
    <w:rPr>
      <w:i/>
      <w:iCs/>
      <w:color w:val="44546A" w:themeColor="text2"/>
      <w:sz w:val="18"/>
      <w:szCs w:val="16"/>
    </w:rPr>
  </w:style>
  <w:style w:type="paragraph" w:customStyle="1" w:styleId="TAMainText">
    <w:name w:val="TA_Main_Text"/>
    <w:basedOn w:val="Normal"/>
    <w:rsid w:val="00D91498"/>
    <w:pPr>
      <w:spacing w:after="0" w:line="480" w:lineRule="auto"/>
      <w:ind w:firstLine="202"/>
      <w:jc w:val="both"/>
    </w:pPr>
    <w:rPr>
      <w:rFonts w:ascii="Times" w:eastAsia="Times New Roman" w:hAnsi="Times" w:cs="Times New Roman"/>
      <w:sz w:val="24"/>
      <w:lang w:val="en-US" w:bidi="ar-SA"/>
    </w:rPr>
  </w:style>
  <w:style w:type="paragraph" w:customStyle="1" w:styleId="BBAuthorName">
    <w:name w:val="BB_Author_Name"/>
    <w:basedOn w:val="Normal"/>
    <w:next w:val="Normal"/>
    <w:rsid w:val="00D91498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lang w:val="en-US" w:bidi="ar-SA"/>
    </w:rPr>
  </w:style>
  <w:style w:type="paragraph" w:customStyle="1" w:styleId="AFTitleRunningHead">
    <w:name w:val="AF_Title_Running_Head"/>
    <w:basedOn w:val="Normal"/>
    <w:next w:val="TAMainText"/>
    <w:rsid w:val="00D91498"/>
    <w:pPr>
      <w:spacing w:after="200" w:line="480" w:lineRule="auto"/>
      <w:jc w:val="both"/>
    </w:pPr>
    <w:rPr>
      <w:rFonts w:ascii="Times" w:eastAsia="Times New Roman" w:hAnsi="Times" w:cs="Times New Roman"/>
      <w:sz w:val="24"/>
      <w:lang w:val="en-US" w:bidi="ar-SA"/>
    </w:rPr>
  </w:style>
  <w:style w:type="paragraph" w:styleId="NoSpacing">
    <w:name w:val="No Spacing"/>
    <w:uiPriority w:val="1"/>
    <w:qFormat/>
    <w:rsid w:val="00D91498"/>
    <w:pPr>
      <w:spacing w:after="0" w:line="240" w:lineRule="auto"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688</Words>
  <Characters>3926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dcterms:created xsi:type="dcterms:W3CDTF">2022-09-28T04:42:00Z</dcterms:created>
  <dcterms:modified xsi:type="dcterms:W3CDTF">2022-09-30T06:26:00Z</dcterms:modified>
</cp:coreProperties>
</file>