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E72C69" w14:textId="77777777" w:rsidR="00E86171" w:rsidRDefault="00E86171" w:rsidP="00E86171">
      <w:pPr>
        <w:rPr>
          <w:rFonts w:ascii="Times New Roman" w:hAnsi="Times New Roman"/>
          <w:b/>
          <w:bCs/>
        </w:rPr>
      </w:pPr>
      <w:r w:rsidRPr="00BD0383">
        <w:rPr>
          <w:rFonts w:ascii="Times New Roman" w:hAnsi="Times New Roman"/>
          <w:b/>
          <w:bCs/>
        </w:rPr>
        <w:t xml:space="preserve">Supplementary </w:t>
      </w:r>
      <w:r>
        <w:rPr>
          <w:rFonts w:ascii="Times New Roman" w:hAnsi="Times New Roman"/>
          <w:b/>
          <w:bCs/>
        </w:rPr>
        <w:t>I</w:t>
      </w:r>
      <w:r w:rsidRPr="00BD0383">
        <w:rPr>
          <w:rFonts w:ascii="Times New Roman" w:hAnsi="Times New Roman"/>
          <w:b/>
          <w:bCs/>
        </w:rPr>
        <w:t>nformation</w:t>
      </w:r>
    </w:p>
    <w:p w14:paraId="689F7E80" w14:textId="77777777" w:rsidR="00E86171" w:rsidRDefault="00E86171" w:rsidP="00E86171">
      <w:pPr>
        <w:rPr>
          <w:rFonts w:ascii="Times New Roman" w:hAnsi="Times New Roman"/>
          <w:b/>
          <w:bCs/>
        </w:rPr>
      </w:pPr>
    </w:p>
    <w:p w14:paraId="49C4E3D8" w14:textId="77777777" w:rsidR="00E86171" w:rsidRDefault="00E86171" w:rsidP="00E86171">
      <w:pPr>
        <w:rPr>
          <w:rFonts w:ascii="Times New Roman" w:hAnsi="Times New Roman"/>
        </w:rPr>
      </w:pPr>
      <w:r w:rsidRPr="00FD47FE">
        <w:rPr>
          <w:rFonts w:ascii="Times New Roman" w:hAnsi="Times New Roman"/>
          <w:b/>
          <w:bCs/>
        </w:rPr>
        <w:t xml:space="preserve">Preparation </w:t>
      </w:r>
      <w:r>
        <w:rPr>
          <w:rFonts w:ascii="Times New Roman" w:hAnsi="Times New Roman"/>
          <w:b/>
          <w:bCs/>
        </w:rPr>
        <w:t>of a solubility-enhanced variant</w:t>
      </w:r>
      <w:r w:rsidRPr="00FD47FE">
        <w:rPr>
          <w:rFonts w:ascii="Times New Roman" w:hAnsi="Times New Roman"/>
          <w:b/>
          <w:bCs/>
        </w:rPr>
        <w:t xml:space="preserve"> of human A3G</w:t>
      </w:r>
    </w:p>
    <w:p w14:paraId="2165AC2A" w14:textId="77777777" w:rsidR="00E86171" w:rsidRDefault="00E86171" w:rsidP="00E86171">
      <w:pPr>
        <w:rPr>
          <w:rFonts w:ascii="Times New Roman" w:hAnsi="Times New Roman"/>
        </w:rPr>
      </w:pPr>
      <w:r>
        <w:rPr>
          <w:rFonts w:ascii="Times New Roman" w:hAnsi="Times New Roman"/>
        </w:rPr>
        <w:t xml:space="preserve">Kouno </w:t>
      </w:r>
      <w:r w:rsidRPr="00CB11EB">
        <w:rPr>
          <w:rFonts w:ascii="Times New Roman" w:hAnsi="Times New Roman"/>
          <w:i/>
          <w:iCs/>
        </w:rPr>
        <w:t>et al</w:t>
      </w:r>
      <w:r>
        <w:rPr>
          <w:rFonts w:ascii="Times New Roman" w:hAnsi="Times New Roman"/>
        </w:rPr>
        <w:t>. prepared solubilized human A3G NTD (sNTD) and determined its solution structure using NMR spectroscopy [23]. Their structure-guided experiments identified amino acid determinants for sNTD-Vif interaction, which are widely distributed over the sNTD surface. We have expanded our structural analysis using the sNTD variant in a complex with Vif-CBF</w:t>
      </w:r>
      <w:r w:rsidRPr="004857FD">
        <w:rPr>
          <w:rFonts w:ascii="Symbol" w:hAnsi="Symbol"/>
        </w:rPr>
        <w:t></w:t>
      </w:r>
      <w:r>
        <w:rPr>
          <w:rFonts w:ascii="Times New Roman" w:hAnsi="Times New Roman"/>
        </w:rPr>
        <w:t>-ELOB-ELOC (VCBC). Co-expression experiments using variants of sNTD and VCBC demonstrated that the wild-type amino acid F126 of A3G enhances complex formation [23]. Indeed, the full-length construct, sNTD-F126-CTD, suffers Vif-induced degradation, as does wild-type A3G [23]. Although sNTD-F126 forms a stable complex with VCBC, sNTD-F126 prevented structure analysis due to its poor solubility and purification profile (Extended Data Fig. 1c), which suggested the necessity for a solubility-enhanced A3G variant.</w:t>
      </w:r>
    </w:p>
    <w:p w14:paraId="548A80CD" w14:textId="77777777" w:rsidR="00E86171" w:rsidRDefault="00E86171" w:rsidP="00E86171">
      <w:pPr>
        <w:ind w:firstLine="840"/>
        <w:rPr>
          <w:rFonts w:ascii="Times New Roman" w:hAnsi="Times New Roman"/>
        </w:rPr>
      </w:pPr>
      <w:r>
        <w:rPr>
          <w:rFonts w:ascii="Times New Roman" w:hAnsi="Times New Roman"/>
        </w:rPr>
        <w:t>To improve the purification profile, we focused on the sNTD</w:t>
      </w:r>
      <w:r w:rsidRPr="004A406B">
        <w:rPr>
          <w:rFonts w:ascii="Symbol" w:hAnsi="Symbol"/>
        </w:rPr>
        <w:t></w:t>
      </w:r>
      <w:r w:rsidRPr="004A406B">
        <w:rPr>
          <w:rFonts w:ascii="Symbol" w:hAnsi="Symbol"/>
        </w:rPr>
        <w:t></w:t>
      </w:r>
      <w:r>
        <w:rPr>
          <w:rFonts w:ascii="Times New Roman" w:hAnsi="Times New Roman"/>
        </w:rPr>
        <w:t>1/</w:t>
      </w:r>
      <w:r w:rsidRPr="004A406B">
        <w:rPr>
          <w:rFonts w:ascii="Symbol" w:hAnsi="Symbol"/>
        </w:rPr>
        <w:t></w:t>
      </w:r>
      <w:r>
        <w:rPr>
          <w:rFonts w:ascii="Times New Roman" w:hAnsi="Times New Roman"/>
        </w:rPr>
        <w:t xml:space="preserve">2 loop region (Extended Data Fig. 1a, b). The solution structure showed that sNTD contains a relatively long loop between </w:t>
      </w:r>
      <w:r w:rsidRPr="004A406B">
        <w:rPr>
          <w:rFonts w:ascii="Symbol" w:hAnsi="Symbol"/>
        </w:rPr>
        <w:t></w:t>
      </w:r>
      <w:r>
        <w:rPr>
          <w:rFonts w:ascii="Times New Roman" w:hAnsi="Times New Roman"/>
        </w:rPr>
        <w:t xml:space="preserve">1 and </w:t>
      </w:r>
      <w:r w:rsidRPr="004A406B">
        <w:rPr>
          <w:rFonts w:ascii="Symbol" w:hAnsi="Symbol"/>
        </w:rPr>
        <w:t></w:t>
      </w:r>
      <w:r>
        <w:rPr>
          <w:rFonts w:ascii="Times New Roman" w:hAnsi="Times New Roman"/>
        </w:rPr>
        <w:t xml:space="preserve">2, compared with those of other A3s [23]. HSQC signals of amino acids in the loop of sNTD, L49, D50, and A51, were clearly split, implying that this loop structure underwent slow perturbation on a timescale of micro- to milli-seconds. To stabilize the conformation, amino acids of the </w:t>
      </w:r>
      <w:r w:rsidRPr="004A406B">
        <w:rPr>
          <w:rFonts w:ascii="Symbol" w:hAnsi="Symbol"/>
        </w:rPr>
        <w:t></w:t>
      </w:r>
      <w:r>
        <w:rPr>
          <w:rFonts w:ascii="Times New Roman" w:hAnsi="Times New Roman"/>
        </w:rPr>
        <w:t>1/</w:t>
      </w:r>
      <w:r w:rsidRPr="004A406B">
        <w:rPr>
          <w:rFonts w:ascii="Symbol" w:hAnsi="Symbol"/>
        </w:rPr>
        <w:t></w:t>
      </w:r>
      <w:r>
        <w:rPr>
          <w:rFonts w:ascii="Times New Roman" w:hAnsi="Times New Roman"/>
        </w:rPr>
        <w:t>2 loop were replaced with those of the "consensus" construct (Extended Data Fig. 1a) [23]. The newly prepared full-length A3G variant, sA3G, and its NTD alone could be fractionated into a single peak by size-exclusion chromatography (Fig. 1c and Extended Data Fig. 1d). Importantly, sA3G suffers Vif-induced degradation which is suppressible using the proteasome inhibitor, MG132, or by the sA3G mutation D128K (Extended data Fig. 1f, lanes 14 &amp; 19). We concluded that the sA3G construct was eligible for structure analysis of A3G-Vif interaction.</w:t>
      </w:r>
    </w:p>
    <w:p w14:paraId="607C257E" w14:textId="77777777" w:rsidR="00E86171" w:rsidRPr="00570290" w:rsidRDefault="00E86171" w:rsidP="00E86171">
      <w:pPr>
        <w:rPr>
          <w:rFonts w:ascii="Times New Roman" w:hAnsi="Times New Roman"/>
        </w:rPr>
      </w:pPr>
    </w:p>
    <w:p w14:paraId="15B737A1" w14:textId="77777777" w:rsidR="00E86171" w:rsidRPr="00FD2538" w:rsidRDefault="00E86171" w:rsidP="00E86171">
      <w:pPr>
        <w:rPr>
          <w:rFonts w:ascii="Times New Roman" w:hAnsi="Times New Roman"/>
        </w:rPr>
      </w:pPr>
      <w:r w:rsidRPr="00FD2538">
        <w:rPr>
          <w:rFonts w:ascii="Times New Roman" w:hAnsi="Times New Roman"/>
          <w:b/>
          <w:bCs/>
        </w:rPr>
        <w:t>Discovery of RNA involvement in the A3G-Vif interaction</w:t>
      </w:r>
    </w:p>
    <w:p w14:paraId="30DDE1B3" w14:textId="77777777" w:rsidR="00E86171" w:rsidRDefault="00E86171" w:rsidP="00E86171">
      <w:pPr>
        <w:rPr>
          <w:rFonts w:ascii="Times New Roman" w:hAnsi="Times New Roman"/>
        </w:rPr>
      </w:pPr>
      <w:r>
        <w:rPr>
          <w:rFonts w:ascii="Times New Roman" w:hAnsi="Times New Roman"/>
        </w:rPr>
        <w:t>Previously, the Vif-binding determinants of A3G were identified by co-purification of sNTD variants and VCBC [23]; sNTD was expressed as a glutathione S-transferase (GST)-fused protein, and the sNTD-VCBC complex was harvested on a glutathione (GSH) resin. When an amino acid replacement impaired formation of the complex, only the sNTD mutant was retained. The assay was applied to four variants possessing a mutated amino acid in the Vif-binding motif (Extended Data Fig. 2a and b). All mutants were purified with VCBC on GSH resin, except for sNTD-YFA (Extended Data Fig. 2b, lane 3), indicating the requirement of W127 for Vif-binding. When bound proteins were subjected to polyacrylamide gel electrophoresis and stained with a nucleotide-staining reagent, we found that all samples, except for sNTD-YFA, displayed a single prominent band between the 100- and 200-bp markers (Extended Data Fig. 2c). The band disappeared after treatment with RNase, whereas it was resistant to DNase (Extended Data Fig. 2d). These findings indicate that the harvested sNTD-VCBC complexes includes an RNA component.</w:t>
      </w:r>
    </w:p>
    <w:p w14:paraId="4B284B12" w14:textId="77777777" w:rsidR="00E86171" w:rsidRDefault="00E86171" w:rsidP="00E86171">
      <w:pPr>
        <w:ind w:firstLine="840"/>
        <w:rPr>
          <w:rFonts w:ascii="Times New Roman" w:hAnsi="Times New Roman"/>
        </w:rPr>
      </w:pPr>
      <w:r>
        <w:rPr>
          <w:rFonts w:ascii="Times New Roman" w:hAnsi="Times New Roman"/>
        </w:rPr>
        <w:t>Next, we conducted RNA cloning and sequencing. The RNA component was extracted from the harvested sNTD-F126-VCBC complex and subjected to RNA cloning. Sequences were obtained from seven clones (Extended Data Fig. 2e). All of them originated from their expression plasmid vector, and their sequences consistently corresponded to the 3´-part of the respective open reading frame plus the following region. We focused on a consensus sequence in the open reading frame of Vif, nucleotide bases 604 to 657, and selected 30 nucleotides, designated RNA-I-30 (see Table I) which included a predicted stem-loop structure.</w:t>
      </w:r>
    </w:p>
    <w:p w14:paraId="63D4D079" w14:textId="77777777" w:rsidR="00E86171" w:rsidRDefault="00E86171" w:rsidP="00E86171">
      <w:pPr>
        <w:ind w:firstLine="840"/>
        <w:rPr>
          <w:rFonts w:ascii="Times New Roman" w:hAnsi="Times New Roman"/>
        </w:rPr>
      </w:pPr>
      <w:r>
        <w:rPr>
          <w:rFonts w:ascii="Times New Roman" w:hAnsi="Times New Roman"/>
        </w:rPr>
        <w:t>A synthetic RNA oligomer RNA-I-30 was prepared to test reconstitution of the sNTD-VCBC complex. As expected, the RNA-I-30 oligomer reproduced the sNTD-VCBC complex with individually purified proteins (Extended Data Fig. 2f). Even shorter RNA oligomers, such as RNA-I-20 and RNA-I-25, also mediated complex formation, although RNA-I-10 and RNA-I-15 apparently attenuated this capability (Extended Data Fig. 2f, lanes 4, 5 and Table I). We also tested complex formation using full-length A3G constructs with polynucleotide RNA-I-25 or DNA-T25 (Extended Data Fig. 2g and Table I). In the presence of DNA-T25, none of them produced the complex (Extended Data Fig. 2g, lanes 2-5). Three constructs, sNTD-F126-CTD, sNTD-AFW-CTD and sNTD-CTD, bind VCBC in the presence of RNA-I-25. In particular, sNTD-F126-CTD enhanced complex formation (Extended Data Fig. 2g, lanes 6-7), whereas no complex formation was observed for sNTD-YFA-CTD (Extended Data Fig. 2g, lane 8). These observations are consistent with the result of our co-expression assay (Extended Data Fig. 2b). Taken together, we concluded that a specific RNA oligomer successfully captures the sNTD-VCBC complex.</w:t>
      </w:r>
    </w:p>
    <w:p w14:paraId="764E911D" w14:textId="77777777" w:rsidR="00E86171" w:rsidRDefault="00E86171" w:rsidP="00E86171">
      <w:pPr>
        <w:rPr>
          <w:rFonts w:ascii="Times New Roman" w:hAnsi="Times New Roman"/>
        </w:rPr>
      </w:pPr>
    </w:p>
    <w:p w14:paraId="3F21F999" w14:textId="77777777" w:rsidR="00E86171" w:rsidRPr="00F520E8" w:rsidRDefault="00E86171" w:rsidP="00E86171">
      <w:pPr>
        <w:rPr>
          <w:rFonts w:ascii="Times New Roman" w:hAnsi="Times New Roman"/>
          <w:b/>
          <w:bCs/>
        </w:rPr>
      </w:pPr>
      <w:r>
        <w:rPr>
          <w:rFonts w:ascii="Times New Roman" w:hAnsi="Times New Roman"/>
          <w:b/>
          <w:bCs/>
        </w:rPr>
        <w:t>S</w:t>
      </w:r>
      <w:r w:rsidRPr="00F520E8">
        <w:rPr>
          <w:rFonts w:ascii="Times New Roman" w:hAnsi="Times New Roman"/>
          <w:b/>
          <w:bCs/>
        </w:rPr>
        <w:t xml:space="preserve">tructure-guided ligand RNA optimization </w:t>
      </w:r>
      <w:r>
        <w:rPr>
          <w:rFonts w:ascii="Times New Roman" w:hAnsi="Times New Roman"/>
          <w:b/>
          <w:bCs/>
        </w:rPr>
        <w:t>by iterative cryo-EM</w:t>
      </w:r>
      <w:r w:rsidRPr="00F520E8">
        <w:rPr>
          <w:rFonts w:ascii="Times New Roman" w:hAnsi="Times New Roman"/>
          <w:b/>
          <w:bCs/>
        </w:rPr>
        <w:t xml:space="preserve"> analysis</w:t>
      </w:r>
    </w:p>
    <w:p w14:paraId="15714A5C" w14:textId="77777777" w:rsidR="00E86171" w:rsidRDefault="00E86171" w:rsidP="00E86171">
      <w:pPr>
        <w:rPr>
          <w:rFonts w:ascii="Times New Roman" w:hAnsi="Times New Roman"/>
        </w:rPr>
      </w:pPr>
      <w:r>
        <w:rPr>
          <w:rFonts w:ascii="Times New Roman" w:hAnsi="Times New Roman"/>
        </w:rPr>
        <w:t xml:space="preserve">We developed a solubility-enhanced A3G variant, sA3G. In addition, we found an RNA fragment leading to stable sNTD-VCBC complex formation </w:t>
      </w:r>
      <w:r w:rsidRPr="004022B3">
        <w:rPr>
          <w:rFonts w:ascii="Times New Roman" w:hAnsi="Times New Roman"/>
          <w:i/>
          <w:iCs/>
        </w:rPr>
        <w:t>in vitro</w:t>
      </w:r>
      <w:r>
        <w:rPr>
          <w:rFonts w:ascii="Times New Roman" w:hAnsi="Times New Roman"/>
        </w:rPr>
        <w:t>. Our insights on A3G and RNA in combination with a Vif-CBF</w:t>
      </w:r>
      <w:r w:rsidRPr="00CE3152">
        <w:rPr>
          <w:rFonts w:ascii="Symbol" w:hAnsi="Symbol"/>
        </w:rPr>
        <w:t></w:t>
      </w:r>
      <w:r>
        <w:rPr>
          <w:rFonts w:ascii="Times New Roman" w:hAnsi="Times New Roman"/>
        </w:rPr>
        <w:t xml:space="preserve"> construct (VC) by Hu </w:t>
      </w:r>
      <w:r w:rsidRPr="00CB3FF3">
        <w:rPr>
          <w:rFonts w:ascii="Times New Roman" w:hAnsi="Times New Roman"/>
          <w:i/>
          <w:iCs/>
        </w:rPr>
        <w:t>et al</w:t>
      </w:r>
      <w:r>
        <w:rPr>
          <w:rFonts w:ascii="Times New Roman" w:hAnsi="Times New Roman"/>
          <w:i/>
          <w:iCs/>
        </w:rPr>
        <w:t>.</w:t>
      </w:r>
      <w:r>
        <w:rPr>
          <w:rFonts w:ascii="Times New Roman" w:hAnsi="Times New Roman"/>
        </w:rPr>
        <w:t xml:space="preserve"> [39] enabled us to prepare a stable complex, sA3G-VC-RNA (Extended Data Fig. 3a-c), and the purified complex resulted in a homogeneous particle distribution observed by negative staining TEM (Extended Data Fig. 3e).</w:t>
      </w:r>
    </w:p>
    <w:p w14:paraId="363E74DA" w14:textId="77777777" w:rsidR="00E86171" w:rsidRDefault="00E86171" w:rsidP="00E86171">
      <w:pPr>
        <w:ind w:firstLine="840"/>
        <w:rPr>
          <w:rFonts w:ascii="Times New Roman" w:hAnsi="Times New Roman"/>
        </w:rPr>
      </w:pPr>
      <w:r>
        <w:rPr>
          <w:rFonts w:ascii="Times New Roman" w:hAnsi="Times New Roman"/>
        </w:rPr>
        <w:t xml:space="preserve">First, we prepared the sA3G-VC complex using an RNA fragment RNA-I-20 (Extended Data Fig. 3a) and collected a cryo-EM dataset. Image processing steps followed a procedure shown in Extended Data Figure 4. The refined C2-symmetrized map indicated 4.2 Å resolution based on the Fourier shell correlation (FSC) using the 0.143 criterion (Extended Data Fig. 6b, c). The map clearly showed a β-sheet with a bump and a cylindrical feature at the center of complex (Extended Data Fig. 6a, </w:t>
      </w:r>
      <w:r w:rsidRPr="00DD1431">
        <w:rPr>
          <w:rFonts w:ascii="Times New Roman" w:hAnsi="Times New Roman"/>
        </w:rPr>
        <w:t>green</w:t>
      </w:r>
      <w:r>
        <w:rPr>
          <w:rFonts w:ascii="Times New Roman" w:hAnsi="Times New Roman"/>
        </w:rPr>
        <w:t>), which fit a single-domain model of A3G</w:t>
      </w:r>
      <w:r w:rsidRPr="003F6476">
        <w:rPr>
          <w:rFonts w:ascii="Times New Roman" w:hAnsi="Times New Roman"/>
        </w:rPr>
        <w:t xml:space="preserve"> </w:t>
      </w:r>
      <w:r>
        <w:rPr>
          <w:rFonts w:ascii="Times New Roman" w:hAnsi="Times New Roman"/>
        </w:rPr>
        <w:t xml:space="preserve">nicely. It was assigned to the NTD, considering that the cylindrical map was followed by another A3G-shaped density, </w:t>
      </w:r>
      <w:r w:rsidRPr="006422D2">
        <w:rPr>
          <w:rFonts w:ascii="Times New Roman" w:hAnsi="Times New Roman"/>
        </w:rPr>
        <w:t>interpreted as</w:t>
      </w:r>
      <w:r>
        <w:rPr>
          <w:rFonts w:ascii="Times New Roman" w:hAnsi="Times New Roman"/>
        </w:rPr>
        <w:t xml:space="preserve"> sA3G CTD, which projects away from the center of the complex (Extended Data Fig. 6a, light green). Unexpectedly, the maps showed four VC components grouped around two sA3Gs, demonstrating that sA3G and VC form a complex with 1:2 stoichiometry in a C2 rotational symmetry (we designated the two VC components in a single asymmetrical unit as VC</w:t>
      </w:r>
      <w:r w:rsidRPr="0091541D">
        <w:rPr>
          <w:rFonts w:ascii="Times New Roman" w:hAnsi="Times New Roman"/>
          <w:vertAlign w:val="superscript"/>
        </w:rPr>
        <w:t>red</w:t>
      </w:r>
      <w:r>
        <w:rPr>
          <w:rFonts w:ascii="Times New Roman" w:hAnsi="Times New Roman"/>
        </w:rPr>
        <w:t xml:space="preserve"> and VC</w:t>
      </w:r>
      <w:r w:rsidRPr="0091541D">
        <w:rPr>
          <w:rFonts w:ascii="Times New Roman" w:hAnsi="Times New Roman"/>
          <w:vertAlign w:val="superscript"/>
        </w:rPr>
        <w:t>blue</w:t>
      </w:r>
      <w:r>
        <w:rPr>
          <w:rFonts w:ascii="Times New Roman" w:hAnsi="Times New Roman"/>
        </w:rPr>
        <w:t>, as colored in Figure 1f). After fitting sA3G and VC models to the map, some map features still remained to be assigned (Extended Data Fig. 6a, yellow). These were most likely ligand RNA, although at this stage it remained uncertain.</w:t>
      </w:r>
    </w:p>
    <w:p w14:paraId="1515A956" w14:textId="77777777" w:rsidR="00E86171" w:rsidRDefault="00E86171" w:rsidP="00E86171">
      <w:pPr>
        <w:ind w:firstLine="840"/>
        <w:rPr>
          <w:rFonts w:ascii="Times New Roman" w:hAnsi="Times New Roman"/>
        </w:rPr>
      </w:pPr>
      <w:r>
        <w:rPr>
          <w:rFonts w:ascii="Times New Roman" w:hAnsi="Times New Roman"/>
        </w:rPr>
        <w:t>We found further that another RNA oligomer, RNA-II-20, in which the 4th and 5th adenines were replaced by uracils, enhanced sA3G-VC complex formation (Extended Data Fig. 3b and Table I). The prepared complex sA3G-VC-RNA was subjected to cryo-EM analysis. Single-particle image data were processed with the previous map as an initial alignment reference (Extended Data Fig. 5a). The new cryo-EM map indicated improved resolution (Extended Data Fig. 6f, g). Although the map quality was not sufficient to discuss details of RNA binding to sA3G and VC, the RNA moiety appeared to pass through a narrow cavity between sA3G and VC</w:t>
      </w:r>
      <w:r w:rsidRPr="00C741D2">
        <w:rPr>
          <w:rFonts w:ascii="Times New Roman" w:hAnsi="Times New Roman"/>
          <w:vertAlign w:val="superscript"/>
        </w:rPr>
        <w:t>blue</w:t>
      </w:r>
      <w:r>
        <w:rPr>
          <w:rFonts w:ascii="Times New Roman" w:hAnsi="Times New Roman"/>
        </w:rPr>
        <w:t>, and both of its ends contained relatively well-resolved features (Extended Data Fig. 6e and 9c, d). One end flanked by sA3G and VC</w:t>
      </w:r>
      <w:r w:rsidRPr="00C3039F">
        <w:rPr>
          <w:rFonts w:ascii="Times New Roman" w:hAnsi="Times New Roman"/>
          <w:vertAlign w:val="superscript"/>
        </w:rPr>
        <w:t>red</w:t>
      </w:r>
      <w:r>
        <w:rPr>
          <w:rFonts w:ascii="Times New Roman" w:hAnsi="Times New Roman"/>
        </w:rPr>
        <w:t xml:space="preserve"> and another end seemed to be accommodated in a shallow pocket of VC-blue (Extended Data Fig. 6e). Based on this interpretation, we presumed that the middle part of the RNA ligand may prefer pyrimidine bases to relieve steric hindrance and to fit into the narrow cavity between sA3G and VC</w:t>
      </w:r>
      <w:r w:rsidRPr="00D751E1">
        <w:rPr>
          <w:rFonts w:ascii="Times New Roman" w:hAnsi="Times New Roman"/>
          <w:vertAlign w:val="superscript"/>
        </w:rPr>
        <w:t>blue</w:t>
      </w:r>
      <w:r>
        <w:rPr>
          <w:rFonts w:ascii="Times New Roman" w:hAnsi="Times New Roman"/>
        </w:rPr>
        <w:t>. As expected, complex formation was further increased when using an RNA oligomer, RNA-III-20, in which the 13</w:t>
      </w:r>
      <w:r w:rsidRPr="00CD3835">
        <w:rPr>
          <w:rFonts w:ascii="Times New Roman" w:hAnsi="Times New Roman"/>
          <w:vertAlign w:val="superscript"/>
        </w:rPr>
        <w:t>th</w:t>
      </w:r>
      <w:r>
        <w:rPr>
          <w:rFonts w:ascii="Times New Roman" w:hAnsi="Times New Roman"/>
        </w:rPr>
        <w:t xml:space="preserve"> and 14</w:t>
      </w:r>
      <w:r w:rsidRPr="00CD3835">
        <w:rPr>
          <w:rFonts w:ascii="Times New Roman" w:hAnsi="Times New Roman"/>
          <w:vertAlign w:val="superscript"/>
        </w:rPr>
        <w:t>th</w:t>
      </w:r>
      <w:r>
        <w:rPr>
          <w:rFonts w:ascii="Times New Roman" w:hAnsi="Times New Roman"/>
        </w:rPr>
        <w:t xml:space="preserve"> guanines were replaced with uracils (Extended Data Fig. 3c), whereas additional uracil replacement of the 9</w:t>
      </w:r>
      <w:r w:rsidRPr="00CD3835">
        <w:rPr>
          <w:rFonts w:ascii="Times New Roman" w:hAnsi="Times New Roman"/>
          <w:vertAlign w:val="superscript"/>
        </w:rPr>
        <w:t>th</w:t>
      </w:r>
      <w:r>
        <w:rPr>
          <w:rFonts w:ascii="Times New Roman" w:hAnsi="Times New Roman"/>
        </w:rPr>
        <w:t xml:space="preserve"> and 10</w:t>
      </w:r>
      <w:r w:rsidRPr="00CD3835">
        <w:rPr>
          <w:rFonts w:ascii="Times New Roman" w:hAnsi="Times New Roman"/>
          <w:vertAlign w:val="superscript"/>
        </w:rPr>
        <w:t>th</w:t>
      </w:r>
      <w:r>
        <w:rPr>
          <w:rFonts w:ascii="Times New Roman" w:hAnsi="Times New Roman"/>
        </w:rPr>
        <w:t xml:space="preserve"> nucleotides abolished this increase (Extended Data Fig. 3d, RNA-III-20a). Intriguingly, a drastic loss of complex formation was observed by removal of a single nucleotide at the center of the sequence (Extended Data Fig. 3d, RNA-III-20d). Truncations of peripheral nucleotides also decreased complex formation significantly (Extended Data Fig. 3d, RNA-III-20b and c). Thus, the ligand RNA prefers less bulkiness in its middle and requires sufficient length for efficient complex formation.</w:t>
      </w:r>
    </w:p>
    <w:p w14:paraId="7B0E0F6C" w14:textId="77777777" w:rsidR="00E86171" w:rsidRDefault="00E86171" w:rsidP="00E86171">
      <w:pPr>
        <w:ind w:firstLine="840"/>
        <w:rPr>
          <w:rFonts w:ascii="Times New Roman" w:hAnsi="Times New Roman"/>
        </w:rPr>
      </w:pPr>
      <w:r>
        <w:rPr>
          <w:rFonts w:ascii="Times New Roman" w:hAnsi="Times New Roman"/>
        </w:rPr>
        <w:t>The RNA oligomer, RNA-III-20 (referred to as RNA20 hereafter and in the main text), was used for complex formation and cryo-EM data collection.</w:t>
      </w:r>
      <w:bookmarkStart w:id="0" w:name="OLE_LINK1"/>
      <w:r>
        <w:rPr>
          <w:rFonts w:ascii="Times New Roman" w:hAnsi="Times New Roman"/>
        </w:rPr>
        <w:t xml:space="preserve"> Data processing followed a scheme described above (Extended Data Fig. 5b). The resulting 3D reconstruction reached 2.8 Å resolution and included the entire complex structure (Extended Data Fig. 6j, k).</w:t>
      </w:r>
      <w:bookmarkEnd w:id="0"/>
      <w:r>
        <w:rPr>
          <w:rFonts w:ascii="Times New Roman" w:hAnsi="Times New Roman"/>
        </w:rPr>
        <w:t xml:space="preserve"> The map of the ligand RNA contained finer features and allowed conclusive assignment for some nucleotide bases, pyrimidine or purine, and the directionality of the polynucleotide. We concluded that the complex structure obtained using RNA20 had sufficient quality to warrant detailed interpretation of molecular features. Further results are discussed in the main text.</w:t>
      </w:r>
    </w:p>
    <w:p w14:paraId="65729180" w14:textId="77777777" w:rsidR="00E86171" w:rsidRDefault="00E86171" w:rsidP="00E86171">
      <w:pPr>
        <w:rPr>
          <w:rFonts w:ascii="Times New Roman" w:hAnsi="Times New Roman"/>
        </w:rPr>
      </w:pPr>
    </w:p>
    <w:p w14:paraId="7744D1A9" w14:textId="77777777" w:rsidR="00E86171" w:rsidRPr="000B1D30" w:rsidRDefault="00E86171" w:rsidP="00E86171">
      <w:pPr>
        <w:rPr>
          <w:rFonts w:ascii="Times New Roman" w:hAnsi="Times New Roman"/>
          <w:b/>
          <w:bCs/>
        </w:rPr>
      </w:pPr>
      <w:r w:rsidRPr="000B1D30">
        <w:rPr>
          <w:rFonts w:ascii="Times New Roman" w:hAnsi="Times New Roman" w:hint="eastAsia"/>
          <w:b/>
          <w:bCs/>
        </w:rPr>
        <w:t>E</w:t>
      </w:r>
      <w:r w:rsidRPr="000B1D30">
        <w:rPr>
          <w:rFonts w:ascii="Times New Roman" w:hAnsi="Times New Roman"/>
          <w:b/>
          <w:bCs/>
        </w:rPr>
        <w:t>ffect of rC-to-rU replacement on ligand RNA conformation</w:t>
      </w:r>
    </w:p>
    <w:p w14:paraId="262C2B65" w14:textId="77777777" w:rsidR="00E86171" w:rsidRDefault="00E86171" w:rsidP="00E86171">
      <w:pPr>
        <w:rPr>
          <w:rFonts w:ascii="Times New Roman" w:hAnsi="Times New Roman"/>
          <w:b/>
          <w:bCs/>
        </w:rPr>
      </w:pPr>
      <w:r>
        <w:rPr>
          <w:rFonts w:ascii="Times New Roman" w:hAnsi="Times New Roman"/>
        </w:rPr>
        <w:t xml:space="preserve">Additionally, we found that an RNA oligomer, RNA-IV-20, with a C9-to-U9 replacement even further enhances complex formation (Extended Data Fig. 3c and Table I). We collected a cryo-EM dataset and processed particle images using a similar scheme (Extended Data Fig. 5c). The resulting map indicated </w:t>
      </w:r>
      <w:r w:rsidRPr="00CC5EA6">
        <w:rPr>
          <w:rFonts w:ascii="Times New Roman" w:hAnsi="Times New Roman"/>
        </w:rPr>
        <w:t>2.5 Å</w:t>
      </w:r>
      <w:r>
        <w:rPr>
          <w:rFonts w:ascii="Times New Roman" w:hAnsi="Times New Roman"/>
        </w:rPr>
        <w:t xml:space="preserve"> resolution (Extended Data Fig. 6n, o). Although the protein arrangement was essentially identical to previous models (Extended Data Fig. 6m), the map suggests that replacement of C9-to-U9 caused a drastic change in the ligand RNA conformation (Extended Data Fig. 9i-l). The base, rC9, in RNA20 points toward the zinc-binding motif of sA3G (Extended Data Fig. 9i, j), whereas base rU9 in RNA-IV-20 is located away from the pocket and aligned parallel to base rC1 (Extended Data Fig. 9k, l). This enabled base rG10 to gain closer access to the surface of VC</w:t>
      </w:r>
      <w:r w:rsidRPr="00692045">
        <w:rPr>
          <w:rFonts w:ascii="Times New Roman" w:hAnsi="Times New Roman"/>
          <w:vertAlign w:val="superscript"/>
        </w:rPr>
        <w:t>blue</w:t>
      </w:r>
      <w:r>
        <w:rPr>
          <w:rFonts w:ascii="Times New Roman" w:hAnsi="Times New Roman"/>
        </w:rPr>
        <w:t xml:space="preserve"> and </w:t>
      </w:r>
      <w:r>
        <w:rPr>
          <w:rFonts w:ascii="Times New Roman" w:hAnsi="Times New Roman"/>
        </w:rPr>
        <w:lastRenderedPageBreak/>
        <w:t>to establish a larger contact area, which seems to stabilize the VC</w:t>
      </w:r>
      <w:r w:rsidRPr="00692045">
        <w:rPr>
          <w:rFonts w:ascii="Times New Roman" w:hAnsi="Times New Roman"/>
          <w:vertAlign w:val="superscript"/>
        </w:rPr>
        <w:t>blue</w:t>
      </w:r>
      <w:r>
        <w:rPr>
          <w:rFonts w:ascii="Times New Roman" w:hAnsi="Times New Roman"/>
        </w:rPr>
        <w:t>-RNA interaction. The atomic model of sA3G-VC-RNA-IV-20 also informed interpretation of unknown map features in the reconstruction of the sA3G-VC-RNA20 complex. After the atomic model of RNA20 was fit into the map, an extra densi</w:t>
      </w:r>
      <w:r>
        <w:rPr>
          <w:rFonts w:ascii="Times New Roman" w:hAnsi="Times New Roman" w:hint="eastAsia"/>
        </w:rPr>
        <w:t>ty</w:t>
      </w:r>
      <w:r>
        <w:rPr>
          <w:rFonts w:ascii="Times New Roman" w:hAnsi="Times New Roman"/>
        </w:rPr>
        <w:t xml:space="preserve"> remained to be assigned (Extended Data Fig. 9i, asterisk). There was an obvious gap between the assigned and unassigned maps. (Extended Data Fig. 9i, arrow). Interestingly, the gap was not observed in the cryo-EM map of sA3G-VC-RNA-IV-20. Instead, another gap appeared</w:t>
      </w:r>
      <w:r>
        <w:rPr>
          <w:rFonts w:ascii="Times New Roman" w:hAnsi="Times New Roman" w:hint="eastAsia"/>
        </w:rPr>
        <w:t xml:space="preserve"> </w:t>
      </w:r>
      <w:r>
        <w:rPr>
          <w:rFonts w:ascii="Times New Roman" w:hAnsi="Times New Roman"/>
        </w:rPr>
        <w:t xml:space="preserve">at a location corresponding to a connection between rC9 and rG10 in the sA3G-VC-RNA20 model (Extended Data Fig. 9k, arrow). These alternating maps consistently support the hypothesis that C9-to-U9 replacement leads to a conformational change of the RNA. The map feature corresponding to the unknown density in sA3G-VC-RNA20 fit confidently to nucleotide rG10 in sA3G-VC-RNA-IV-20. In addition, the unknown density in the sA3G-VC-RNA20 map can be assigned to rG10 of a minor RNA conformation. Thus, the map comparison between RNA20 and RNA-IV-20 suggests a local conformational change and a transient state around nucleotide rC9/rU9 of the ligand RNA. In contrast, other parts of the reconstruction, </w:t>
      </w:r>
      <w:r w:rsidRPr="00692045">
        <w:rPr>
          <w:rFonts w:ascii="Times New Roman" w:hAnsi="Times New Roman"/>
          <w:i/>
          <w:iCs/>
        </w:rPr>
        <w:t>i.e</w:t>
      </w:r>
      <w:r>
        <w:rPr>
          <w:rFonts w:ascii="Times New Roman" w:hAnsi="Times New Roman"/>
          <w:i/>
          <w:iCs/>
        </w:rPr>
        <w:t>.,</w:t>
      </w:r>
      <w:r>
        <w:rPr>
          <w:rFonts w:ascii="Times New Roman" w:hAnsi="Times New Roman"/>
        </w:rPr>
        <w:t xml:space="preserve"> nucleotides rC1 to rA7 and rU12 to rA18, were not significantly affected by the C9-to-U9 replacement (Extended Data Fig. 9m-p).</w:t>
      </w:r>
    </w:p>
    <w:p w14:paraId="078983DB" w14:textId="77777777" w:rsidR="00E86171" w:rsidRDefault="00E86171" w:rsidP="00E86171">
      <w:pPr>
        <w:rPr>
          <w:rFonts w:ascii="Times New Roman" w:hAnsi="Times New Roman"/>
          <w:b/>
          <w:bCs/>
        </w:rPr>
      </w:pPr>
    </w:p>
    <w:p w14:paraId="7301CA69" w14:textId="77777777" w:rsidR="001760E5" w:rsidRDefault="00E86171"/>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Yu Mincho"/>
    <w:charset w:val="80"/>
    <w:family w:val="roman"/>
    <w:pitch w:val="variable"/>
    <w:sig w:usb0="800002E7" w:usb1="2AC7FCFF" w:usb2="00000012" w:usb3="00000000" w:csb0="0002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171"/>
    <w:rsid w:val="006E225C"/>
    <w:rsid w:val="008A3324"/>
    <w:rsid w:val="0096107C"/>
    <w:rsid w:val="00996CDB"/>
    <w:rsid w:val="009B6A41"/>
    <w:rsid w:val="00BA546E"/>
    <w:rsid w:val="00E17A31"/>
    <w:rsid w:val="00E86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A1217"/>
  <w15:chartTrackingRefBased/>
  <w15:docId w15:val="{59492E0B-7E14-4644-8D8B-B73102246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171"/>
    <w:pPr>
      <w:widowControl w:val="0"/>
      <w:spacing w:after="0" w:line="240" w:lineRule="auto"/>
      <w:jc w:val="both"/>
    </w:pPr>
    <w:rPr>
      <w:rFonts w:ascii="Yu Mincho" w:eastAsia="Yu Mincho" w:hAnsi="Yu Mincho" w:cs="Times New Roman"/>
      <w:kern w:val="2"/>
      <w:sz w:val="21"/>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1722</Words>
  <Characters>9816</Characters>
  <Application>Microsoft Office Word</Application>
  <DocSecurity>0</DocSecurity>
  <Lines>81</Lines>
  <Paragraphs>23</Paragraphs>
  <ScaleCrop>false</ScaleCrop>
  <Company>Springer Nature</Company>
  <LinksUpToDate>false</LinksUpToDate>
  <CharactersWithSpaces>11515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2023-01-03T05:51:00Z</dcterms:created>
  <dcterms:modified xsi:type="dcterms:W3CDTF">2023-01-03T05:51:00Z</dcterms:modified>
</cp:coreProperties>
</file>