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516C37" w14:textId="325D283B" w:rsidR="00303DBD" w:rsidRDefault="00303DBD" w:rsidP="00303DBD">
      <w:pPr>
        <w:pStyle w:val="Caption"/>
        <w:jc w:val="both"/>
        <w:rPr>
          <w:rFonts w:ascii="Times New Roman" w:eastAsia="Times New Roman" w:hAnsi="Times New Roman" w:cs="Times New Roman"/>
        </w:rPr>
      </w:pPr>
      <w:r>
        <w:rPr>
          <w:rFonts w:ascii="Times New Roman" w:hAnsi="Times New Roman"/>
        </w:rPr>
        <w:t>Table 1 Molecular dynamics simulations concerning the effects of electric field on the morphology of the membrane with respect to the electroporation threshold, surface tension of the membrane and cholesterol content in the membrane patch.</w:t>
      </w:r>
    </w:p>
    <w:tbl>
      <w:tblPr>
        <w:tblStyle w:val="TableGrid"/>
        <w:tblW w:w="0" w:type="auto"/>
        <w:tblLook w:val="04A0" w:firstRow="1" w:lastRow="0" w:firstColumn="1" w:lastColumn="0" w:noHBand="0" w:noVBand="1"/>
      </w:tblPr>
      <w:tblGrid>
        <w:gridCol w:w="1450"/>
        <w:gridCol w:w="1763"/>
        <w:gridCol w:w="1956"/>
        <w:gridCol w:w="1960"/>
        <w:gridCol w:w="2221"/>
      </w:tblGrid>
      <w:tr w:rsidR="00303DBD" w14:paraId="56849C60" w14:textId="77777777" w:rsidTr="00BC6E91">
        <w:tc>
          <w:tcPr>
            <w:tcW w:w="1870" w:type="dxa"/>
          </w:tcPr>
          <w:p w14:paraId="65B11E65"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p>
        </w:tc>
        <w:tc>
          <w:tcPr>
            <w:tcW w:w="1870" w:type="dxa"/>
          </w:tcPr>
          <w:p w14:paraId="56E7ED2C"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noProof/>
                <w14:textOutline w14:w="0" w14:cap="rnd" w14:cmpd="sng" w14:algn="ctr">
                  <w14:noFill/>
                  <w14:prstDash w14:val="solid"/>
                  <w14:bevel/>
                </w14:textOutline>
              </w:rPr>
              <w:drawing>
                <wp:inline distT="0" distB="0" distL="0" distR="0" wp14:anchorId="37D504B5" wp14:editId="022273BE">
                  <wp:extent cx="978794" cy="213828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994910" cy="2173497"/>
                          </a:xfrm>
                          <a:prstGeom prst="rect">
                            <a:avLst/>
                          </a:prstGeom>
                        </pic:spPr>
                      </pic:pic>
                    </a:graphicData>
                  </a:graphic>
                </wp:inline>
              </w:drawing>
            </w:r>
          </w:p>
        </w:tc>
        <w:tc>
          <w:tcPr>
            <w:tcW w:w="1870" w:type="dxa"/>
          </w:tcPr>
          <w:p w14:paraId="1A8291B8"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noProof/>
                <w14:textOutline w14:w="0" w14:cap="rnd" w14:cmpd="sng" w14:algn="ctr">
                  <w14:noFill/>
                  <w14:prstDash w14:val="solid"/>
                  <w14:bevel/>
                </w14:textOutline>
              </w:rPr>
              <w:drawing>
                <wp:inline distT="0" distB="0" distL="0" distR="0" wp14:anchorId="7EBEE748" wp14:editId="7CBBBC40">
                  <wp:extent cx="1098718" cy="2138045"/>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1117858" cy="2175290"/>
                          </a:xfrm>
                          <a:prstGeom prst="rect">
                            <a:avLst/>
                          </a:prstGeom>
                        </pic:spPr>
                      </pic:pic>
                    </a:graphicData>
                  </a:graphic>
                </wp:inline>
              </w:drawing>
            </w:r>
          </w:p>
        </w:tc>
        <w:tc>
          <w:tcPr>
            <w:tcW w:w="1870" w:type="dxa"/>
          </w:tcPr>
          <w:p w14:paraId="1E1D066E"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noProof/>
                <w14:textOutline w14:w="0" w14:cap="rnd" w14:cmpd="sng" w14:algn="ctr">
                  <w14:noFill/>
                  <w14:prstDash w14:val="solid"/>
                  <w14:bevel/>
                </w14:textOutline>
              </w:rPr>
              <w:drawing>
                <wp:inline distT="0" distB="0" distL="0" distR="0" wp14:anchorId="4931E733" wp14:editId="1A7F646C">
                  <wp:extent cx="1107832" cy="2138045"/>
                  <wp:effectExtent l="0" t="0" r="0" b="0"/>
                  <wp:docPr id="11" name="Picture 11" descr="A picture containing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fabric&#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120362" cy="2162228"/>
                          </a:xfrm>
                          <a:prstGeom prst="rect">
                            <a:avLst/>
                          </a:prstGeom>
                        </pic:spPr>
                      </pic:pic>
                    </a:graphicData>
                  </a:graphic>
                </wp:inline>
              </w:drawing>
            </w:r>
          </w:p>
        </w:tc>
        <w:tc>
          <w:tcPr>
            <w:tcW w:w="1870" w:type="dxa"/>
          </w:tcPr>
          <w:p w14:paraId="5A8C617B"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noProof/>
                <w14:textOutline w14:w="0" w14:cap="rnd" w14:cmpd="sng" w14:algn="ctr">
                  <w14:noFill/>
                  <w14:prstDash w14:val="solid"/>
                  <w14:bevel/>
                </w14:textOutline>
              </w:rPr>
              <w:drawing>
                <wp:inline distT="0" distB="0" distL="0" distR="0" wp14:anchorId="243C555C" wp14:editId="39A360E5">
                  <wp:extent cx="1273218" cy="2138045"/>
                  <wp:effectExtent l="0" t="0" r="0" b="0"/>
                  <wp:docPr id="9" name="Picture 9"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background patter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1283856" cy="2155909"/>
                          </a:xfrm>
                          <a:prstGeom prst="rect">
                            <a:avLst/>
                          </a:prstGeom>
                        </pic:spPr>
                      </pic:pic>
                    </a:graphicData>
                  </a:graphic>
                </wp:inline>
              </w:drawing>
            </w:r>
          </w:p>
        </w:tc>
      </w:tr>
      <w:tr w:rsidR="00303DBD" w14:paraId="1597E185" w14:textId="77777777" w:rsidTr="00BC6E91">
        <w:tc>
          <w:tcPr>
            <w:tcW w:w="1870" w:type="dxa"/>
          </w:tcPr>
          <w:p w14:paraId="386FEFE8"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Relation to the electroporation threshold</w:t>
            </w:r>
          </w:p>
        </w:tc>
        <w:tc>
          <w:tcPr>
            <w:tcW w:w="1870" w:type="dxa"/>
          </w:tcPr>
          <w:p w14:paraId="395379BD"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Just below</w:t>
            </w:r>
          </w:p>
        </w:tc>
        <w:tc>
          <w:tcPr>
            <w:tcW w:w="1870" w:type="dxa"/>
          </w:tcPr>
          <w:p w14:paraId="5272150F" w14:textId="77777777" w:rsidR="00303DBD" w:rsidRPr="001F52E5"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color w:val="FF0000"/>
              </w:rPr>
            </w:pPr>
            <w:r w:rsidRPr="001F52E5">
              <w:rPr>
                <w:rFonts w:ascii="Times New Roman" w:eastAsia="Times New Roman" w:hAnsi="Times New Roman" w:cs="Times New Roman"/>
                <w:color w:val="FF0000"/>
              </w:rPr>
              <w:t>Just over</w:t>
            </w:r>
          </w:p>
        </w:tc>
        <w:tc>
          <w:tcPr>
            <w:tcW w:w="1870" w:type="dxa"/>
          </w:tcPr>
          <w:p w14:paraId="7D9ED2A3"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Just below</w:t>
            </w:r>
          </w:p>
        </w:tc>
        <w:tc>
          <w:tcPr>
            <w:tcW w:w="1870" w:type="dxa"/>
          </w:tcPr>
          <w:p w14:paraId="5103B086"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Just below</w:t>
            </w:r>
          </w:p>
        </w:tc>
      </w:tr>
      <w:tr w:rsidR="00303DBD" w14:paraId="021729B2" w14:textId="77777777" w:rsidTr="00BC6E91">
        <w:tc>
          <w:tcPr>
            <w:tcW w:w="1870" w:type="dxa"/>
          </w:tcPr>
          <w:p w14:paraId="7EB360D0"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Surface tension of the membrane</w:t>
            </w:r>
          </w:p>
        </w:tc>
        <w:tc>
          <w:tcPr>
            <w:tcW w:w="1870" w:type="dxa"/>
          </w:tcPr>
          <w:p w14:paraId="4295FFED"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Low (-30 mN/m)</w:t>
            </w:r>
          </w:p>
        </w:tc>
        <w:tc>
          <w:tcPr>
            <w:tcW w:w="1870" w:type="dxa"/>
          </w:tcPr>
          <w:p w14:paraId="0F880463"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Low (-30 mN/m)</w:t>
            </w:r>
          </w:p>
        </w:tc>
        <w:tc>
          <w:tcPr>
            <w:tcW w:w="1870" w:type="dxa"/>
          </w:tcPr>
          <w:p w14:paraId="701D02E8"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Low (-30 mN/m)</w:t>
            </w:r>
          </w:p>
        </w:tc>
        <w:tc>
          <w:tcPr>
            <w:tcW w:w="1870" w:type="dxa"/>
          </w:tcPr>
          <w:p w14:paraId="24058049"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52E5">
              <w:rPr>
                <w:rFonts w:ascii="Times New Roman" w:eastAsia="Times New Roman" w:hAnsi="Times New Roman" w:cs="Times New Roman"/>
                <w:color w:val="FF0000"/>
              </w:rPr>
              <w:t>Normal (0 mN/m)</w:t>
            </w:r>
          </w:p>
        </w:tc>
      </w:tr>
      <w:tr w:rsidR="00303DBD" w14:paraId="137CF624" w14:textId="77777777" w:rsidTr="00BC6E91">
        <w:tc>
          <w:tcPr>
            <w:tcW w:w="1870" w:type="dxa"/>
          </w:tcPr>
          <w:p w14:paraId="4DA7357B"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Cholesterol content in the membrane patch</w:t>
            </w:r>
          </w:p>
        </w:tc>
        <w:tc>
          <w:tcPr>
            <w:tcW w:w="1870" w:type="dxa"/>
          </w:tcPr>
          <w:p w14:paraId="22BB82C9"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10%</w:t>
            </w:r>
          </w:p>
        </w:tc>
        <w:tc>
          <w:tcPr>
            <w:tcW w:w="1870" w:type="dxa"/>
          </w:tcPr>
          <w:p w14:paraId="0E950DFF"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10%</w:t>
            </w:r>
          </w:p>
        </w:tc>
        <w:tc>
          <w:tcPr>
            <w:tcW w:w="1870" w:type="dxa"/>
          </w:tcPr>
          <w:p w14:paraId="0746B33A"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sidRPr="001F52E5">
              <w:rPr>
                <w:rFonts w:ascii="Times New Roman" w:eastAsia="Times New Roman" w:hAnsi="Times New Roman" w:cs="Times New Roman"/>
                <w:color w:val="FF0000"/>
              </w:rPr>
              <w:t>50%</w:t>
            </w:r>
          </w:p>
        </w:tc>
        <w:tc>
          <w:tcPr>
            <w:tcW w:w="1870" w:type="dxa"/>
          </w:tcPr>
          <w:p w14:paraId="3E566567" w14:textId="77777777" w:rsidR="00303DBD" w:rsidRDefault="00303DBD" w:rsidP="00BC6E91">
            <w:pPr>
              <w:pStyle w:val="BodyA"/>
              <w:pBdr>
                <w:top w:val="none" w:sz="0" w:space="0" w:color="auto"/>
                <w:left w:val="none" w:sz="0" w:space="0" w:color="auto"/>
                <w:bottom w:val="none" w:sz="0" w:space="0" w:color="auto"/>
                <w:right w:val="none" w:sz="0" w:space="0" w:color="auto"/>
                <w:between w:val="none" w:sz="0" w:space="0" w:color="auto"/>
                <w:bar w:val="none" w:sz="0" w:color="auto"/>
              </w:pBdr>
              <w:jc w:val="center"/>
              <w:rPr>
                <w:rFonts w:ascii="Times New Roman" w:eastAsia="Times New Roman" w:hAnsi="Times New Roman" w:cs="Times New Roman"/>
              </w:rPr>
            </w:pPr>
            <w:r>
              <w:rPr>
                <w:rFonts w:ascii="Times New Roman" w:eastAsia="Times New Roman" w:hAnsi="Times New Roman" w:cs="Times New Roman"/>
              </w:rPr>
              <w:t>10%</w:t>
            </w:r>
          </w:p>
        </w:tc>
      </w:tr>
    </w:tbl>
    <w:p w14:paraId="3BFB6EC3" w14:textId="77777777" w:rsidR="00303DBD" w:rsidRDefault="00303DBD" w:rsidP="00303DBD">
      <w:pPr>
        <w:pStyle w:val="BodyA"/>
        <w:jc w:val="center"/>
        <w:rPr>
          <w:rFonts w:ascii="Times New Roman" w:eastAsia="Times New Roman" w:hAnsi="Times New Roman" w:cs="Times New Roman"/>
        </w:rPr>
      </w:pPr>
    </w:p>
    <w:p w14:paraId="4D5E3769" w14:textId="77777777" w:rsidR="00303DBD" w:rsidRDefault="00303DBD" w:rsidP="00303DBD">
      <w:pPr>
        <w:pStyle w:val="Caption"/>
        <w:keepNext/>
        <w:rPr>
          <w:rFonts w:ascii="Times New Roman" w:eastAsia="Times New Roman" w:hAnsi="Times New Roman" w:cs="Times New Roman"/>
        </w:rPr>
      </w:pPr>
      <w:r>
        <w:rPr>
          <w:rFonts w:ascii="Times New Roman" w:hAnsi="Times New Roman"/>
        </w:rPr>
        <w:t>Table 2 Summary of the molecular effects of nsPEF on pancreatic cancer cells (+ slight effect, ++ moderate effect, +++ high effect).</w:t>
      </w:r>
    </w:p>
    <w:tbl>
      <w:tblPr>
        <w:tblW w:w="9615"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340"/>
        <w:gridCol w:w="2430"/>
        <w:gridCol w:w="2507"/>
        <w:gridCol w:w="2338"/>
      </w:tblGrid>
      <w:tr w:rsidR="00303DBD" w14:paraId="4C0E6DA9" w14:textId="77777777" w:rsidTr="00BC6E91">
        <w:trPr>
          <w:trHeight w:val="310"/>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808C90" w14:textId="77777777" w:rsidR="00303DBD" w:rsidRDefault="00303DBD" w:rsidP="00BC6E91"/>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9D4CDA" w14:textId="77777777" w:rsidR="00303DBD" w:rsidRDefault="00303DBD" w:rsidP="00BC6E91">
            <w:pPr>
              <w:pStyle w:val="BodyA"/>
              <w:spacing w:after="0" w:line="240" w:lineRule="auto"/>
            </w:pPr>
            <w:r>
              <w:rPr>
                <w:rFonts w:ascii="Times New Roman" w:hAnsi="Times New Roman"/>
                <w:b/>
                <w:bCs/>
              </w:rPr>
              <w:t>EPP85-181RDB</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9A0730" w14:textId="77777777" w:rsidR="00303DBD" w:rsidRDefault="00303DBD" w:rsidP="00BC6E91">
            <w:pPr>
              <w:pStyle w:val="BodyA"/>
              <w:spacing w:after="0" w:line="240" w:lineRule="auto"/>
            </w:pPr>
            <w:r>
              <w:rPr>
                <w:rFonts w:ascii="Times New Roman" w:hAnsi="Times New Roman"/>
                <w:b/>
                <w:bCs/>
              </w:rPr>
              <w:t>EPP85-181RNOV</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12748F" w14:textId="77777777" w:rsidR="00303DBD" w:rsidRDefault="00303DBD" w:rsidP="00BC6E91">
            <w:pPr>
              <w:pStyle w:val="BodyA"/>
              <w:spacing w:after="0" w:line="240" w:lineRule="auto"/>
            </w:pPr>
            <w:r>
              <w:rPr>
                <w:rFonts w:ascii="Times New Roman" w:hAnsi="Times New Roman"/>
                <w:b/>
                <w:bCs/>
              </w:rPr>
              <w:t>EPP85-181P</w:t>
            </w:r>
          </w:p>
        </w:tc>
      </w:tr>
      <w:tr w:rsidR="00303DBD" w14:paraId="7D269FAC" w14:textId="77777777" w:rsidTr="00BC6E91">
        <w:trPr>
          <w:trHeight w:val="261"/>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91D2D2" w14:textId="77777777" w:rsidR="00303DBD" w:rsidRDefault="00303DBD" w:rsidP="00BC6E91">
            <w:pPr>
              <w:pStyle w:val="BodyA"/>
              <w:spacing w:after="0" w:line="240" w:lineRule="auto"/>
            </w:pPr>
            <w:r>
              <w:rPr>
                <w:rFonts w:ascii="Times New Roman" w:hAnsi="Times New Roman"/>
                <w:b/>
                <w:bCs/>
              </w:rPr>
              <w:t>Permeabilization</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51A7BE" w14:textId="77777777" w:rsidR="00303DBD" w:rsidRDefault="00303DBD" w:rsidP="00BC6E91">
            <w:pPr>
              <w:pStyle w:val="BodyA"/>
              <w:spacing w:after="0" w:line="240" w:lineRule="auto"/>
            </w:pPr>
            <w:r>
              <w:rPr>
                <w:rFonts w:ascii="Times New Roman" w:hAnsi="Times New Roman"/>
              </w:rPr>
              <w:t>No</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9CFB9E" w14:textId="77777777" w:rsidR="00303DBD" w:rsidRDefault="00303DBD" w:rsidP="00BC6E91">
            <w:pPr>
              <w:pStyle w:val="BodyA"/>
              <w:spacing w:after="0" w:line="240" w:lineRule="auto"/>
            </w:pPr>
            <w:r>
              <w:rPr>
                <w:rFonts w:ascii="Times New Roman" w:hAnsi="Times New Roman"/>
              </w:rPr>
              <w:t>Yes</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6D9CD5" w14:textId="77777777" w:rsidR="00303DBD" w:rsidRDefault="00303DBD" w:rsidP="00BC6E91">
            <w:pPr>
              <w:pStyle w:val="BodyA"/>
              <w:spacing w:after="0" w:line="240" w:lineRule="auto"/>
            </w:pPr>
            <w:r>
              <w:rPr>
                <w:rFonts w:ascii="Times New Roman" w:hAnsi="Times New Roman"/>
              </w:rPr>
              <w:t>No</w:t>
            </w:r>
          </w:p>
        </w:tc>
      </w:tr>
      <w:tr w:rsidR="00303DBD" w14:paraId="02BF176B" w14:textId="77777777" w:rsidTr="00BC6E91">
        <w:trPr>
          <w:trHeight w:val="261"/>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C872E8" w14:textId="77777777" w:rsidR="00303DBD" w:rsidRDefault="00303DBD" w:rsidP="00BC6E91">
            <w:pPr>
              <w:pStyle w:val="BodyA"/>
              <w:spacing w:after="0" w:line="240" w:lineRule="auto"/>
            </w:pPr>
            <w:r>
              <w:rPr>
                <w:rFonts w:ascii="Times New Roman" w:hAnsi="Times New Roman"/>
                <w:b/>
                <w:bCs/>
              </w:rPr>
              <w:t>Membrane response</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ED1E00" w14:textId="77777777" w:rsidR="00303DBD" w:rsidRDefault="00303DBD" w:rsidP="00BC6E91">
            <w:pPr>
              <w:pStyle w:val="BodyA"/>
              <w:spacing w:after="0" w:line="240" w:lineRule="auto"/>
            </w:pPr>
            <w:r>
              <w:rPr>
                <w:rFonts w:ascii="Times New Roman" w:hAnsi="Times New Roman"/>
              </w:rPr>
              <w:t>Release of microvesicles</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A4B92C" w14:textId="77777777" w:rsidR="00303DBD" w:rsidRDefault="00303DBD" w:rsidP="00BC6E91">
            <w:pPr>
              <w:pStyle w:val="BodyA"/>
              <w:spacing w:after="0" w:line="240" w:lineRule="auto"/>
            </w:pPr>
            <w:r>
              <w:rPr>
                <w:rFonts w:ascii="Times New Roman" w:hAnsi="Times New Roman"/>
              </w:rPr>
              <w:t>No morphological change</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60984A" w14:textId="77777777" w:rsidR="00303DBD" w:rsidRDefault="00303DBD" w:rsidP="00BC6E91">
            <w:pPr>
              <w:pStyle w:val="BodyA"/>
              <w:spacing w:after="0" w:line="240" w:lineRule="auto"/>
            </w:pPr>
            <w:r>
              <w:rPr>
                <w:rFonts w:ascii="Times New Roman" w:hAnsi="Times New Roman"/>
              </w:rPr>
              <w:t>Cell shrinkage</w:t>
            </w:r>
          </w:p>
        </w:tc>
      </w:tr>
      <w:tr w:rsidR="00303DBD" w14:paraId="496B8B36" w14:textId="77777777" w:rsidTr="00BC6E91">
        <w:trPr>
          <w:trHeight w:val="261"/>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F210C0" w14:textId="77777777" w:rsidR="00303DBD" w:rsidRDefault="00303DBD" w:rsidP="00BC6E91">
            <w:pPr>
              <w:pStyle w:val="BodyA"/>
              <w:spacing w:after="0" w:line="240" w:lineRule="auto"/>
            </w:pPr>
            <w:r>
              <w:rPr>
                <w:rFonts w:ascii="Times New Roman" w:hAnsi="Times New Roman"/>
                <w:b/>
                <w:bCs/>
              </w:rPr>
              <w:t>Actin response</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798E64" w14:textId="77777777" w:rsidR="00303DBD" w:rsidRDefault="00303DBD" w:rsidP="00BC6E91">
            <w:pPr>
              <w:pStyle w:val="BodyA"/>
              <w:spacing w:after="0" w:line="240" w:lineRule="auto"/>
            </w:pPr>
            <w:r>
              <w:rPr>
                <w:rFonts w:ascii="Times New Roman" w:hAnsi="Times New Roman"/>
              </w:rPr>
              <w:t>Lack in the periphery</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584773" w14:textId="77777777" w:rsidR="00303DBD" w:rsidRDefault="00303DBD" w:rsidP="00BC6E91">
            <w:pPr>
              <w:pStyle w:val="BodyA"/>
              <w:spacing w:after="0" w:line="240" w:lineRule="auto"/>
            </w:pPr>
            <w:r>
              <w:rPr>
                <w:rFonts w:ascii="Times New Roman" w:hAnsi="Times New Roman"/>
              </w:rPr>
              <w:t>No visible effect</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B9FEAA" w14:textId="77777777" w:rsidR="00303DBD" w:rsidRDefault="00303DBD" w:rsidP="00BC6E91">
            <w:pPr>
              <w:pStyle w:val="BodyA"/>
              <w:spacing w:after="0" w:line="240" w:lineRule="auto"/>
            </w:pPr>
            <w:r>
              <w:rPr>
                <w:rFonts w:ascii="Times New Roman" w:hAnsi="Times New Roman"/>
              </w:rPr>
              <w:t>Reorganization</w:t>
            </w:r>
          </w:p>
        </w:tc>
      </w:tr>
      <w:tr w:rsidR="00303DBD" w14:paraId="4D11559D" w14:textId="77777777" w:rsidTr="00BC6E91">
        <w:trPr>
          <w:trHeight w:val="501"/>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C86D16" w14:textId="77777777" w:rsidR="00303DBD" w:rsidRDefault="00303DBD" w:rsidP="00BC6E91">
            <w:pPr>
              <w:pStyle w:val="BodyA"/>
              <w:spacing w:after="0" w:line="240" w:lineRule="auto"/>
            </w:pPr>
            <w:r>
              <w:rPr>
                <w:rFonts w:ascii="Times New Roman" w:hAnsi="Times New Roman"/>
                <w:b/>
                <w:bCs/>
              </w:rPr>
              <w:t>CD91 and CD243 colocalization</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0DAFFF" w14:textId="77777777" w:rsidR="00303DBD" w:rsidRDefault="00303DBD" w:rsidP="00BC6E91">
            <w:pPr>
              <w:pStyle w:val="BodyA"/>
              <w:spacing w:after="0" w:line="240" w:lineRule="auto"/>
            </w:pPr>
            <w:r>
              <w:rPr>
                <w:rFonts w:ascii="Times New Roman" w:hAnsi="Times New Roman"/>
              </w:rPr>
              <w:t>Most variable</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259CA9" w14:textId="77777777" w:rsidR="00303DBD" w:rsidRDefault="00303DBD" w:rsidP="00BC6E91">
            <w:pPr>
              <w:pStyle w:val="BodyA"/>
              <w:spacing w:after="0" w:line="240" w:lineRule="auto"/>
            </w:pPr>
            <w:r>
              <w:rPr>
                <w:rFonts w:ascii="Times New Roman" w:hAnsi="Times New Roman"/>
              </w:rPr>
              <w:t>Colocalized</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F7BCC3" w14:textId="77777777" w:rsidR="00303DBD" w:rsidRDefault="00303DBD" w:rsidP="00BC6E91">
            <w:pPr>
              <w:pStyle w:val="BodyA"/>
              <w:spacing w:after="0" w:line="240" w:lineRule="auto"/>
            </w:pPr>
            <w:r>
              <w:rPr>
                <w:rFonts w:ascii="Times New Roman" w:hAnsi="Times New Roman"/>
              </w:rPr>
              <w:t>Colocalized</w:t>
            </w:r>
          </w:p>
        </w:tc>
      </w:tr>
      <w:tr w:rsidR="00303DBD" w14:paraId="47E6C469" w14:textId="77777777" w:rsidTr="00BC6E91">
        <w:trPr>
          <w:trHeight w:val="741"/>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0E3A88" w14:textId="77777777" w:rsidR="00303DBD" w:rsidRDefault="00303DBD" w:rsidP="00BC6E91">
            <w:pPr>
              <w:pStyle w:val="BodyA"/>
              <w:spacing w:after="0" w:line="240" w:lineRule="auto"/>
            </w:pPr>
            <w:r>
              <w:rPr>
                <w:rFonts w:ascii="Times New Roman" w:hAnsi="Times New Roman"/>
                <w:b/>
                <w:bCs/>
              </w:rPr>
              <w:t>Effect of nsPEF on chemotherapy resistance</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E84CB9" w14:textId="77777777" w:rsidR="00303DBD" w:rsidRDefault="00303DBD" w:rsidP="00BC6E91">
            <w:pPr>
              <w:pStyle w:val="BodyA"/>
              <w:spacing w:after="0" w:line="240" w:lineRule="auto"/>
            </w:pPr>
            <w:r>
              <w:rPr>
                <w:rFonts w:ascii="Times New Roman" w:hAnsi="Times New Roman"/>
              </w:rPr>
              <w:t>Yes</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D41C78" w14:textId="77777777" w:rsidR="00303DBD" w:rsidRDefault="00303DBD" w:rsidP="00BC6E91">
            <w:pPr>
              <w:pStyle w:val="BodyA"/>
              <w:spacing w:after="0" w:line="240" w:lineRule="auto"/>
            </w:pPr>
            <w:r>
              <w:rPr>
                <w:rFonts w:ascii="Times New Roman" w:hAnsi="Times New Roman"/>
              </w:rPr>
              <w:t>No</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54D11A" w14:textId="77777777" w:rsidR="00303DBD" w:rsidRDefault="00303DBD" w:rsidP="00BC6E91">
            <w:pPr>
              <w:pStyle w:val="BodyA"/>
              <w:spacing w:after="0" w:line="240" w:lineRule="auto"/>
            </w:pPr>
            <w:r>
              <w:rPr>
                <w:rFonts w:ascii="Times New Roman" w:hAnsi="Times New Roman"/>
              </w:rPr>
              <w:t>No</w:t>
            </w:r>
          </w:p>
        </w:tc>
      </w:tr>
      <w:tr w:rsidR="00303DBD" w14:paraId="75F3A259" w14:textId="77777777" w:rsidTr="00BC6E91">
        <w:trPr>
          <w:trHeight w:val="741"/>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09D48C" w14:textId="77777777" w:rsidR="00303DBD" w:rsidRDefault="00303DBD" w:rsidP="00BC6E91">
            <w:pPr>
              <w:pStyle w:val="BodyA"/>
              <w:spacing w:after="0" w:line="240" w:lineRule="auto"/>
            </w:pPr>
            <w:r>
              <w:rPr>
                <w:rFonts w:ascii="Times New Roman" w:hAnsi="Times New Roman"/>
                <w:b/>
                <w:bCs/>
              </w:rPr>
              <w:t xml:space="preserve">Long lasting attenuation of cancer growth </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2BE7FC" w14:textId="77777777" w:rsidR="00303DBD" w:rsidRDefault="00303DBD" w:rsidP="00BC6E91">
            <w:pPr>
              <w:pStyle w:val="BodyA"/>
              <w:spacing w:after="0" w:line="240" w:lineRule="auto"/>
            </w:pPr>
            <w:r>
              <w:rPr>
                <w:rFonts w:ascii="Times New Roman" w:hAnsi="Times New Roman"/>
              </w:rPr>
              <w:t>No</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6F8265" w14:textId="77777777" w:rsidR="00303DBD" w:rsidRDefault="00303DBD" w:rsidP="00BC6E91">
            <w:pPr>
              <w:pStyle w:val="BodyA"/>
              <w:spacing w:after="0" w:line="240" w:lineRule="auto"/>
            </w:pPr>
            <w:r>
              <w:rPr>
                <w:rFonts w:ascii="Times New Roman" w:hAnsi="Times New Roman"/>
              </w:rPr>
              <w:t>Yes</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EA19FB" w14:textId="77777777" w:rsidR="00303DBD" w:rsidRDefault="00303DBD" w:rsidP="00BC6E91">
            <w:pPr>
              <w:pStyle w:val="BodyA"/>
              <w:spacing w:after="0" w:line="240" w:lineRule="auto"/>
            </w:pPr>
            <w:r>
              <w:rPr>
                <w:rFonts w:ascii="Times New Roman" w:hAnsi="Times New Roman"/>
              </w:rPr>
              <w:t>No</w:t>
            </w:r>
          </w:p>
        </w:tc>
      </w:tr>
      <w:tr w:rsidR="00303DBD" w14:paraId="6DB4083F" w14:textId="77777777" w:rsidTr="00BC6E91">
        <w:trPr>
          <w:trHeight w:val="501"/>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A82D64" w14:textId="77777777" w:rsidR="00303DBD" w:rsidRDefault="00303DBD" w:rsidP="00BC6E91">
            <w:pPr>
              <w:pStyle w:val="BodyA"/>
              <w:spacing w:after="0" w:line="240" w:lineRule="auto"/>
            </w:pPr>
            <w:r>
              <w:rPr>
                <w:rFonts w:ascii="Times New Roman" w:hAnsi="Times New Roman"/>
                <w:b/>
                <w:bCs/>
              </w:rPr>
              <w:t>Induction of cells adherence</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E20EF3" w14:textId="77777777" w:rsidR="00303DBD" w:rsidRDefault="00303DBD" w:rsidP="00BC6E91">
            <w:pPr>
              <w:pStyle w:val="BodyA"/>
              <w:spacing w:after="0" w:line="240" w:lineRule="auto"/>
            </w:pPr>
            <w:r>
              <w:rPr>
                <w:rFonts w:ascii="Times New Roman" w:hAnsi="Times New Roman"/>
              </w:rPr>
              <w:t>+</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644DE7" w14:textId="77777777" w:rsidR="00303DBD" w:rsidRDefault="00303DBD" w:rsidP="00BC6E91">
            <w:pPr>
              <w:pStyle w:val="BodyA"/>
              <w:spacing w:after="0" w:line="240" w:lineRule="auto"/>
            </w:pPr>
            <w:r>
              <w:rPr>
                <w:rFonts w:ascii="Times New Roman" w:hAnsi="Times New Roman"/>
              </w:rPr>
              <w:t>++</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0D77A7" w14:textId="77777777" w:rsidR="00303DBD" w:rsidRDefault="00303DBD" w:rsidP="00BC6E91">
            <w:pPr>
              <w:pStyle w:val="BodyA"/>
              <w:spacing w:after="0" w:line="240" w:lineRule="auto"/>
            </w:pPr>
            <w:r>
              <w:rPr>
                <w:rFonts w:ascii="Times New Roman" w:hAnsi="Times New Roman"/>
              </w:rPr>
              <w:t>+</w:t>
            </w:r>
          </w:p>
        </w:tc>
      </w:tr>
      <w:tr w:rsidR="00303DBD" w14:paraId="3A4C099B" w14:textId="77777777" w:rsidTr="00BC6E91">
        <w:trPr>
          <w:trHeight w:val="261"/>
        </w:trPr>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AD5D23" w14:textId="77777777" w:rsidR="00303DBD" w:rsidRDefault="00303DBD" w:rsidP="00BC6E91">
            <w:pPr>
              <w:pStyle w:val="BodyA"/>
              <w:spacing w:after="0" w:line="240" w:lineRule="auto"/>
            </w:pPr>
            <w:r>
              <w:rPr>
                <w:rFonts w:ascii="Times New Roman" w:hAnsi="Times New Roman"/>
                <w:b/>
                <w:bCs/>
              </w:rPr>
              <w:t>Loss of Cadherin</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DAD21E" w14:textId="77777777" w:rsidR="00303DBD" w:rsidRDefault="00303DBD" w:rsidP="00BC6E91">
            <w:pPr>
              <w:pStyle w:val="BodyA"/>
              <w:spacing w:after="0" w:line="240" w:lineRule="auto"/>
            </w:pPr>
            <w:r>
              <w:rPr>
                <w:rFonts w:ascii="Times New Roman" w:hAnsi="Times New Roman"/>
              </w:rPr>
              <w:t>+++</w:t>
            </w:r>
          </w:p>
        </w:tc>
        <w:tc>
          <w:tcPr>
            <w:tcW w:w="25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BB0E7" w14:textId="77777777" w:rsidR="00303DBD" w:rsidRDefault="00303DBD" w:rsidP="00BC6E91">
            <w:pPr>
              <w:pStyle w:val="BodyA"/>
              <w:spacing w:after="0" w:line="240" w:lineRule="auto"/>
            </w:pPr>
            <w:r>
              <w:rPr>
                <w:rFonts w:ascii="Times New Roman" w:hAnsi="Times New Roman"/>
              </w:rPr>
              <w:t>+++</w:t>
            </w:r>
          </w:p>
        </w:tc>
        <w:tc>
          <w:tcPr>
            <w:tcW w:w="2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7E45E4" w14:textId="77777777" w:rsidR="00303DBD" w:rsidRDefault="00303DBD" w:rsidP="00BC6E91">
            <w:pPr>
              <w:pStyle w:val="BodyA"/>
              <w:spacing w:after="0" w:line="240" w:lineRule="auto"/>
            </w:pPr>
            <w:r>
              <w:rPr>
                <w:rFonts w:ascii="Times New Roman" w:hAnsi="Times New Roman"/>
              </w:rPr>
              <w:t>++</w:t>
            </w:r>
          </w:p>
        </w:tc>
      </w:tr>
    </w:tbl>
    <w:p w14:paraId="4D921AEE" w14:textId="77777777" w:rsidR="001760E5" w:rsidRDefault="00303DBD"/>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DBD"/>
    <w:rsid w:val="00303DBD"/>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6B16C"/>
  <w15:chartTrackingRefBased/>
  <w15:docId w15:val="{B061296C-9367-40D2-A096-8D8386CE1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DBD"/>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303DBD"/>
    <w:pPr>
      <w:pBdr>
        <w:top w:val="nil"/>
        <w:left w:val="nil"/>
        <w:bottom w:val="nil"/>
        <w:right w:val="nil"/>
        <w:between w:val="nil"/>
        <w:bar w:val="nil"/>
      </w:pBdr>
    </w:pPr>
    <w:rPr>
      <w:rFonts w:ascii="Calibri" w:eastAsia="Arial Unicode MS" w:hAnsi="Calibri" w:cs="Arial Unicode MS"/>
      <w:color w:val="000000"/>
      <w:u w:color="000000"/>
      <w:bdr w:val="nil"/>
      <w:lang w:eastAsia="en-GB"/>
      <w14:textOutline w14:w="12700" w14:cap="flat" w14:cmpd="sng" w14:algn="ctr">
        <w14:noFill/>
        <w14:prstDash w14:val="solid"/>
        <w14:miter w14:lim="400000"/>
      </w14:textOutline>
    </w:rPr>
  </w:style>
  <w:style w:type="paragraph" w:styleId="Caption">
    <w:name w:val="caption"/>
    <w:next w:val="BodyA"/>
    <w:rsid w:val="00303DBD"/>
    <w:pPr>
      <w:pBdr>
        <w:top w:val="nil"/>
        <w:left w:val="nil"/>
        <w:bottom w:val="nil"/>
        <w:right w:val="nil"/>
        <w:between w:val="nil"/>
        <w:bar w:val="nil"/>
      </w:pBdr>
      <w:spacing w:after="200" w:line="240" w:lineRule="auto"/>
    </w:pPr>
    <w:rPr>
      <w:rFonts w:ascii="Calibri" w:eastAsia="Arial Unicode MS" w:hAnsi="Calibri" w:cs="Arial Unicode MS"/>
      <w:i/>
      <w:iCs/>
      <w:color w:val="44546A"/>
      <w:sz w:val="18"/>
      <w:szCs w:val="18"/>
      <w:u w:color="44546A"/>
      <w:bdr w:val="nil"/>
      <w:lang w:eastAsia="en-GB"/>
      <w14:textOutline w14:w="12700" w14:cap="flat" w14:cmpd="sng" w14:algn="ctr">
        <w14:noFill/>
        <w14:prstDash w14:val="solid"/>
        <w14:miter w14:lim="400000"/>
      </w14:textOutline>
    </w:rPr>
  </w:style>
  <w:style w:type="table" w:styleId="TableGrid">
    <w:name w:val="Table Grid"/>
    <w:basedOn w:val="TableNormal"/>
    <w:uiPriority w:val="39"/>
    <w:rsid w:val="00303DBD"/>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162</Words>
  <Characters>927</Characters>
  <Application>Microsoft Office Word</Application>
  <DocSecurity>0</DocSecurity>
  <Lines>7</Lines>
  <Paragraphs>2</Paragraphs>
  <ScaleCrop>false</ScaleCrop>
  <Company>Springer Nature</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2023-01-10T09:49:00Z</dcterms:created>
  <dcterms:modified xsi:type="dcterms:W3CDTF">2023-01-10T09:50:00Z</dcterms:modified>
</cp:coreProperties>
</file>