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3053"/>
        <w:bidiVisual/>
        <w:tblW w:w="15186" w:type="dxa"/>
        <w:tblLook w:val="04A0"/>
      </w:tblPr>
      <w:tblGrid>
        <w:gridCol w:w="2205"/>
        <w:gridCol w:w="1470"/>
        <w:gridCol w:w="1698"/>
        <w:gridCol w:w="941"/>
        <w:gridCol w:w="830"/>
        <w:gridCol w:w="847"/>
        <w:gridCol w:w="846"/>
        <w:gridCol w:w="718"/>
        <w:gridCol w:w="718"/>
        <w:gridCol w:w="1061"/>
        <w:gridCol w:w="1053"/>
        <w:gridCol w:w="1098"/>
        <w:gridCol w:w="1701"/>
      </w:tblGrid>
      <w:tr w:rsidR="00036FFA" w:rsidTr="001468C9">
        <w:trPr>
          <w:trHeight w:val="567"/>
        </w:trPr>
        <w:tc>
          <w:tcPr>
            <w:tcW w:w="220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Application</w:t>
            </w:r>
          </w:p>
        </w:tc>
        <w:tc>
          <w:tcPr>
            <w:tcW w:w="1470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Total HPLC run time for the cited drugs</w:t>
            </w:r>
          </w:p>
        </w:tc>
        <w:tc>
          <w:tcPr>
            <w:tcW w:w="1698" w:type="dxa"/>
            <w:vMerge w:val="restart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Elution mode</w:t>
            </w:r>
          </w:p>
        </w:tc>
        <w:tc>
          <w:tcPr>
            <w:tcW w:w="2618" w:type="dxa"/>
            <w:gridSpan w:val="3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LOQ (μg/mL)</w:t>
            </w:r>
          </w:p>
        </w:tc>
        <w:tc>
          <w:tcPr>
            <w:tcW w:w="2282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36FFA" w:rsidRDefault="00036FFA" w:rsidP="001468C9">
            <w:pPr>
              <w:tabs>
                <w:tab w:val="left" w:pos="277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LOD (μg/mL)</w:t>
            </w:r>
          </w:p>
        </w:tc>
        <w:tc>
          <w:tcPr>
            <w:tcW w:w="3212" w:type="dxa"/>
            <w:gridSpan w:val="3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Linearity range (μg/mL)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Parameters</w:t>
            </w:r>
          </w:p>
        </w:tc>
      </w:tr>
      <w:tr w:rsidR="00036FFA" w:rsidTr="001468C9">
        <w:trPr>
          <w:trHeight w:val="567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36FFA" w:rsidRDefault="00036FFA" w:rsidP="001468C9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FFA" w:rsidRDefault="00036FFA" w:rsidP="001468C9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FFA" w:rsidRDefault="00036FFA" w:rsidP="001468C9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MET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LIN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EMP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MET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LIN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EMP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MET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LIN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EMP</w:t>
            </w:r>
          </w:p>
        </w:tc>
        <w:tc>
          <w:tcPr>
            <w:tcW w:w="1701" w:type="dxa"/>
            <w:vMerge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36FFA" w:rsidRDefault="00036FFA" w:rsidP="001468C9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036FFA" w:rsidTr="001468C9">
        <w:trPr>
          <w:trHeight w:val="567"/>
        </w:trPr>
        <w:tc>
          <w:tcPr>
            <w:tcW w:w="220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Real Trijardy® tablet</w:t>
            </w: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Impurity profiling</w:t>
            </w: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Green analysis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3.92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Isocratic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1.0-250.0</w:t>
            </w:r>
          </w:p>
        </w:tc>
        <w:tc>
          <w:tcPr>
            <w:tcW w:w="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0.3-9.0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0.2-8.0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Current HPLC method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ar-EG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</w:t>
            </w:r>
          </w:p>
        </w:tc>
      </w:tr>
      <w:tr w:rsidR="00036FFA" w:rsidTr="001468C9">
        <w:trPr>
          <w:trHeight w:val="567"/>
        </w:trPr>
        <w:tc>
          <w:tcPr>
            <w:tcW w:w="220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Laboratory synthetic tablet not a real tablet</w:t>
            </w: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Impurity profiling</w:t>
            </w: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Green analysis</w:t>
            </w: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8.53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Gradient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8.93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3 7.62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27.52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2.68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2.29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8.26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15</w:t>
            </w:r>
            <w:r>
              <w:rPr>
                <w:rFonts w:asciiTheme="majorBidi" w:eastAsia="STIX-Regular" w:hAnsiTheme="majorBidi" w:cstheme="majorBidi"/>
                <w:sz w:val="20"/>
                <w:szCs w:val="20"/>
              </w:rPr>
              <w:t>–</w:t>
            </w: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300</w:t>
            </w:r>
          </w:p>
        </w:tc>
        <w:tc>
          <w:tcPr>
            <w:tcW w:w="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12.5</w:t>
            </w:r>
            <w:r>
              <w:rPr>
                <w:rFonts w:asciiTheme="majorBidi" w:eastAsia="STIX-Regular" w:hAnsiTheme="majorBidi" w:cstheme="majorBidi"/>
                <w:sz w:val="20"/>
                <w:szCs w:val="20"/>
              </w:rPr>
              <w:t>–</w:t>
            </w: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30</w:t>
            </w:r>
            <w:r>
              <w:rPr>
                <w:rFonts w:asciiTheme="majorBidi" w:eastAsia="STIX-Regular" w:hAnsiTheme="majorBidi" w:cstheme="majorBidi"/>
                <w:sz w:val="20"/>
                <w:szCs w:val="20"/>
              </w:rPr>
              <w:t>–</w:t>
            </w:r>
            <w:r>
              <w:rPr>
                <w:rFonts w:asciiTheme="majorBidi" w:eastAsia="CharisSIL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Reported HPLC method A </w:t>
            </w:r>
            <w:r w:rsidR="00235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begin" w:fldLock="1"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>ADDIN CSL_CITATION {"citationItems":[{"id":"ITEM-1","itemData":{"ISSN":"2352-5541","author":[{"dropping-particle":"","family":"El-Kafrawy","given":"Dina S","non-dropping-particle":"","parse-names":false,"suffix":""},{"dropping-particle":"","family":"El-Shoubashy","given":"Ola H","non-dropping-particle":"","parse-names":false,"suffix":""},{"dropping-particle":"","family":"Issa","given":"Ahmed E","non-dropping-particle":"","parse-names":false,"suffix":""},{"dropping-particle":"","family":"Beltagy","given":"Youssef A","non-dropping-particle":"","parse-names":false,"suffix":""}],"container-title":"Sustainable Chemistry and Pharmacy","id":"ITEM-1","issued":{"date-parts":[["2022"]]},"page":"100560","publisher":"Elsevier","title":"Green chromatographic methods for simultaneous micro-determination of empagliflozin, linagliptin with metformin and its pharmacopoeial impurities in pure form and triple combination tablets: A comparative study","type":"article-journal","volume":"25"},"uris":["http://www.mendeley.com/documents/?uuid=84146a05-9366-4eda-a940-ea9231aeacb4"]}],"mendeley":{"formattedCitation":"[1]","plainTextFormattedCitation":"[1]","previouslyFormattedCitation":"[20]"},"properties":{"noteIndex":0},"schema":"https://github.com/citation-style-language/schema/raw/master/csl-citation.json"}</w:instrText>
            </w:r>
            <w:r w:rsidR="00235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[2</w:t>
            </w:r>
            <w:r w:rsidR="001468C9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]</w:t>
            </w:r>
            <w:r w:rsidR="00235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FFA" w:rsidTr="001468C9">
        <w:trPr>
          <w:trHeight w:val="567"/>
        </w:trPr>
        <w:tc>
          <w:tcPr>
            <w:tcW w:w="220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Single tablets from different companies</w:t>
            </w: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not combined dosage form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5.99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Gradient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174.32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3.43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5.32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57.32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1.10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1.32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500.0–3500.0</w:t>
            </w:r>
          </w:p>
        </w:tc>
        <w:tc>
          <w:tcPr>
            <w:tcW w:w="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10.0-70.0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20.0-140.0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Reported HPLC method B </w:t>
            </w:r>
            <w:r w:rsidR="00235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begin" w:fldLock="1"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>ADDIN CSL_CITATION {"citationItems":[{"id":"ITEM-1","itemData":{"ISSN":"2352-5541","author":[{"dropping-particle":"","family":"El-Kafrawy","given":"Dina S","non-dropping-particle":"","parse-names":false,"suffix":""},{"dropping-particle":"","family":"El-Shoubashy","given":"Ola H","non-dropping-particle":"","parse-names":false,"suffix":""},{"dropping-particle":"","family":"Issa","given":"Ahmed E","non-dropping-particle":"","parse-names":false,"suffix":""},{"dropping-particle":"","family":"Beltagy","given":"Youssef A","non-dropping-particle":"","parse-names":false,"suffix":""}],"container-title":"Sustainable Chemistry and Pharmacy","id":"ITEM-1","issued":{"date-parts":[["2022"]]},"page":"100560","publisher":"Elsevier","title":"Green chromatographic methods for simultaneous micro-determination of empagliflozin, linagliptin with metformin and its pharmacopoeial impurities in pure form and triple combination tablets: A comparative study","type":"article-journal","volume":"25"},"uris":["http://www.mendeley.com/documents/?uuid=84146a05-9366-4eda-a940-ea9231aeacb4"]}],"mendeley":{"formattedCitation":"[1]","plainTextFormattedCitation":"[1]","previouslyFormattedCitation":"[20]"},"properties":{"noteIndex":0},"schema":"https://github.com/citation-style-language/schema/raw/master/csl-citation.json"}</w:instrText>
            </w:r>
            <w:r w:rsidR="00235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[</w:t>
            </w:r>
            <w:r w:rsidR="001468C9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15</w:t>
            </w:r>
            <w:r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]</w:t>
            </w:r>
            <w:r w:rsidR="00235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</w:t>
            </w:r>
          </w:p>
        </w:tc>
      </w:tr>
      <w:tr w:rsidR="00036FFA" w:rsidTr="001468C9">
        <w:trPr>
          <w:trHeight w:val="567"/>
        </w:trPr>
        <w:tc>
          <w:tcPr>
            <w:tcW w:w="220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tabs>
                <w:tab w:val="left" w:pos="1296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Quality by design no tablet or other applications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auto"/>
              <w:bottom w:val="thinThickSmallGap" w:sz="2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8.42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Gradient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2.98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26.87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16.05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0.98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8.77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auto"/>
              <w:bottom w:val="thinThickSmallGap" w:sz="2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5.29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10.0-70.0</w:t>
            </w:r>
          </w:p>
        </w:tc>
        <w:tc>
          <w:tcPr>
            <w:tcW w:w="1053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10.0-70.0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auto"/>
              <w:bottom w:val="thinThickSmallGap" w:sz="2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30.0-210.0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  <w:p w:rsidR="00036FFA" w:rsidRDefault="00036FFA" w:rsidP="001468C9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Reported HPLC method C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</w:t>
            </w:r>
            <w:r w:rsidR="002352F8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fldChar w:fldCharType="begin" w:fldLock="1"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instrText>ADDIN CSL_CITATION {"citationItems":[{"id":"ITEM-1","itemData":{"ISSN":"0045-2068","author":[{"dropping-particle":"","family":"Kant","given":"Ravi","non-dropping-particle":"","parse-names":false,"suffix":""},{"dropping-particle":"","family":"Bodla","given":"Ramesh Babu","non-dropping-particle":"","parse-names":false,"suffix":""},{"dropping-particle":"","family":"Kapoor","given":"Garima","non-dropping-particle":"","parse-names":false,"suffix":""},{"dropping-particle":"","family":"Bhutani","given":"Rubina","non-dropping-particle":"","parse-names":false,"suffix":""}],"container-title":"Bioorganic chemistry","id":"ITEM-1","issued":{"date-parts":[["2019"]]},"page":"103111","publisher":"Academic Press","title":"Optimization of a single HPLC-PDA method for quantifying metformin, gliclazide, pioglitazone, dapagliflozin, empagliflozin, saxagliptin, linagliptin and teneligliptin using central composite design","type":"article-journal","volume":"91"},"uris":["http://www.mendeley.com/documents/?uuid=b6443516-3b3f-4ace-9ea8-892200f7bccd"]}],"mendeley":{"formattedCitation":"[2]","manualFormatting":"[16]","plainTextFormattedCitation":"[2]","previouslyFormattedCitation":"[16]"},"properties":{"noteIndex":0},"schema":"https://github.com/citation-style-language/schema/raw/master/csl-citation.json"}</w:instrText>
            </w:r>
            <w:r w:rsidR="002352F8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fldChar w:fldCharType="separate"/>
            </w:r>
            <w:r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bidi="ar-EG"/>
              </w:rPr>
              <w:t>[</w:t>
            </w:r>
            <w:r w:rsidR="001468C9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bidi="ar-EG"/>
              </w:rPr>
              <w:t>18</w:t>
            </w:r>
            <w:r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bidi="ar-EG"/>
              </w:rPr>
              <w:t>]</w:t>
            </w:r>
            <w:r w:rsidR="002352F8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fldChar w:fldCharType="end"/>
            </w:r>
          </w:p>
        </w:tc>
      </w:tr>
    </w:tbl>
    <w:p w:rsidR="006C614C" w:rsidRDefault="006C614C" w:rsidP="008F5A2A">
      <w:pPr>
        <w:jc w:val="right"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Table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6C614C">
        <w:rPr>
          <w:rFonts w:asciiTheme="majorBidi" w:hAnsiTheme="majorBidi" w:cstheme="majorBidi"/>
          <w:b/>
          <w:bCs/>
          <w:sz w:val="24"/>
          <w:szCs w:val="24"/>
          <w:lang w:bidi="ar-EG"/>
        </w:rPr>
        <w:t>S1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: Comparison between the current HPLC method </w:t>
      </w:r>
      <w:r w:rsidRPr="001702AD">
        <w:rPr>
          <w:rFonts w:asciiTheme="majorBidi" w:hAnsiTheme="majorBidi" w:cstheme="majorBidi"/>
          <w:sz w:val="24"/>
          <w:szCs w:val="24"/>
          <w:lang w:bidi="ar-EG"/>
        </w:rPr>
        <w:t xml:space="preserve">for the determination of EMP, LIN, and </w:t>
      </w:r>
      <w:r>
        <w:rPr>
          <w:rFonts w:asciiTheme="majorBidi" w:hAnsiTheme="majorBidi" w:cstheme="majorBidi"/>
          <w:sz w:val="24"/>
          <w:szCs w:val="24"/>
          <w:lang w:bidi="ar-EG"/>
        </w:rPr>
        <w:t>MET</w:t>
      </w:r>
      <w:r w:rsidRPr="001702AD">
        <w:rPr>
          <w:rFonts w:asciiTheme="majorBidi" w:hAnsiTheme="majorBidi" w:cstheme="majorBidi"/>
          <w:sz w:val="24"/>
          <w:szCs w:val="24"/>
          <w:lang w:bidi="ar-EG"/>
        </w:rPr>
        <w:t xml:space="preserve"> along with MEL and CYG as MET potential official impurities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and three other published HPLC methods in terms of sensitivity and simplicity.</w:t>
      </w:r>
    </w:p>
    <w:p w:rsidR="006C614C" w:rsidRDefault="006C614C" w:rsidP="006C614C">
      <w:pPr>
        <w:jc w:val="right"/>
        <w:rPr>
          <w:rFonts w:asciiTheme="majorBidi" w:hAnsiTheme="majorBidi" w:cstheme="majorBidi"/>
          <w:sz w:val="20"/>
          <w:szCs w:val="20"/>
          <w:lang w:bidi="ar-EG"/>
        </w:rPr>
      </w:pPr>
      <w:r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 xml:space="preserve">a </w:t>
      </w:r>
      <w:r>
        <w:rPr>
          <w:rFonts w:asciiTheme="majorBidi" w:hAnsiTheme="majorBidi" w:cstheme="majorBidi"/>
          <w:sz w:val="20"/>
          <w:szCs w:val="20"/>
          <w:lang w:bidi="ar-EG"/>
        </w:rPr>
        <w:t>The most sensitive and simplest method</w:t>
      </w:r>
    </w:p>
    <w:p w:rsidR="00A71313" w:rsidRPr="00036FFA" w:rsidRDefault="00A71313" w:rsidP="00A71313">
      <w:pPr>
        <w:jc w:val="right"/>
        <w:rPr>
          <w:rtl/>
          <w:lang w:bidi="ar-EG"/>
        </w:rPr>
      </w:pPr>
      <w:r>
        <w:rPr>
          <w:lang w:bidi="ar-EG"/>
        </w:rPr>
        <w:t>EMP, empagliflzin; L</w:t>
      </w:r>
      <w:r w:rsidR="00036FFA">
        <w:rPr>
          <w:lang w:bidi="ar-EG"/>
        </w:rPr>
        <w:t>IN, linagliptin; MET, metformin</w:t>
      </w:r>
    </w:p>
    <w:p w:rsidR="006C614C" w:rsidRDefault="006C614C" w:rsidP="006C614C">
      <w:pPr>
        <w:jc w:val="right"/>
        <w:rPr>
          <w:rFonts w:asciiTheme="majorBidi" w:hAnsiTheme="majorBidi" w:cstheme="majorBidi"/>
          <w:sz w:val="20"/>
          <w:szCs w:val="20"/>
          <w:lang w:bidi="ar-EG"/>
        </w:rPr>
      </w:pPr>
    </w:p>
    <w:tbl>
      <w:tblPr>
        <w:tblStyle w:val="TableGrid"/>
        <w:tblpPr w:leftFromText="180" w:rightFromText="180" w:vertAnchor="page" w:horzAnchor="margin" w:tblpY="3310"/>
        <w:tblW w:w="13602" w:type="dxa"/>
        <w:tblLook w:val="04A0"/>
      </w:tblPr>
      <w:tblGrid>
        <w:gridCol w:w="1171"/>
        <w:gridCol w:w="1606"/>
        <w:gridCol w:w="1561"/>
        <w:gridCol w:w="1163"/>
        <w:gridCol w:w="1417"/>
        <w:gridCol w:w="1561"/>
        <w:gridCol w:w="1512"/>
        <w:gridCol w:w="1805"/>
        <w:gridCol w:w="1806"/>
      </w:tblGrid>
      <w:tr w:rsidR="008F5A2A" w:rsidTr="008F5A2A">
        <w:trPr>
          <w:trHeight w:val="567"/>
        </w:trPr>
        <w:tc>
          <w:tcPr>
            <w:tcW w:w="117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EMP</w:t>
            </w:r>
          </w:p>
        </w:tc>
        <w:tc>
          <w:tcPr>
            <w:tcW w:w="1606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EMP found</w:t>
            </w:r>
          </w:p>
        </w:tc>
        <w:tc>
          <w:tcPr>
            <w:tcW w:w="1561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% Recovery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ar-EG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of  EMP</w:t>
            </w:r>
          </w:p>
        </w:tc>
        <w:tc>
          <w:tcPr>
            <w:tcW w:w="116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LIN</w:t>
            </w:r>
          </w:p>
        </w:tc>
        <w:tc>
          <w:tcPr>
            <w:tcW w:w="1417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LIN found</w:t>
            </w:r>
          </w:p>
        </w:tc>
        <w:tc>
          <w:tcPr>
            <w:tcW w:w="1561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% Recovery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ar-EG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of  LIN</w:t>
            </w:r>
          </w:p>
        </w:tc>
        <w:tc>
          <w:tcPr>
            <w:tcW w:w="1512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MET</w:t>
            </w:r>
          </w:p>
        </w:tc>
        <w:tc>
          <w:tcPr>
            <w:tcW w:w="1805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MET found</w:t>
            </w:r>
          </w:p>
        </w:tc>
        <w:tc>
          <w:tcPr>
            <w:tcW w:w="1806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% Recovery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ar-EG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of  MET</w:t>
            </w:r>
          </w:p>
        </w:tc>
      </w:tr>
      <w:tr w:rsidR="008F5A2A" w:rsidTr="008F5A2A">
        <w:trPr>
          <w:trHeight w:val="567"/>
        </w:trPr>
        <w:tc>
          <w:tcPr>
            <w:tcW w:w="1171" w:type="dxa"/>
            <w:tcBorders>
              <w:top w:val="single" w:sz="4" w:space="0" w:color="000000" w:themeColor="text1"/>
              <w:left w:val="thinThick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100.23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99.50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4.03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100.76</w:t>
            </w:r>
          </w:p>
        </w:tc>
      </w:tr>
      <w:tr w:rsidR="008F5A2A" w:rsidTr="008F5A2A">
        <w:trPr>
          <w:trHeight w:val="567"/>
        </w:trPr>
        <w:tc>
          <w:tcPr>
            <w:tcW w:w="1171" w:type="dxa"/>
            <w:tcBorders>
              <w:top w:val="single" w:sz="4" w:space="0" w:color="000000" w:themeColor="text1"/>
              <w:left w:val="thinThick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101.56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99.58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8.17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102.19</w:t>
            </w:r>
          </w:p>
        </w:tc>
      </w:tr>
      <w:tr w:rsidR="008F5A2A" w:rsidTr="008F5A2A">
        <w:trPr>
          <w:trHeight w:val="567"/>
        </w:trPr>
        <w:tc>
          <w:tcPr>
            <w:tcW w:w="1171" w:type="dxa"/>
            <w:tcBorders>
              <w:top w:val="single" w:sz="4" w:space="0" w:color="000000" w:themeColor="text1"/>
              <w:left w:val="thinThick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98.40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98.32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14.98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99.92</w:t>
            </w:r>
          </w:p>
        </w:tc>
      </w:tr>
      <w:tr w:rsidR="008F5A2A" w:rsidTr="008F5A2A">
        <w:trPr>
          <w:trHeight w:val="567"/>
        </w:trPr>
        <w:tc>
          <w:tcPr>
            <w:tcW w:w="1171" w:type="dxa"/>
            <w:tcBorders>
              <w:top w:val="single" w:sz="4" w:space="0" w:color="000000" w:themeColor="text1"/>
              <w:left w:val="thinThick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99.13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98.42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29.66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98.87</w:t>
            </w:r>
          </w:p>
        </w:tc>
      </w:tr>
      <w:tr w:rsidR="008F5A2A" w:rsidTr="008F5A2A">
        <w:trPr>
          <w:trHeight w:val="567"/>
        </w:trPr>
        <w:tc>
          <w:tcPr>
            <w:tcW w:w="1171" w:type="dxa"/>
            <w:tcBorders>
              <w:top w:val="single" w:sz="4" w:space="0" w:color="000000" w:themeColor="text1"/>
              <w:left w:val="thinThick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6.92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98.95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7.06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100.94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150.00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150.63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100.42</w:t>
            </w:r>
          </w:p>
        </w:tc>
      </w:tr>
      <w:tr w:rsidR="008F5A2A" w:rsidTr="008F5A2A">
        <w:trPr>
          <w:trHeight w:val="567"/>
        </w:trPr>
        <w:tc>
          <w:tcPr>
            <w:tcW w:w="2777" w:type="dxa"/>
            <w:gridSpan w:val="2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Default="008F5A2A" w:rsidP="008F5A2A">
            <w:pPr>
              <w:bidi w:val="0"/>
              <w:jc w:val="center"/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Mean ± SD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Pr="008F5A2A" w:rsidRDefault="008F5A2A" w:rsidP="008F5A2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A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99.56±1.257</w:t>
            </w:r>
          </w:p>
        </w:tc>
        <w:tc>
          <w:tcPr>
            <w:tcW w:w="2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Pr="008F5A2A" w:rsidRDefault="008F5A2A" w:rsidP="008F5A2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A2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Pr="008F5A2A" w:rsidRDefault="008F5A2A" w:rsidP="008F5A2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A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99.35±1.056</w:t>
            </w:r>
          </w:p>
        </w:tc>
        <w:tc>
          <w:tcPr>
            <w:tcW w:w="3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8F5A2A" w:rsidRPr="008F5A2A" w:rsidRDefault="008F5A2A" w:rsidP="008F5A2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A2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 ± SD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noWrap/>
            <w:vAlign w:val="center"/>
            <w:hideMark/>
          </w:tcPr>
          <w:p w:rsidR="008F5A2A" w:rsidRPr="008F5A2A" w:rsidRDefault="008F5A2A" w:rsidP="008F5A2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5A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100.43±1.217</w:t>
            </w:r>
          </w:p>
        </w:tc>
      </w:tr>
    </w:tbl>
    <w:p w:rsidR="00CF7106" w:rsidRPr="008F5A2A" w:rsidRDefault="008F5A2A" w:rsidP="008F5A2A">
      <w:pPr>
        <w:tabs>
          <w:tab w:val="left" w:pos="12113"/>
        </w:tabs>
        <w:jc w:val="right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226E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CF7106" w:rsidRPr="004226E1">
        <w:rPr>
          <w:rFonts w:asciiTheme="majorBidi" w:hAnsiTheme="majorBidi" w:cstheme="majorBidi"/>
          <w:b/>
          <w:bCs/>
          <w:sz w:val="24"/>
          <w:szCs w:val="24"/>
          <w:lang w:bidi="ar-EG"/>
        </w:rPr>
        <w:t>Table</w:t>
      </w:r>
      <w:r w:rsidR="00CF7106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S2</w:t>
      </w:r>
      <w:r w:rsidR="00CF7106" w:rsidRPr="004226E1">
        <w:rPr>
          <w:rFonts w:asciiTheme="majorBidi" w:hAnsiTheme="majorBidi" w:cstheme="majorBidi"/>
          <w:b/>
          <w:bCs/>
          <w:sz w:val="24"/>
          <w:szCs w:val="24"/>
          <w:lang w:bidi="ar-EG"/>
        </w:rPr>
        <w:t>:</w:t>
      </w:r>
      <w:r w:rsidR="00CF7106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F7106" w:rsidRPr="004226E1">
        <w:rPr>
          <w:rFonts w:asciiTheme="majorBidi" w:hAnsiTheme="majorBidi" w:cstheme="majorBidi"/>
          <w:sz w:val="24"/>
          <w:szCs w:val="24"/>
          <w:lang w:bidi="ar-EG"/>
        </w:rPr>
        <w:t>Accuracy results of the current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HPLC </w:t>
      </w:r>
      <w:r w:rsidR="00CF7106" w:rsidRPr="004226E1">
        <w:rPr>
          <w:rFonts w:asciiTheme="majorBidi" w:hAnsiTheme="majorBidi" w:cstheme="majorBidi"/>
          <w:sz w:val="24"/>
          <w:szCs w:val="24"/>
          <w:lang w:bidi="ar-EG"/>
        </w:rPr>
        <w:t xml:space="preserve">method for the determination of EMP, LIN, and </w:t>
      </w:r>
      <w:r>
        <w:rPr>
          <w:rFonts w:asciiTheme="majorBidi" w:hAnsiTheme="majorBidi" w:cstheme="majorBidi"/>
          <w:sz w:val="24"/>
          <w:szCs w:val="24"/>
          <w:lang w:bidi="ar-EG"/>
        </w:rPr>
        <w:t>MET</w:t>
      </w:r>
      <w:r w:rsidR="00CF7106" w:rsidRPr="004226E1">
        <w:rPr>
          <w:rFonts w:asciiTheme="majorBidi" w:hAnsiTheme="majorBidi" w:cstheme="majorBidi"/>
          <w:sz w:val="24"/>
          <w:szCs w:val="24"/>
          <w:lang w:bidi="ar-EG"/>
        </w:rPr>
        <w:t xml:space="preserve"> along with MEL and CYG as MET potential official impurities</w:t>
      </w:r>
      <w:r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CF7106" w:rsidRPr="008F5A2A" w:rsidRDefault="00CF7106" w:rsidP="00CF7106">
      <w:pPr>
        <w:tabs>
          <w:tab w:val="left" w:pos="10313"/>
        </w:tabs>
        <w:jc w:val="right"/>
        <w:rPr>
          <w:rFonts w:asciiTheme="majorBidi" w:hAnsiTheme="majorBidi" w:cstheme="majorBidi"/>
          <w:sz w:val="20"/>
          <w:szCs w:val="20"/>
          <w:lang w:bidi="ar-EG"/>
        </w:rPr>
      </w:pPr>
      <w:r w:rsidRPr="008F5A2A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a</w:t>
      </w:r>
      <w:r w:rsidRPr="008F5A2A">
        <w:rPr>
          <w:rFonts w:asciiTheme="majorBidi" w:hAnsiTheme="majorBidi" w:cstheme="majorBidi"/>
          <w:sz w:val="20"/>
          <w:szCs w:val="20"/>
          <w:lang w:bidi="ar-EG"/>
        </w:rPr>
        <w:t xml:space="preserve"> Mean of three determinations</w:t>
      </w:r>
    </w:p>
    <w:p w:rsidR="00CF7106" w:rsidRPr="008F5A2A" w:rsidRDefault="00CF7106" w:rsidP="00CF7106">
      <w:pPr>
        <w:jc w:val="right"/>
        <w:rPr>
          <w:rFonts w:asciiTheme="majorBidi" w:hAnsiTheme="majorBidi" w:cstheme="majorBidi"/>
          <w:sz w:val="20"/>
          <w:szCs w:val="20"/>
          <w:lang w:bidi="ar-EG"/>
        </w:rPr>
      </w:pPr>
      <w:r w:rsidRPr="008F5A2A">
        <w:rPr>
          <w:rFonts w:asciiTheme="majorBidi" w:hAnsiTheme="majorBidi" w:cstheme="majorBidi"/>
          <w:sz w:val="20"/>
          <w:szCs w:val="20"/>
          <w:lang w:bidi="ar-EG"/>
        </w:rPr>
        <w:t>EMP, empagliflzin; LIN, linagliptin; MET, metformin.</w:t>
      </w:r>
    </w:p>
    <w:p w:rsidR="00CF7106" w:rsidRPr="00CF7106" w:rsidRDefault="00CF7106" w:rsidP="00CF7106">
      <w:pPr>
        <w:tabs>
          <w:tab w:val="left" w:pos="10313"/>
        </w:tabs>
        <w:jc w:val="right"/>
        <w:rPr>
          <w:lang w:bidi="ar-EG"/>
        </w:rPr>
      </w:pPr>
    </w:p>
    <w:p w:rsidR="00D72833" w:rsidRDefault="00D72833" w:rsidP="006C614C">
      <w:pPr>
        <w:jc w:val="right"/>
        <w:rPr>
          <w:rFonts w:asciiTheme="majorBidi" w:hAnsiTheme="majorBidi" w:cstheme="majorBidi"/>
          <w:sz w:val="20"/>
          <w:szCs w:val="20"/>
          <w:lang w:bidi="ar-EG"/>
        </w:rPr>
      </w:pPr>
    </w:p>
    <w:p w:rsidR="008F5A2A" w:rsidRPr="00275CA3" w:rsidRDefault="008F5A2A" w:rsidP="00275CA3">
      <w:pPr>
        <w:rPr>
          <w:rFonts w:hint="cs"/>
          <w:rtl/>
          <w:lang w:bidi="ar-EG"/>
        </w:rPr>
      </w:pPr>
    </w:p>
    <w:p w:rsidR="00CF7106" w:rsidRDefault="00CF7106" w:rsidP="00275CA3">
      <w:pPr>
        <w:pStyle w:val="TableParagraph"/>
        <w:bidi/>
        <w:jc w:val="right"/>
        <w:rPr>
          <w:rFonts w:asciiTheme="majorBidi" w:hAnsiTheme="majorBidi" w:cstheme="majorBidi"/>
          <w:sz w:val="24"/>
          <w:szCs w:val="24"/>
          <w:lang w:bidi="ar-EG"/>
        </w:rPr>
      </w:pPr>
      <w:r w:rsidRPr="006A69DB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Table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S</w:t>
      </w:r>
      <w:r w:rsidR="00275CA3">
        <w:rPr>
          <w:rFonts w:asciiTheme="majorBidi" w:hAnsiTheme="majorBidi" w:cstheme="majorBidi"/>
          <w:b/>
          <w:bCs/>
          <w:sz w:val="24"/>
          <w:szCs w:val="24"/>
          <w:lang w:bidi="ar-EG"/>
        </w:rPr>
        <w:t>3</w:t>
      </w:r>
      <w:r w:rsidRPr="006A69D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: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8951B6">
        <w:rPr>
          <w:rFonts w:asciiTheme="majorBidi" w:hAnsiTheme="majorBidi" w:cstheme="majorBidi"/>
          <w:sz w:val="24"/>
          <w:szCs w:val="24"/>
          <w:lang w:bidi="ar-EG"/>
        </w:rPr>
        <w:t>Results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a</w:t>
      </w:r>
      <w:r w:rsidRPr="008951B6">
        <w:rPr>
          <w:rFonts w:asciiTheme="majorBidi" w:hAnsiTheme="majorBidi" w:cstheme="majorBidi"/>
          <w:sz w:val="24"/>
          <w:szCs w:val="24"/>
          <w:lang w:bidi="ar-EG"/>
        </w:rPr>
        <w:t xml:space="preserve"> of </w:t>
      </w:r>
      <w:r>
        <w:rPr>
          <w:rFonts w:asciiTheme="majorBidi" w:hAnsiTheme="majorBidi" w:cstheme="majorBidi"/>
          <w:sz w:val="24"/>
          <w:szCs w:val="24"/>
          <w:lang w:bidi="ar-EG"/>
        </w:rPr>
        <w:t>r</w:t>
      </w:r>
      <w:r w:rsidRPr="008951B6">
        <w:rPr>
          <w:rFonts w:asciiTheme="majorBidi" w:hAnsiTheme="majorBidi" w:cstheme="majorBidi"/>
          <w:sz w:val="24"/>
          <w:szCs w:val="24"/>
          <w:lang w:bidi="ar-EG"/>
        </w:rPr>
        <w:t xml:space="preserve">obustness </w:t>
      </w:r>
      <w:r>
        <w:rPr>
          <w:rFonts w:asciiTheme="majorBidi" w:hAnsiTheme="majorBidi" w:cstheme="majorBidi"/>
          <w:sz w:val="24"/>
          <w:szCs w:val="24"/>
          <w:lang w:bidi="ar-EG"/>
        </w:rPr>
        <w:t>t</w:t>
      </w:r>
      <w:r w:rsidRPr="008951B6">
        <w:rPr>
          <w:rFonts w:asciiTheme="majorBidi" w:hAnsiTheme="majorBidi" w:cstheme="majorBidi"/>
          <w:sz w:val="24"/>
          <w:szCs w:val="24"/>
          <w:lang w:bidi="ar-EG"/>
        </w:rPr>
        <w:t xml:space="preserve">esting of the </w:t>
      </w:r>
      <w:r>
        <w:rPr>
          <w:rFonts w:asciiTheme="majorBidi" w:hAnsiTheme="majorBidi" w:cstheme="majorBidi"/>
          <w:sz w:val="24"/>
          <w:szCs w:val="24"/>
          <w:lang w:bidi="ar-EG"/>
        </w:rPr>
        <w:t>current HPLC</w:t>
      </w:r>
      <w:r w:rsidRPr="008951B6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EG"/>
        </w:rPr>
        <w:t>m</w:t>
      </w:r>
      <w:r w:rsidRPr="008951B6">
        <w:rPr>
          <w:rFonts w:asciiTheme="majorBidi" w:hAnsiTheme="majorBidi" w:cstheme="majorBidi"/>
          <w:sz w:val="24"/>
          <w:szCs w:val="24"/>
          <w:lang w:bidi="ar-EG"/>
        </w:rPr>
        <w:t>ethod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1702AD">
        <w:rPr>
          <w:rFonts w:asciiTheme="majorBidi" w:hAnsiTheme="majorBidi" w:cstheme="majorBidi"/>
          <w:sz w:val="24"/>
          <w:szCs w:val="24"/>
          <w:lang w:bidi="ar-EG"/>
        </w:rPr>
        <w:t xml:space="preserve">for the determination of EMP, LIN, and </w:t>
      </w:r>
      <w:r w:rsidR="008F5A2A">
        <w:rPr>
          <w:rFonts w:asciiTheme="majorBidi" w:hAnsiTheme="majorBidi" w:cstheme="majorBidi"/>
          <w:sz w:val="24"/>
          <w:szCs w:val="24"/>
          <w:lang w:bidi="ar-EG"/>
        </w:rPr>
        <w:t>MET</w:t>
      </w:r>
      <w:r w:rsidRPr="001702AD">
        <w:rPr>
          <w:rFonts w:asciiTheme="majorBidi" w:hAnsiTheme="majorBidi" w:cstheme="majorBidi"/>
          <w:sz w:val="24"/>
          <w:szCs w:val="24"/>
          <w:lang w:bidi="ar-EG"/>
        </w:rPr>
        <w:t xml:space="preserve"> along with MEL and CYG as MET potential official impurities</w:t>
      </w:r>
      <w:r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40710C" w:rsidRDefault="0040710C" w:rsidP="0040710C">
      <w:pPr>
        <w:pStyle w:val="TableParagraph"/>
        <w:bidi/>
        <w:jc w:val="right"/>
        <w:rPr>
          <w:rFonts w:asciiTheme="majorBidi" w:hAnsiTheme="majorBidi" w:cstheme="majorBidi"/>
          <w:sz w:val="24"/>
          <w:szCs w:val="24"/>
          <w:lang w:bidi="ar-EG"/>
        </w:rPr>
      </w:pPr>
    </w:p>
    <w:tbl>
      <w:tblPr>
        <w:tblpPr w:leftFromText="180" w:rightFromText="180" w:bottomFromText="200" w:vertAnchor="page" w:horzAnchor="margin" w:tblpY="2830"/>
        <w:tblW w:w="14001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/>
      </w:tblPr>
      <w:tblGrid>
        <w:gridCol w:w="7756"/>
        <w:gridCol w:w="1229"/>
        <w:gridCol w:w="1311"/>
        <w:gridCol w:w="1311"/>
        <w:gridCol w:w="1311"/>
        <w:gridCol w:w="1083"/>
      </w:tblGrid>
      <w:tr w:rsidR="00CF7106" w:rsidTr="009B2EDA">
        <w:trPr>
          <w:trHeight w:val="350"/>
        </w:trPr>
        <w:tc>
          <w:tcPr>
            <w:tcW w:w="7756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F7106" w:rsidRDefault="008F5A2A" w:rsidP="001468C9">
            <w:pPr>
              <w:pStyle w:val="TableParagraph"/>
              <w:spacing w:before="197" w:line="276" w:lineRule="auto"/>
              <w:ind w:left="440" w:right="41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C</w:t>
            </w:r>
            <w:r w:rsidR="00CF7106">
              <w:rPr>
                <w:rFonts w:asciiTheme="majorBidi" w:hAnsiTheme="majorBidi" w:cstheme="majorBidi"/>
                <w:b/>
                <w:sz w:val="20"/>
                <w:szCs w:val="20"/>
              </w:rPr>
              <w:t>ondition</w:t>
            </w:r>
          </w:p>
        </w:tc>
        <w:tc>
          <w:tcPr>
            <w:tcW w:w="1229" w:type="dxa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F7106" w:rsidRDefault="00CF7106" w:rsidP="001468C9">
            <w:pPr>
              <w:pStyle w:val="TableParagraph"/>
              <w:spacing w:before="197" w:line="276" w:lineRule="auto"/>
              <w:ind w:left="168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Drug</w:t>
            </w:r>
          </w:p>
        </w:tc>
        <w:tc>
          <w:tcPr>
            <w:tcW w:w="1311" w:type="dxa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F7106" w:rsidRDefault="00CF7106" w:rsidP="001468C9">
            <w:pPr>
              <w:pStyle w:val="TableParagraph"/>
              <w:spacing w:before="196" w:line="276" w:lineRule="auto"/>
              <w:ind w:left="146" w:right="95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position w:val="2"/>
                <w:sz w:val="20"/>
                <w:szCs w:val="20"/>
              </w:rPr>
              <w:t>R</w:t>
            </w:r>
            <w:r>
              <w:rPr>
                <w:rFonts w:asciiTheme="majorBidi" w:hAnsiTheme="majorBidi" w:cstheme="majorBidi"/>
                <w:b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1311" w:type="dxa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F7106" w:rsidRDefault="00CF7106" w:rsidP="001468C9">
            <w:pPr>
              <w:pStyle w:val="TableParagraph"/>
              <w:spacing w:before="197" w:line="276" w:lineRule="auto"/>
              <w:ind w:left="57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N</w:t>
            </w:r>
          </w:p>
        </w:tc>
        <w:tc>
          <w:tcPr>
            <w:tcW w:w="1311" w:type="dxa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F7106" w:rsidRDefault="00CF7106" w:rsidP="001468C9">
            <w:pPr>
              <w:pStyle w:val="TableParagraph"/>
              <w:spacing w:before="197" w:line="276" w:lineRule="auto"/>
              <w:ind w:left="56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T</w:t>
            </w:r>
          </w:p>
        </w:tc>
        <w:tc>
          <w:tcPr>
            <w:tcW w:w="1083" w:type="dxa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F7106" w:rsidRDefault="00CF7106" w:rsidP="001468C9">
            <w:pPr>
              <w:pStyle w:val="TableParagraph"/>
              <w:spacing w:before="196" w:line="276" w:lineRule="auto"/>
              <w:ind w:left="33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position w:val="2"/>
                <w:sz w:val="20"/>
                <w:szCs w:val="20"/>
              </w:rPr>
              <w:t>R</w:t>
            </w:r>
            <w:r>
              <w:rPr>
                <w:rFonts w:asciiTheme="majorBidi" w:hAnsiTheme="majorBidi" w:cstheme="majorBidi"/>
                <w:b/>
                <w:sz w:val="20"/>
                <w:szCs w:val="20"/>
                <w:vertAlign w:val="subscript"/>
              </w:rPr>
              <w:t>S</w:t>
            </w:r>
          </w:p>
        </w:tc>
      </w:tr>
      <w:tr w:rsidR="00CF7106" w:rsidTr="009B2EDA">
        <w:trPr>
          <w:trHeight w:val="512"/>
        </w:trPr>
        <w:tc>
          <w:tcPr>
            <w:tcW w:w="7756" w:type="dxa"/>
            <w:vMerge w:val="restart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F7106" w:rsidRDefault="00CF7106" w:rsidP="001468C9">
            <w:pPr>
              <w:pStyle w:val="TableParagraph"/>
              <w:spacing w:before="16" w:line="276" w:lineRule="auto"/>
              <w:ind w:left="252" w:right="231" w:firstLine="9"/>
              <w:jc w:val="center"/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Change mobile phase composition</w:t>
            </w:r>
            <w:r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</w:p>
          <w:p w:rsidR="00CF7106" w:rsidRDefault="00CF7106" w:rsidP="001468C9">
            <w:pPr>
              <w:pStyle w:val="TableParagraph"/>
              <w:spacing w:before="16" w:line="276" w:lineRule="auto"/>
              <w:ind w:left="252" w:right="231" w:firstLine="9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acetonitrile:</w:t>
            </w:r>
            <w:r w:rsidR="008F5A2A">
              <w:rPr>
                <w:rFonts w:asciiTheme="majorBidi" w:hAnsiTheme="majorBidi" w:cstheme="majorBidi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0.05</w:t>
            </w:r>
            <w:r>
              <w:rPr>
                <w:rFonts w:asciiTheme="majorBidi" w:hAnsiTheme="majorBidi" w:cstheme="majorBidi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</w:t>
            </w:r>
            <w:r>
              <w:rPr>
                <w:rFonts w:asciiTheme="majorBidi" w:hAnsiTheme="majorBidi" w:cstheme="majorBid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phosphate</w:t>
            </w:r>
          </w:p>
          <w:p w:rsidR="00CF7106" w:rsidRDefault="00CF7106" w:rsidP="00B03595">
            <w:pPr>
              <w:pStyle w:val="TableParagraph"/>
              <w:spacing w:before="163" w:line="276" w:lineRule="auto"/>
              <w:ind w:left="440" w:right="42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buffer</w:t>
            </w:r>
            <w:r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(</w:t>
            </w:r>
            <w:r w:rsidR="008F5A2A">
              <w:rPr>
                <w:rFonts w:asciiTheme="majorBidi" w:hAnsiTheme="majorBidi" w:cstheme="majorBidi"/>
                <w:b/>
                <w:sz w:val="20"/>
                <w:szCs w:val="20"/>
              </w:rPr>
              <w:t>91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:</w:t>
            </w:r>
            <w:r w:rsidR="008F5A2A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  <w:r>
              <w:rPr>
                <w:rFonts w:asciiTheme="majorBidi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v/v),</w:t>
            </w:r>
            <w:r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(</w:t>
            </w:r>
            <w:r w:rsidR="008F5A2A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  <w:r w:rsidR="00B03595">
              <w:rPr>
                <w:rFonts w:asciiTheme="majorBidi" w:hAnsiTheme="majorBidi" w:cstheme="majorBidi"/>
                <w:b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:</w:t>
            </w:r>
            <w:r w:rsidR="008F5A2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  <w:r w:rsidR="00B03595">
              <w:rPr>
                <w:rFonts w:asciiTheme="majorBidi" w:hAnsiTheme="majorBidi" w:cstheme="majorBidi"/>
                <w:b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,</w:t>
            </w:r>
            <w:r w:rsidR="008F5A2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v/v)</w:t>
            </w:r>
            <w:r>
              <w:rPr>
                <w:rFonts w:asciiTheme="majorBidi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F7106" w:rsidRDefault="00CF7106" w:rsidP="001468C9">
            <w:pPr>
              <w:pStyle w:val="TableParagraph"/>
              <w:spacing w:before="4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CF7106" w:rsidRDefault="00CF7106" w:rsidP="001468C9">
            <w:pPr>
              <w:pStyle w:val="TableParagraph"/>
              <w:spacing w:before="1" w:line="276" w:lineRule="auto"/>
              <w:ind w:left="20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MET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0.456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1.344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0.546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:rsidR="00CF7106" w:rsidRDefault="00CF7106" w:rsidP="001468C9">
            <w:pPr>
              <w:jc w:val="center"/>
              <w:rPr>
                <w:rFonts w:asciiTheme="majorBidi" w:hAnsiTheme="majorBidi" w:cstheme="majorBidi" w:hint="cs"/>
                <w:sz w:val="20"/>
                <w:szCs w:val="20"/>
                <w:lang w:bidi="ar-EG"/>
              </w:rPr>
            </w:pPr>
          </w:p>
          <w:p w:rsidR="00CF7106" w:rsidRDefault="00CF7106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1.123</w:t>
            </w:r>
          </w:p>
          <w:p w:rsidR="00CF7106" w:rsidRDefault="00CF7106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1.234</w:t>
            </w:r>
          </w:p>
          <w:p w:rsidR="00CF7106" w:rsidRDefault="00CF7106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0.765</w:t>
            </w:r>
          </w:p>
          <w:p w:rsidR="00CF7106" w:rsidRDefault="00CF7106" w:rsidP="001468C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0.743</w:t>
            </w:r>
          </w:p>
        </w:tc>
      </w:tr>
      <w:tr w:rsidR="00CF7106" w:rsidTr="009B2EDA">
        <w:trPr>
          <w:trHeight w:val="338"/>
        </w:trPr>
        <w:tc>
          <w:tcPr>
            <w:tcW w:w="7756" w:type="dxa"/>
            <w:vMerge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CF7106" w:rsidRDefault="00CF7106" w:rsidP="001468C9">
            <w:pPr>
              <w:pStyle w:val="TableParagraph"/>
              <w:spacing w:line="276" w:lineRule="auto"/>
              <w:ind w:left="22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MEL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0.467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0.675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0.975</w:t>
            </w: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CF7106" w:rsidTr="009B2EDA">
        <w:trPr>
          <w:trHeight w:val="338"/>
        </w:trPr>
        <w:tc>
          <w:tcPr>
            <w:tcW w:w="7756" w:type="dxa"/>
            <w:vMerge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CYG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1.766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0.986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1.546</w:t>
            </w: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CF7106" w:rsidTr="009B2EDA">
        <w:trPr>
          <w:trHeight w:val="338"/>
        </w:trPr>
        <w:tc>
          <w:tcPr>
            <w:tcW w:w="7756" w:type="dxa"/>
            <w:vMerge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LIN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0.976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0.754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0.542</w:t>
            </w: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CF7106" w:rsidTr="009B2EDA">
        <w:trPr>
          <w:trHeight w:val="338"/>
        </w:trPr>
        <w:tc>
          <w:tcPr>
            <w:tcW w:w="7756" w:type="dxa"/>
            <w:vMerge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EMP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0.876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0.459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0.832</w:t>
            </w: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CF7106" w:rsidTr="009B2EDA">
        <w:trPr>
          <w:trHeight w:val="340"/>
        </w:trPr>
        <w:tc>
          <w:tcPr>
            <w:tcW w:w="7756" w:type="dxa"/>
            <w:vMerge w:val="restart"/>
            <w:tcBorders>
              <w:top w:val="single" w:sz="6" w:space="0" w:color="000000"/>
              <w:left w:val="thinThickSmallGap" w:sz="24" w:space="0" w:color="auto"/>
              <w:bottom w:val="nil"/>
              <w:right w:val="single" w:sz="6" w:space="0" w:color="000000"/>
            </w:tcBorders>
            <w:shd w:val="clear" w:color="auto" w:fill="FFFFFF" w:themeFill="background1"/>
          </w:tcPr>
          <w:p w:rsidR="00CF7106" w:rsidRDefault="00CF7106" w:rsidP="001468C9">
            <w:pPr>
              <w:pStyle w:val="TableParagraph"/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F7106" w:rsidRDefault="00CF7106" w:rsidP="001468C9">
            <w:pPr>
              <w:pStyle w:val="TableParagraph"/>
              <w:spacing w:line="276" w:lineRule="auto"/>
              <w:ind w:left="1097" w:right="1072" w:firstLine="158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Change pH of buffer</w:t>
            </w:r>
          </w:p>
          <w:p w:rsidR="00CF7106" w:rsidRDefault="008F5A2A" w:rsidP="001468C9">
            <w:pPr>
              <w:pStyle w:val="TableParagraph"/>
              <w:spacing w:line="276" w:lineRule="auto"/>
              <w:ind w:left="1097" w:right="1072" w:firstLine="158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pH </w:t>
            </w:r>
            <w:r w:rsidR="00CF7106">
              <w:rPr>
                <w:rFonts w:asciiTheme="majorBidi" w:hAnsiTheme="majorBidi" w:cstheme="majorBidi"/>
                <w:b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  <w:r w:rsidR="00CF7106">
              <w:rPr>
                <w:rFonts w:asciiTheme="majorBidi" w:hAnsiTheme="majorBidi" w:cstheme="majorBidi"/>
                <w:b/>
                <w:sz w:val="20"/>
                <w:szCs w:val="20"/>
              </w:rPr>
              <w:t>.0±0.1;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  <w:r w:rsidR="00CF7106">
              <w:rPr>
                <w:rFonts w:asciiTheme="majorBidi" w:hAnsiTheme="majorBidi" w:cstheme="majorBidi"/>
                <w:b/>
                <w:sz w:val="20"/>
                <w:szCs w:val="20"/>
              </w:rPr>
              <w:t>.1</w:t>
            </w:r>
            <w:r w:rsidR="00CF7106">
              <w:rPr>
                <w:rFonts w:asciiTheme="majorBidi" w:hAnsiTheme="majorBidi" w:cstheme="majorBidi"/>
                <w:b/>
                <w:spacing w:val="-10"/>
                <w:sz w:val="20"/>
                <w:szCs w:val="20"/>
              </w:rPr>
              <w:t xml:space="preserve"> </w:t>
            </w:r>
            <w:r w:rsidR="00CF7106">
              <w:rPr>
                <w:rFonts w:asciiTheme="majorBidi" w:hAnsiTheme="majorBidi" w:cstheme="majorBidi"/>
                <w:b/>
                <w:sz w:val="20"/>
                <w:szCs w:val="20"/>
              </w:rPr>
              <w:t>and</w:t>
            </w:r>
            <w:r w:rsidR="00CF7106">
              <w:rPr>
                <w:rFonts w:asciiTheme="majorBidi" w:hAnsiTheme="majorBidi" w:cstheme="majorBidi"/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  <w:r w:rsidR="00CF7106">
              <w:rPr>
                <w:rFonts w:asciiTheme="majorBidi" w:hAnsiTheme="majorBidi" w:cstheme="majorBidi"/>
                <w:b/>
                <w:sz w:val="20"/>
                <w:szCs w:val="20"/>
              </w:rPr>
              <w:t>.9)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F7106" w:rsidRDefault="00CF7106" w:rsidP="001468C9">
            <w:pPr>
              <w:pStyle w:val="TableParagraph"/>
              <w:spacing w:before="4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CF7106" w:rsidRDefault="00CF7106" w:rsidP="001468C9">
            <w:pPr>
              <w:pStyle w:val="TableParagraph"/>
              <w:spacing w:before="1" w:line="276" w:lineRule="auto"/>
              <w:ind w:left="20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MET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0.654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0.560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1.241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bottom"/>
          </w:tcPr>
          <w:p w:rsidR="00CF7106" w:rsidRDefault="00CF7106" w:rsidP="001468C9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F7106" w:rsidRDefault="00CF7106" w:rsidP="001468C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0.676</w:t>
            </w:r>
          </w:p>
          <w:p w:rsidR="00CF7106" w:rsidRDefault="00CF7106" w:rsidP="001468C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1.543</w:t>
            </w:r>
          </w:p>
          <w:p w:rsidR="00CF7106" w:rsidRDefault="00CF7106" w:rsidP="001468C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0.655</w:t>
            </w:r>
          </w:p>
          <w:p w:rsidR="00CF7106" w:rsidRDefault="00CF7106" w:rsidP="001468C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1.534</w:t>
            </w:r>
          </w:p>
          <w:p w:rsidR="00CF7106" w:rsidRDefault="00CF7106" w:rsidP="001468C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F7106" w:rsidTr="009B2EDA">
        <w:trPr>
          <w:trHeight w:val="451"/>
        </w:trPr>
        <w:tc>
          <w:tcPr>
            <w:tcW w:w="7756" w:type="dxa"/>
            <w:vMerge/>
            <w:tcBorders>
              <w:top w:val="single" w:sz="6" w:space="0" w:color="000000"/>
              <w:left w:val="thinThickSmallGap" w:sz="24" w:space="0" w:color="auto"/>
              <w:bottom w:val="nil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CF7106" w:rsidRDefault="00CF7106" w:rsidP="001468C9">
            <w:pPr>
              <w:pStyle w:val="TableParagraph"/>
              <w:spacing w:line="276" w:lineRule="auto"/>
              <w:ind w:left="22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MEL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0.654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1.854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1.356</w:t>
            </w: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F7106" w:rsidTr="009B2EDA">
        <w:trPr>
          <w:trHeight w:val="451"/>
        </w:trPr>
        <w:tc>
          <w:tcPr>
            <w:tcW w:w="7756" w:type="dxa"/>
            <w:tcBorders>
              <w:top w:val="nil"/>
              <w:left w:val="thinThickSmallGap" w:sz="24" w:space="0" w:color="auto"/>
              <w:bottom w:val="nil"/>
              <w:right w:val="single" w:sz="6" w:space="0" w:color="000000"/>
            </w:tcBorders>
            <w:shd w:val="clear" w:color="auto" w:fill="FFFFFF" w:themeFill="background1"/>
          </w:tcPr>
          <w:p w:rsidR="00CF7106" w:rsidRDefault="00CF7106" w:rsidP="001468C9">
            <w:pPr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CYG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0.457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1.534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1.656</w:t>
            </w: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F7106" w:rsidTr="009B2EDA">
        <w:trPr>
          <w:trHeight w:val="451"/>
        </w:trPr>
        <w:tc>
          <w:tcPr>
            <w:tcW w:w="7756" w:type="dxa"/>
            <w:tcBorders>
              <w:top w:val="nil"/>
              <w:left w:val="thinThickSmallGap" w:sz="24" w:space="0" w:color="auto"/>
              <w:bottom w:val="nil"/>
              <w:right w:val="single" w:sz="6" w:space="0" w:color="000000"/>
            </w:tcBorders>
            <w:shd w:val="clear" w:color="auto" w:fill="FFFFFF" w:themeFill="background1"/>
          </w:tcPr>
          <w:p w:rsidR="00CF7106" w:rsidRDefault="00CF7106" w:rsidP="001468C9">
            <w:pPr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LIN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0.986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1.256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1.876</w:t>
            </w: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F7106" w:rsidTr="009B2EDA">
        <w:trPr>
          <w:trHeight w:val="184"/>
        </w:trPr>
        <w:tc>
          <w:tcPr>
            <w:tcW w:w="7756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single" w:sz="6" w:space="0" w:color="000000"/>
            </w:tcBorders>
            <w:shd w:val="clear" w:color="auto" w:fill="FFFFFF" w:themeFill="background1"/>
          </w:tcPr>
          <w:p w:rsidR="00CF7106" w:rsidRDefault="00CF7106" w:rsidP="001468C9">
            <w:pPr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7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EMP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1.543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1.745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pStyle w:val="TableParagraph"/>
              <w:spacing w:before="190" w:line="276" w:lineRule="auto"/>
              <w:ind w:left="147" w:right="9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1.345</w:t>
            </w: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  <w:hideMark/>
          </w:tcPr>
          <w:p w:rsidR="00CF7106" w:rsidRDefault="00CF7106" w:rsidP="001468C9">
            <w:pPr>
              <w:bidi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CF7106" w:rsidRPr="00B970DA" w:rsidRDefault="00CF7106" w:rsidP="00CF7106">
      <w:pPr>
        <w:spacing w:line="240" w:lineRule="auto"/>
        <w:jc w:val="right"/>
        <w:rPr>
          <w:sz w:val="20"/>
          <w:szCs w:val="20"/>
          <w:rtl/>
          <w:lang w:bidi="ar-EG"/>
        </w:rPr>
      </w:pPr>
      <w:r w:rsidRPr="00B970DA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a</w:t>
      </w:r>
      <w:r w:rsidRPr="00B970DA">
        <w:rPr>
          <w:rFonts w:asciiTheme="majorBidi" w:hAnsiTheme="majorBidi" w:cstheme="majorBidi"/>
          <w:sz w:val="20"/>
          <w:szCs w:val="20"/>
          <w:lang w:bidi="ar-EG"/>
        </w:rPr>
        <w:t xml:space="preserve"> % RSD values</w:t>
      </w:r>
    </w:p>
    <w:p w:rsidR="009B2EDA" w:rsidRPr="009B2EDA" w:rsidRDefault="00CF7106" w:rsidP="009B2EDA">
      <w:pPr>
        <w:tabs>
          <w:tab w:val="left" w:pos="13218"/>
        </w:tabs>
        <w:spacing w:line="240" w:lineRule="auto"/>
        <w:jc w:val="right"/>
        <w:rPr>
          <w:rFonts w:asciiTheme="majorBidi" w:hAnsiTheme="majorBidi" w:cstheme="majorBidi"/>
          <w:sz w:val="20"/>
          <w:szCs w:val="20"/>
          <w:lang w:bidi="ar-EG"/>
        </w:rPr>
      </w:pPr>
      <w:r w:rsidRPr="00B970DA">
        <w:rPr>
          <w:rFonts w:asciiTheme="majorBidi" w:hAnsiTheme="majorBidi" w:cstheme="majorBidi"/>
          <w:sz w:val="20"/>
          <w:szCs w:val="20"/>
          <w:lang w:bidi="ar-EG"/>
        </w:rPr>
        <w:t>R</w:t>
      </w:r>
      <w:r w:rsidRPr="00B970DA">
        <w:rPr>
          <w:rFonts w:asciiTheme="majorBidi" w:hAnsiTheme="majorBidi" w:cstheme="majorBidi"/>
          <w:sz w:val="20"/>
          <w:szCs w:val="20"/>
          <w:vertAlign w:val="subscript"/>
          <w:lang w:bidi="ar-EG"/>
        </w:rPr>
        <w:t>t</w:t>
      </w:r>
      <w:r w:rsidRPr="00B970DA">
        <w:rPr>
          <w:rFonts w:asciiTheme="majorBidi" w:hAnsiTheme="majorBidi" w:cstheme="majorBidi"/>
          <w:sz w:val="20"/>
          <w:szCs w:val="20"/>
          <w:lang w:bidi="ar-EG"/>
        </w:rPr>
        <w:t>, retention time; N, number of theoretical plates; T, tailing factor; R</w:t>
      </w:r>
      <w:r w:rsidRPr="00B970DA">
        <w:rPr>
          <w:rFonts w:asciiTheme="majorBidi" w:hAnsiTheme="majorBidi" w:cstheme="majorBidi"/>
          <w:sz w:val="20"/>
          <w:szCs w:val="20"/>
          <w:vertAlign w:val="subscript"/>
          <w:lang w:bidi="ar-EG"/>
        </w:rPr>
        <w:t>s</w:t>
      </w:r>
      <w:r w:rsidRPr="00B970DA">
        <w:rPr>
          <w:rFonts w:asciiTheme="majorBidi" w:hAnsiTheme="majorBidi" w:cstheme="majorBidi"/>
          <w:sz w:val="20"/>
          <w:szCs w:val="20"/>
          <w:lang w:bidi="ar-EG"/>
        </w:rPr>
        <w:t>, resolution.</w:t>
      </w:r>
    </w:p>
    <w:p w:rsidR="00B03B36" w:rsidRPr="0031750D" w:rsidRDefault="009B2EDA" w:rsidP="0031750D">
      <w:pPr>
        <w:pStyle w:val="TableParagraph"/>
        <w:bidi/>
        <w:jc w:val="right"/>
        <w:rPr>
          <w:rFonts w:asciiTheme="majorBidi" w:hAnsiTheme="majorBidi" w:cstheme="majorBidi" w:hint="cs"/>
          <w:sz w:val="20"/>
          <w:szCs w:val="20"/>
          <w:rtl/>
          <w:lang w:bidi="ar-EG"/>
        </w:rPr>
      </w:pPr>
      <w:r w:rsidRPr="00B970DA">
        <w:rPr>
          <w:rFonts w:asciiTheme="majorBidi" w:hAnsiTheme="majorBidi" w:cstheme="majorBidi"/>
          <w:sz w:val="20"/>
          <w:szCs w:val="20"/>
          <w:lang w:bidi="ar-EG"/>
        </w:rPr>
        <w:t>MET, metformin; MEL, melamine; CYG, cyanoguanidine; LIN, linagliptin; EMP, empagliflozin</w:t>
      </w:r>
      <w:r w:rsidR="001E247D">
        <w:rPr>
          <w:rFonts w:asciiTheme="majorBidi" w:hAnsiTheme="majorBidi" w:cstheme="majorBidi"/>
          <w:sz w:val="24"/>
          <w:szCs w:val="24"/>
          <w:lang w:bidi="ar-EG"/>
        </w:rPr>
        <w:t>.</w:t>
      </w:r>
    </w:p>
    <w:sectPr w:rsidR="00B03B36" w:rsidRPr="0031750D" w:rsidSect="001468C9">
      <w:headerReference w:type="default" r:id="rId6"/>
      <w:pgSz w:w="16838" w:h="11906" w:orient="landscape"/>
      <w:pgMar w:top="1800" w:right="1440" w:bottom="1800" w:left="1440" w:header="0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102" w:rsidRDefault="00BB1102" w:rsidP="00ED40EC">
      <w:pPr>
        <w:spacing w:after="0" w:line="240" w:lineRule="auto"/>
      </w:pPr>
      <w:r>
        <w:separator/>
      </w:r>
    </w:p>
  </w:endnote>
  <w:endnote w:type="continuationSeparator" w:id="1">
    <w:p w:rsidR="00BB1102" w:rsidRDefault="00BB1102" w:rsidP="00ED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TIX-Regular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102" w:rsidRDefault="00BB1102" w:rsidP="00ED40EC">
      <w:pPr>
        <w:spacing w:after="0" w:line="240" w:lineRule="auto"/>
      </w:pPr>
      <w:r>
        <w:separator/>
      </w:r>
    </w:p>
  </w:footnote>
  <w:footnote w:type="continuationSeparator" w:id="1">
    <w:p w:rsidR="00BB1102" w:rsidRDefault="00BB1102" w:rsidP="00ED4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D10" w:rsidRPr="0077683F" w:rsidRDefault="00426D10" w:rsidP="00B03595">
    <w:pPr>
      <w:spacing w:line="360" w:lineRule="auto"/>
      <w:ind w:right="-851"/>
      <w:jc w:val="center"/>
      <w:rPr>
        <w:rFonts w:asciiTheme="majorBidi" w:hAnsiTheme="majorBidi" w:cstheme="majorBidi"/>
        <w:vertAlign w:val="superscript"/>
        <w:rtl/>
        <w:lang w:bidi="ar-EG"/>
      </w:rPr>
    </w:pPr>
  </w:p>
  <w:p w:rsidR="00426D10" w:rsidRPr="001468C9" w:rsidRDefault="00426D10" w:rsidP="00877D33">
    <w:pPr>
      <w:spacing w:line="360" w:lineRule="auto"/>
      <w:ind w:right="-851"/>
      <w:jc w:val="center"/>
      <w:rPr>
        <w:rFonts w:asciiTheme="majorBidi" w:hAnsiTheme="majorBidi" w:cstheme="majorBidi"/>
        <w:b/>
        <w:bCs/>
        <w:sz w:val="16"/>
        <w:szCs w:val="16"/>
        <w:rtl/>
        <w:lang w:bidi="ar-EG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ttachedTemplate r:id="rId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0EC"/>
    <w:rsid w:val="000247CA"/>
    <w:rsid w:val="00027835"/>
    <w:rsid w:val="00036FFA"/>
    <w:rsid w:val="00080D0D"/>
    <w:rsid w:val="001468C9"/>
    <w:rsid w:val="00194750"/>
    <w:rsid w:val="001B3C81"/>
    <w:rsid w:val="001E247D"/>
    <w:rsid w:val="0021085B"/>
    <w:rsid w:val="002154E9"/>
    <w:rsid w:val="002202F6"/>
    <w:rsid w:val="002352F8"/>
    <w:rsid w:val="00242B93"/>
    <w:rsid w:val="00275CA3"/>
    <w:rsid w:val="002C057E"/>
    <w:rsid w:val="002D7F43"/>
    <w:rsid w:val="0031750D"/>
    <w:rsid w:val="003964DC"/>
    <w:rsid w:val="0040710C"/>
    <w:rsid w:val="00426D10"/>
    <w:rsid w:val="004469CA"/>
    <w:rsid w:val="00490EE7"/>
    <w:rsid w:val="004C259F"/>
    <w:rsid w:val="004E5E07"/>
    <w:rsid w:val="005251D9"/>
    <w:rsid w:val="006C614C"/>
    <w:rsid w:val="006F032C"/>
    <w:rsid w:val="0077683F"/>
    <w:rsid w:val="00815E91"/>
    <w:rsid w:val="008573A1"/>
    <w:rsid w:val="00877D33"/>
    <w:rsid w:val="008F5A2A"/>
    <w:rsid w:val="0099464F"/>
    <w:rsid w:val="009B2EDA"/>
    <w:rsid w:val="00A10F25"/>
    <w:rsid w:val="00A135E6"/>
    <w:rsid w:val="00A31F6A"/>
    <w:rsid w:val="00A71313"/>
    <w:rsid w:val="00AE2CC8"/>
    <w:rsid w:val="00B03595"/>
    <w:rsid w:val="00B0367A"/>
    <w:rsid w:val="00B03B36"/>
    <w:rsid w:val="00B40025"/>
    <w:rsid w:val="00B44457"/>
    <w:rsid w:val="00BB1102"/>
    <w:rsid w:val="00BE1F9C"/>
    <w:rsid w:val="00CB5D15"/>
    <w:rsid w:val="00CD0EAA"/>
    <w:rsid w:val="00CE7BC5"/>
    <w:rsid w:val="00CF7106"/>
    <w:rsid w:val="00D71563"/>
    <w:rsid w:val="00D72833"/>
    <w:rsid w:val="00DB6B34"/>
    <w:rsid w:val="00DD0EF8"/>
    <w:rsid w:val="00DE273B"/>
    <w:rsid w:val="00E123DB"/>
    <w:rsid w:val="00EA3B22"/>
    <w:rsid w:val="00ED40EC"/>
    <w:rsid w:val="00F36C23"/>
    <w:rsid w:val="00F437F1"/>
    <w:rsid w:val="00F81F20"/>
    <w:rsid w:val="00FB573D"/>
    <w:rsid w:val="00FC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14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61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F7106"/>
    <w:pPr>
      <w:widowControl w:val="0"/>
      <w:autoSpaceDE w:val="0"/>
      <w:autoSpaceDN w:val="0"/>
      <w:bidi w:val="0"/>
      <w:spacing w:before="36" w:after="0" w:line="240" w:lineRule="auto"/>
      <w:ind w:left="119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ED40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40EC"/>
  </w:style>
  <w:style w:type="paragraph" w:styleId="Footer">
    <w:name w:val="footer"/>
    <w:basedOn w:val="Normal"/>
    <w:link w:val="FooterChar"/>
    <w:uiPriority w:val="99"/>
    <w:semiHidden/>
    <w:unhideWhenUsed/>
    <w:rsid w:val="00ED40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40EC"/>
  </w:style>
  <w:style w:type="paragraph" w:styleId="BalloonText">
    <w:name w:val="Balloon Text"/>
    <w:basedOn w:val="Normal"/>
    <w:link w:val="BalloonTextChar"/>
    <w:uiPriority w:val="99"/>
    <w:semiHidden/>
    <w:unhideWhenUsed/>
    <w:rsid w:val="0021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ost\Desktop\antidiabetic%20paper\Table%20S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Table S1</Template>
  <TotalTime>671</TotalTime>
  <Pages>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5</cp:revision>
  <dcterms:created xsi:type="dcterms:W3CDTF">2022-05-25T11:14:00Z</dcterms:created>
  <dcterms:modified xsi:type="dcterms:W3CDTF">2022-09-27T20:31:00Z</dcterms:modified>
</cp:coreProperties>
</file>