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B0412" w14:textId="18F2D883" w:rsidR="00286417" w:rsidRDefault="00000000" w:rsidP="00C34FAB">
      <w:pPr>
        <w:spacing w:beforeLines="50" w:before="156" w:afterLines="50" w:after="156" w:line="300" w:lineRule="auto"/>
        <w:jc w:val="left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  <w:r>
        <w:rPr>
          <w:rFonts w:ascii="Times New Roman" w:eastAsia="黑体" w:hAnsi="Times New Roman" w:cs="Times New Roman" w:hint="eastAsia"/>
          <w:b/>
          <w:color w:val="000000" w:themeColor="text1"/>
          <w:sz w:val="28"/>
          <w:szCs w:val="21"/>
        </w:rPr>
        <w:t>Supplementary Information</w:t>
      </w:r>
    </w:p>
    <w:p w14:paraId="4E7829D7" w14:textId="77777777" w:rsidR="00C34FAB" w:rsidRDefault="00C34FAB" w:rsidP="00C34FAB">
      <w:pPr>
        <w:spacing w:line="300" w:lineRule="auto"/>
        <w:jc w:val="center"/>
        <w:rPr>
          <w:rFonts w:ascii="Times New Roman" w:eastAsia="黑体" w:hAnsi="Times New Roman" w:cs="Times New Roman"/>
          <w:b/>
          <w:sz w:val="32"/>
          <w:szCs w:val="32"/>
        </w:rPr>
      </w:pPr>
      <w:bookmarkStart w:id="0" w:name="_Hlk107321722"/>
      <w:bookmarkStart w:id="1" w:name="OLE_LINK26"/>
      <w:bookmarkStart w:id="2" w:name="OLE_LINK38"/>
      <w:bookmarkStart w:id="3" w:name="OLE_LINK37"/>
      <w:bookmarkEnd w:id="0"/>
      <w:r>
        <w:rPr>
          <w:rFonts w:ascii="Times New Roman" w:eastAsia="黑体" w:hAnsi="Times New Roman" w:cs="Times New Roman" w:hint="eastAsia"/>
          <w:b/>
          <w:sz w:val="32"/>
          <w:szCs w:val="32"/>
        </w:rPr>
        <w:t>Bioorganic</w:t>
      </w:r>
      <w:r>
        <w:rPr>
          <w:rFonts w:ascii="Times New Roman" w:eastAsia="黑体" w:hAnsi="Times New Roman" w:cs="Times New Roman"/>
          <w:b/>
          <w:sz w:val="32"/>
          <w:szCs w:val="32"/>
        </w:rPr>
        <w:t xml:space="preserve"> Two-Photon Nanoprobes with a </w:t>
      </w:r>
      <w:bookmarkStart w:id="4" w:name="OLE_LINK17"/>
      <w:r>
        <w:rPr>
          <w:rFonts w:ascii="Times New Roman" w:eastAsia="黑体" w:hAnsi="Times New Roman" w:cs="Times New Roman"/>
          <w:b/>
          <w:sz w:val="32"/>
          <w:szCs w:val="32"/>
        </w:rPr>
        <w:t>Photo-Oxidation Enhanced Emission</w:t>
      </w:r>
      <w:bookmarkEnd w:id="4"/>
      <w:r>
        <w:rPr>
          <w:rFonts w:ascii="Times New Roman" w:eastAsia="黑体" w:hAnsi="Times New Roman" w:cs="Times New Roman"/>
          <w:b/>
          <w:sz w:val="32"/>
          <w:szCs w:val="32"/>
        </w:rPr>
        <w:t xml:space="preserve"> Mechanism</w:t>
      </w:r>
      <w:bookmarkEnd w:id="1"/>
    </w:p>
    <w:p w14:paraId="72EA0E2B" w14:textId="77777777" w:rsidR="00C34FAB" w:rsidRDefault="00C34FAB" w:rsidP="00C34FAB">
      <w:pPr>
        <w:spacing w:line="300" w:lineRule="auto"/>
        <w:jc w:val="center"/>
        <w:rPr>
          <w:rFonts w:ascii="Times New Roman" w:eastAsia="黑体" w:hAnsi="Times New Roman" w:cs="Times New Roman"/>
          <w:b/>
          <w:sz w:val="24"/>
          <w:szCs w:val="21"/>
        </w:rPr>
      </w:pPr>
    </w:p>
    <w:bookmarkEnd w:id="2"/>
    <w:bookmarkEnd w:id="3"/>
    <w:p w14:paraId="182E8B7F" w14:textId="77777777" w:rsidR="00C34FAB" w:rsidRDefault="00C34FAB" w:rsidP="00C34FAB">
      <w:pPr>
        <w:spacing w:line="300" w:lineRule="auto"/>
        <w:jc w:val="center"/>
        <w:rPr>
          <w:rFonts w:ascii="Times New Roman" w:eastAsia="黑体" w:hAnsi="Times New Roman" w:cs="Times New Roman"/>
          <w:sz w:val="24"/>
          <w:szCs w:val="21"/>
          <w:vertAlign w:val="superscript"/>
          <w:lang w:val="nl-NL"/>
        </w:rPr>
      </w:pPr>
      <w:r>
        <w:rPr>
          <w:rFonts w:ascii="Times New Roman" w:eastAsia="黑体" w:hAnsi="Times New Roman" w:cs="Times New Roman"/>
          <w:sz w:val="24"/>
          <w:szCs w:val="21"/>
          <w:lang w:val="nl-NL"/>
        </w:rPr>
        <w:t>Shukun Li</w:t>
      </w:r>
      <w:r>
        <w:rPr>
          <w:rFonts w:ascii="Times New Roman" w:eastAsia="黑体" w:hAnsi="Times New Roman" w:cs="Times New Roman"/>
          <w:sz w:val="24"/>
          <w:szCs w:val="21"/>
          <w:vertAlign w:val="superscript"/>
          <w:lang w:val="nl-NL"/>
        </w:rPr>
        <w:t>1, 2</w:t>
      </w:r>
      <w:r>
        <w:rPr>
          <w:rFonts w:ascii="Times New Roman" w:eastAsia="黑体" w:hAnsi="Times New Roman" w:cs="Times New Roman"/>
          <w:sz w:val="24"/>
          <w:szCs w:val="21"/>
          <w:lang w:val="nl-NL"/>
        </w:rPr>
        <w:t>,</w:t>
      </w:r>
      <w:r>
        <w:rPr>
          <w:rFonts w:ascii="Times New Roman" w:eastAsia="黑体" w:hAnsi="Times New Roman" w:cs="Times New Roman" w:hint="eastAsia"/>
          <w:sz w:val="24"/>
          <w:szCs w:val="21"/>
          <w:lang w:val="nl-NL"/>
        </w:rPr>
        <w:t xml:space="preserve"> Rui Chang</w:t>
      </w:r>
      <w:r>
        <w:rPr>
          <w:rFonts w:ascii="Times New Roman" w:eastAsia="黑体" w:hAnsi="Times New Roman" w:cs="Times New Roman"/>
          <w:sz w:val="24"/>
          <w:szCs w:val="21"/>
          <w:vertAlign w:val="superscript"/>
          <w:lang w:val="nl-NL"/>
        </w:rPr>
        <w:t>1</w:t>
      </w:r>
      <w:r>
        <w:rPr>
          <w:rFonts w:ascii="Times New Roman" w:eastAsia="黑体" w:hAnsi="Times New Roman" w:cs="Times New Roman" w:hint="eastAsia"/>
          <w:sz w:val="24"/>
          <w:szCs w:val="21"/>
          <w:lang w:val="nl-NL"/>
        </w:rPr>
        <w:t>,</w:t>
      </w:r>
      <w:r>
        <w:rPr>
          <w:rFonts w:ascii="Times New Roman" w:eastAsia="黑体" w:hAnsi="Times New Roman" w:cs="Times New Roman"/>
          <w:sz w:val="24"/>
          <w:szCs w:val="21"/>
          <w:lang w:val="nl-NL"/>
        </w:rPr>
        <w:t xml:space="preserve"> Luyang Zhao</w:t>
      </w:r>
      <w:r>
        <w:rPr>
          <w:rFonts w:ascii="Times New Roman" w:eastAsia="黑体" w:hAnsi="Times New Roman" w:cs="Times New Roman"/>
          <w:sz w:val="24"/>
          <w:szCs w:val="21"/>
          <w:vertAlign w:val="superscript"/>
          <w:lang w:val="nl-NL"/>
        </w:rPr>
        <w:t>1</w:t>
      </w:r>
      <w:r>
        <w:rPr>
          <w:rFonts w:ascii="Times New Roman" w:eastAsia="黑体" w:hAnsi="Times New Roman" w:cs="Times New Roman"/>
          <w:sz w:val="24"/>
          <w:szCs w:val="21"/>
          <w:lang w:val="nl-NL"/>
        </w:rPr>
        <w:t xml:space="preserve">, </w:t>
      </w:r>
      <w:proofErr w:type="spellStart"/>
      <w:r>
        <w:rPr>
          <w:rFonts w:ascii="Times New Roman" w:eastAsia="黑体" w:hAnsi="Times New Roman" w:cs="Times New Roman" w:hint="eastAsia"/>
          <w:sz w:val="24"/>
          <w:szCs w:val="21"/>
        </w:rPr>
        <w:t>Ruirui</w:t>
      </w:r>
      <w:proofErr w:type="spellEnd"/>
      <w:r>
        <w:rPr>
          <w:rFonts w:ascii="Times New Roman" w:eastAsia="黑体" w:hAnsi="Times New Roman" w:cs="Times New Roman" w:hint="eastAsia"/>
          <w:sz w:val="24"/>
          <w:szCs w:val="21"/>
        </w:rPr>
        <w:t xml:space="preserve"> Xing</w:t>
      </w:r>
      <w:r>
        <w:rPr>
          <w:rFonts w:ascii="Times New Roman" w:eastAsia="黑体" w:hAnsi="Times New Roman" w:cs="Times New Roman"/>
          <w:sz w:val="24"/>
          <w:szCs w:val="21"/>
          <w:vertAlign w:val="superscript"/>
          <w:lang w:val="nl-NL"/>
        </w:rPr>
        <w:t>1,</w:t>
      </w:r>
      <w:r>
        <w:rPr>
          <w:rFonts w:ascii="Times New Roman" w:eastAsia="黑体" w:hAnsi="Times New Roman" w:cs="Times New Roman" w:hint="eastAsia"/>
          <w:sz w:val="24"/>
          <w:szCs w:val="21"/>
          <w:vertAlign w:val="superscript"/>
          <w:lang w:val="nl-NL"/>
        </w:rPr>
        <w:t>3</w:t>
      </w:r>
      <w:r>
        <w:rPr>
          <w:rFonts w:ascii="Times New Roman" w:eastAsia="黑体" w:hAnsi="Times New Roman" w:cs="Times New Roman"/>
          <w:sz w:val="24"/>
          <w:szCs w:val="21"/>
          <w:vertAlign w:val="superscript"/>
          <w:lang w:val="nl-NL"/>
        </w:rPr>
        <w:t>*</w:t>
      </w:r>
      <w:r>
        <w:rPr>
          <w:rFonts w:ascii="Times New Roman" w:eastAsia="黑体" w:hAnsi="Times New Roman" w:cs="Times New Roman"/>
          <w:sz w:val="24"/>
          <w:szCs w:val="21"/>
          <w:lang w:val="nl-NL"/>
        </w:rPr>
        <w:t>,</w:t>
      </w:r>
      <w:r>
        <w:rPr>
          <w:rFonts w:ascii="Times New Roman" w:eastAsia="黑体" w:hAnsi="Times New Roman" w:cs="Times New Roman" w:hint="eastAsia"/>
          <w:sz w:val="24"/>
          <w:szCs w:val="21"/>
        </w:rPr>
        <w:t xml:space="preserve"> </w:t>
      </w:r>
      <w:r>
        <w:rPr>
          <w:rFonts w:ascii="Times New Roman" w:eastAsia="黑体" w:hAnsi="Times New Roman" w:cs="Times New Roman"/>
          <w:sz w:val="24"/>
          <w:szCs w:val="21"/>
          <w:lang w:val="nl-NL"/>
        </w:rPr>
        <w:t>Jan C. M. van Hest</w:t>
      </w:r>
      <w:r>
        <w:rPr>
          <w:rFonts w:ascii="Times New Roman" w:eastAsia="黑体" w:hAnsi="Times New Roman" w:cs="Times New Roman"/>
          <w:sz w:val="24"/>
          <w:szCs w:val="21"/>
          <w:vertAlign w:val="superscript"/>
          <w:lang w:val="nl-NL"/>
        </w:rPr>
        <w:t>2</w:t>
      </w:r>
      <w:r>
        <w:rPr>
          <w:rFonts w:ascii="Times New Roman" w:eastAsia="黑体" w:hAnsi="Times New Roman" w:cs="Times New Roman" w:hint="eastAsia"/>
          <w:sz w:val="24"/>
          <w:szCs w:val="21"/>
          <w:lang w:val="nl-NL"/>
        </w:rPr>
        <w:t>,</w:t>
      </w:r>
      <w:r>
        <w:rPr>
          <w:rFonts w:ascii="Times New Roman" w:eastAsia="黑体" w:hAnsi="Times New Roman" w:cs="Times New Roman"/>
          <w:sz w:val="24"/>
          <w:szCs w:val="21"/>
          <w:lang w:val="nl-NL"/>
        </w:rPr>
        <w:t xml:space="preserve"> Xuehai Yan</w:t>
      </w:r>
      <w:r>
        <w:rPr>
          <w:rFonts w:ascii="Times New Roman" w:eastAsia="黑体" w:hAnsi="Times New Roman" w:cs="Times New Roman"/>
          <w:sz w:val="24"/>
          <w:szCs w:val="21"/>
          <w:vertAlign w:val="superscript"/>
          <w:lang w:val="nl-NL"/>
        </w:rPr>
        <w:t>1,</w:t>
      </w:r>
      <w:r>
        <w:rPr>
          <w:rFonts w:ascii="Times New Roman" w:eastAsia="黑体" w:hAnsi="Times New Roman" w:cs="Times New Roman" w:hint="eastAsia"/>
          <w:sz w:val="24"/>
          <w:szCs w:val="21"/>
          <w:vertAlign w:val="superscript"/>
          <w:lang w:val="nl-NL"/>
        </w:rPr>
        <w:t>3,4</w:t>
      </w:r>
      <w:r>
        <w:rPr>
          <w:rFonts w:ascii="Times New Roman" w:eastAsia="黑体" w:hAnsi="Times New Roman" w:cs="Times New Roman"/>
          <w:sz w:val="24"/>
          <w:szCs w:val="21"/>
          <w:vertAlign w:val="superscript"/>
          <w:lang w:val="nl-NL"/>
        </w:rPr>
        <w:t xml:space="preserve">* </w:t>
      </w:r>
    </w:p>
    <w:p w14:paraId="4CAA54FD" w14:textId="77777777" w:rsidR="00C34FAB" w:rsidRDefault="00C34FAB" w:rsidP="00C34FAB">
      <w:pPr>
        <w:spacing w:line="300" w:lineRule="auto"/>
        <w:jc w:val="center"/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/>
          <w:sz w:val="24"/>
          <w:szCs w:val="21"/>
          <w:vertAlign w:val="superscript"/>
        </w:rPr>
        <w:t>1</w:t>
      </w:r>
      <w:r>
        <w:rPr>
          <w:rFonts w:ascii="Times New Roman" w:eastAsia="黑体" w:hAnsi="Times New Roman" w:cs="Times New Roman"/>
          <w:sz w:val="24"/>
          <w:szCs w:val="21"/>
        </w:rPr>
        <w:t xml:space="preserve"> State Key Laboratory of Biochemical Engineering, Institute of Process Engineering, Beijing 100190, China</w:t>
      </w:r>
    </w:p>
    <w:p w14:paraId="3D8B3D2F" w14:textId="77777777" w:rsidR="00C34FAB" w:rsidRDefault="00C34FAB" w:rsidP="00C34FAB">
      <w:pPr>
        <w:spacing w:line="300" w:lineRule="auto"/>
        <w:jc w:val="center"/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/>
          <w:sz w:val="24"/>
          <w:szCs w:val="21"/>
          <w:vertAlign w:val="superscript"/>
        </w:rPr>
        <w:t>2</w:t>
      </w:r>
      <w:r>
        <w:rPr>
          <w:rFonts w:ascii="Times New Roman" w:eastAsia="黑体" w:hAnsi="Times New Roman" w:cs="Times New Roman"/>
          <w:sz w:val="24"/>
          <w:szCs w:val="21"/>
        </w:rPr>
        <w:t xml:space="preserve"> Bio-Organic Chemistry, Institute for Complex Molecular Systems, Eindhoven University of Technology, P.O. Box 513, MB Eindhoven, The Netherlands</w:t>
      </w:r>
    </w:p>
    <w:p w14:paraId="21B714A9" w14:textId="77777777" w:rsidR="00C34FAB" w:rsidRDefault="00C34FAB" w:rsidP="00C34FAB">
      <w:pPr>
        <w:spacing w:line="300" w:lineRule="auto"/>
        <w:jc w:val="center"/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 w:hint="eastAsia"/>
          <w:sz w:val="24"/>
          <w:szCs w:val="21"/>
          <w:vertAlign w:val="superscript"/>
        </w:rPr>
        <w:t xml:space="preserve">3 </w:t>
      </w:r>
      <w:r>
        <w:rPr>
          <w:rFonts w:ascii="Times New Roman" w:eastAsia="黑体" w:hAnsi="Times New Roman" w:cs="Times New Roman" w:hint="eastAsia"/>
          <w:sz w:val="24"/>
          <w:szCs w:val="21"/>
        </w:rPr>
        <w:t>School of Chemical Engineering, University of Chinese Academy of Sciences, Beijing 100049, China</w:t>
      </w:r>
    </w:p>
    <w:p w14:paraId="07A0500B" w14:textId="74B16C3D" w:rsidR="00C34FAB" w:rsidRDefault="00C34FAB" w:rsidP="00C34FAB">
      <w:pPr>
        <w:spacing w:line="300" w:lineRule="auto"/>
        <w:jc w:val="center"/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 w:hint="eastAsia"/>
          <w:sz w:val="24"/>
          <w:szCs w:val="21"/>
          <w:vertAlign w:val="superscript"/>
        </w:rPr>
        <w:t xml:space="preserve">4 </w:t>
      </w:r>
      <w:r>
        <w:rPr>
          <w:rFonts w:ascii="Times New Roman" w:eastAsia="黑体" w:hAnsi="Times New Roman" w:cs="Times New Roman" w:hint="eastAsia"/>
          <w:sz w:val="24"/>
          <w:szCs w:val="21"/>
        </w:rPr>
        <w:t xml:space="preserve">Center for </w:t>
      </w:r>
      <w:proofErr w:type="spellStart"/>
      <w:r>
        <w:rPr>
          <w:rFonts w:ascii="Times New Roman" w:eastAsia="黑体" w:hAnsi="Times New Roman" w:cs="Times New Roman" w:hint="eastAsia"/>
          <w:sz w:val="24"/>
          <w:szCs w:val="21"/>
        </w:rPr>
        <w:t>Mesoscience</w:t>
      </w:r>
      <w:proofErr w:type="spellEnd"/>
      <w:r>
        <w:rPr>
          <w:rFonts w:ascii="Times New Roman" w:eastAsia="黑体" w:hAnsi="Times New Roman" w:cs="Times New Roman" w:hint="eastAsia"/>
          <w:sz w:val="24"/>
          <w:szCs w:val="21"/>
        </w:rPr>
        <w:t>, Institute of Process Engineering, Chinese Academy of Sciences, Beijing 100190, China</w:t>
      </w:r>
    </w:p>
    <w:p w14:paraId="5592562C" w14:textId="77777777" w:rsidR="00C34FAB" w:rsidRDefault="00C34FAB">
      <w:pPr>
        <w:widowControl/>
        <w:jc w:val="left"/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/>
          <w:sz w:val="24"/>
          <w:szCs w:val="21"/>
        </w:rPr>
        <w:br w:type="page"/>
      </w:r>
    </w:p>
    <w:p w14:paraId="2A2C3E4F" w14:textId="3567F8B9" w:rsidR="00134780" w:rsidRDefault="00134780" w:rsidP="00134780">
      <w:pPr>
        <w:spacing w:beforeLines="50" w:before="156" w:afterLines="50" w:after="156" w:line="300" w:lineRule="auto"/>
        <w:rPr>
          <w:rFonts w:ascii="Times New Roman" w:eastAsia="黑体" w:hAnsi="Times New Roman" w:cs="Times New Roman"/>
          <w:b/>
          <w:sz w:val="24"/>
          <w:szCs w:val="21"/>
        </w:rPr>
      </w:pPr>
      <w:r>
        <w:rPr>
          <w:rFonts w:ascii="Times New Roman" w:eastAsia="黑体" w:hAnsi="Times New Roman" w:cs="Times New Roman"/>
          <w:b/>
          <w:sz w:val="24"/>
          <w:szCs w:val="21"/>
        </w:rPr>
        <w:lastRenderedPageBreak/>
        <w:t xml:space="preserve">Supplementary </w:t>
      </w:r>
      <w:r>
        <w:rPr>
          <w:rFonts w:ascii="Times New Roman" w:eastAsia="黑体" w:hAnsi="Times New Roman" w:cs="Times New Roman" w:hint="eastAsia"/>
          <w:b/>
          <w:sz w:val="24"/>
          <w:szCs w:val="21"/>
        </w:rPr>
        <w:t>figure</w:t>
      </w:r>
      <w:r>
        <w:rPr>
          <w:rFonts w:ascii="Times New Roman" w:eastAsia="黑体" w:hAnsi="Times New Roman" w:cs="Times New Roman"/>
          <w:b/>
          <w:sz w:val="24"/>
          <w:szCs w:val="21"/>
        </w:rPr>
        <w:t>s</w:t>
      </w:r>
    </w:p>
    <w:p w14:paraId="648081D5" w14:textId="4126C332" w:rsidR="00286417" w:rsidRDefault="00286417" w:rsidP="00424827">
      <w:pPr>
        <w:spacing w:line="360" w:lineRule="auto"/>
        <w:jc w:val="left"/>
        <w:rPr>
          <w:rFonts w:ascii="Times New Roman" w:eastAsia="黑体" w:hAnsi="Times New Roman" w:cs="Times New Roman"/>
          <w:b/>
          <w:sz w:val="24"/>
          <w:szCs w:val="21"/>
        </w:rPr>
      </w:pPr>
    </w:p>
    <w:p w14:paraId="071B2F3B" w14:textId="77777777" w:rsidR="00C34FAB" w:rsidRDefault="00C34FAB" w:rsidP="00424827">
      <w:pPr>
        <w:spacing w:line="360" w:lineRule="auto"/>
        <w:jc w:val="left"/>
        <w:rPr>
          <w:rFonts w:ascii="Times New Roman" w:eastAsia="黑体" w:hAnsi="Times New Roman" w:cs="Times New Roman"/>
          <w:b/>
          <w:sz w:val="24"/>
          <w:szCs w:val="21"/>
        </w:rPr>
      </w:pPr>
    </w:p>
    <w:p w14:paraId="3101AE35" w14:textId="77777777" w:rsidR="00286417" w:rsidRDefault="00000000">
      <w:pPr>
        <w:spacing w:beforeLines="50" w:before="156" w:afterLines="50" w:after="156" w:line="300" w:lineRule="auto"/>
        <w:jc w:val="center"/>
        <w:rPr>
          <w:rFonts w:ascii="Times New Roman" w:eastAsia="黑体" w:hAnsi="Times New Roman" w:cs="Times New Roman"/>
          <w:sz w:val="24"/>
          <w:szCs w:val="21"/>
        </w:rPr>
      </w:pPr>
      <w:r>
        <w:rPr>
          <w:noProof/>
        </w:rPr>
        <w:drawing>
          <wp:inline distT="0" distB="0" distL="0" distR="0" wp14:anchorId="61FB3DC7" wp14:editId="7E7DDEF2">
            <wp:extent cx="1801495" cy="8534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FB53" w14:textId="77777777" w:rsidR="00286417" w:rsidRDefault="00000000">
      <w:pPr>
        <w:spacing w:beforeLines="50" w:before="156" w:afterLines="50" w:after="156" w:line="300" w:lineRule="auto"/>
        <w:jc w:val="left"/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 w:hint="eastAsia"/>
          <w:sz w:val="24"/>
          <w:szCs w:val="21"/>
        </w:rPr>
        <w:t>Fig</w:t>
      </w:r>
      <w:r>
        <w:rPr>
          <w:rFonts w:ascii="Times New Roman" w:eastAsia="黑体" w:hAnsi="Times New Roman" w:cs="Times New Roman"/>
          <w:sz w:val="24"/>
          <w:szCs w:val="21"/>
        </w:rPr>
        <w:t>ure S1. Chemical structure of ZHO.</w:t>
      </w:r>
    </w:p>
    <w:p w14:paraId="10AA715A" w14:textId="77777777" w:rsidR="00286417" w:rsidRDefault="00286417">
      <w:pPr>
        <w:snapToGrid w:val="0"/>
        <w:spacing w:line="360" w:lineRule="auto"/>
        <w:jc w:val="center"/>
        <w:rPr>
          <w:rFonts w:ascii="Times New Roman" w:eastAsia="黑体" w:hAnsi="Times New Roman" w:cs="Times New Roman"/>
          <w:sz w:val="24"/>
          <w:szCs w:val="21"/>
        </w:rPr>
      </w:pPr>
    </w:p>
    <w:p w14:paraId="75CB4722" w14:textId="77777777" w:rsidR="00286417" w:rsidRDefault="00286417">
      <w:pPr>
        <w:snapToGrid w:val="0"/>
        <w:spacing w:line="360" w:lineRule="auto"/>
        <w:jc w:val="center"/>
        <w:rPr>
          <w:rFonts w:ascii="Times New Roman" w:eastAsia="黑体" w:hAnsi="Times New Roman" w:cs="Times New Roman"/>
          <w:sz w:val="24"/>
          <w:szCs w:val="21"/>
        </w:rPr>
      </w:pPr>
    </w:p>
    <w:p w14:paraId="1274E176" w14:textId="77777777" w:rsidR="00286417" w:rsidRDefault="00286417">
      <w:pPr>
        <w:snapToGrid w:val="0"/>
        <w:spacing w:line="360" w:lineRule="auto"/>
        <w:jc w:val="center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</w:p>
    <w:p w14:paraId="28FA13F5" w14:textId="77777777" w:rsidR="00286417" w:rsidRDefault="00286417">
      <w:pPr>
        <w:snapToGrid w:val="0"/>
        <w:spacing w:line="360" w:lineRule="auto"/>
        <w:jc w:val="center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</w:p>
    <w:p w14:paraId="1CDC584D" w14:textId="77777777" w:rsidR="00286417" w:rsidRDefault="00286417">
      <w:pPr>
        <w:snapToGrid w:val="0"/>
        <w:spacing w:line="360" w:lineRule="auto"/>
        <w:jc w:val="center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</w:p>
    <w:p w14:paraId="4C344196" w14:textId="77777777" w:rsidR="00286417" w:rsidRDefault="00000000">
      <w:pPr>
        <w:jc w:val="center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  <w:r>
        <w:rPr>
          <w:noProof/>
        </w:rPr>
        <w:drawing>
          <wp:inline distT="0" distB="0" distL="0" distR="0" wp14:anchorId="3DDEDA15" wp14:editId="29612E53">
            <wp:extent cx="2194560" cy="1530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4F980" w14:textId="77777777" w:rsidR="00286417" w:rsidRDefault="00000000">
      <w:pPr>
        <w:jc w:val="center"/>
        <w:rPr>
          <w:rFonts w:ascii="Times New Roman" w:eastAsia="黑体" w:hAnsi="Times New Roman" w:cs="Times New Roman"/>
          <w:sz w:val="24"/>
          <w:szCs w:val="21"/>
        </w:rPr>
      </w:pPr>
      <w:bookmarkStart w:id="5" w:name="OLE_LINK4"/>
      <w:r>
        <w:rPr>
          <w:rFonts w:ascii="Times New Roman" w:eastAsia="黑体" w:hAnsi="Times New Roman" w:cs="Times New Roman" w:hint="eastAsia"/>
          <w:sz w:val="24"/>
          <w:szCs w:val="21"/>
        </w:rPr>
        <w:t>Fig</w:t>
      </w:r>
      <w:r>
        <w:rPr>
          <w:rFonts w:ascii="Times New Roman" w:eastAsia="黑体" w:hAnsi="Times New Roman" w:cs="Times New Roman"/>
          <w:sz w:val="24"/>
          <w:szCs w:val="21"/>
        </w:rPr>
        <w:t>ure S2. TEM image of ZHO/ICG nanodroplets.</w:t>
      </w:r>
    </w:p>
    <w:bookmarkEnd w:id="5"/>
    <w:p w14:paraId="1EA46D75" w14:textId="77777777" w:rsidR="00286417" w:rsidRDefault="00000000">
      <w:pPr>
        <w:widowControl/>
        <w:jc w:val="left"/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/>
          <w:sz w:val="24"/>
          <w:szCs w:val="21"/>
        </w:rPr>
        <w:br w:type="page"/>
      </w:r>
    </w:p>
    <w:p w14:paraId="2507DFB2" w14:textId="77777777" w:rsidR="00286417" w:rsidRDefault="00286417">
      <w:pPr>
        <w:snapToGrid w:val="0"/>
        <w:spacing w:line="360" w:lineRule="auto"/>
        <w:jc w:val="left"/>
        <w:rPr>
          <w:rFonts w:ascii="Times New Roman" w:eastAsia="黑体" w:hAnsi="Times New Roman" w:cs="Times New Roman"/>
          <w:sz w:val="24"/>
          <w:szCs w:val="21"/>
        </w:rPr>
      </w:pPr>
    </w:p>
    <w:p w14:paraId="3A1D805D" w14:textId="77777777" w:rsidR="00286417" w:rsidRDefault="00286417">
      <w:pPr>
        <w:snapToGrid w:val="0"/>
        <w:spacing w:line="360" w:lineRule="auto"/>
        <w:jc w:val="left"/>
        <w:rPr>
          <w:rFonts w:ascii="Times New Roman" w:eastAsia="黑体" w:hAnsi="Times New Roman" w:cs="Times New Roman"/>
          <w:sz w:val="24"/>
          <w:szCs w:val="21"/>
        </w:rPr>
      </w:pPr>
    </w:p>
    <w:p w14:paraId="18D23B51" w14:textId="77777777" w:rsidR="00286417" w:rsidRDefault="00000000">
      <w:pPr>
        <w:spacing w:beforeLines="50" w:before="156" w:afterLines="50" w:after="156"/>
        <w:jc w:val="center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  <w:r>
        <w:rPr>
          <w:noProof/>
        </w:rPr>
        <w:drawing>
          <wp:inline distT="0" distB="0" distL="0" distR="0" wp14:anchorId="103ADFB3" wp14:editId="3DA49CAF">
            <wp:extent cx="3599815" cy="2209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A497F" w14:textId="77777777" w:rsidR="00286417" w:rsidRDefault="00000000">
      <w:pPr>
        <w:rPr>
          <w:rFonts w:ascii="Times New Roman" w:eastAsia="黑体" w:hAnsi="Times New Roman" w:cs="Times New Roman"/>
          <w:sz w:val="24"/>
          <w:szCs w:val="21"/>
        </w:rPr>
      </w:pPr>
      <w:bookmarkStart w:id="6" w:name="OLE_LINK13"/>
      <w:bookmarkStart w:id="7" w:name="OLE_LINK14"/>
      <w:bookmarkStart w:id="8" w:name="OLE_LINK8"/>
      <w:bookmarkStart w:id="9" w:name="OLE_LINK7"/>
      <w:r>
        <w:rPr>
          <w:rFonts w:ascii="Times New Roman" w:eastAsia="黑体" w:hAnsi="Times New Roman" w:cs="Times New Roman" w:hint="eastAsia"/>
          <w:sz w:val="24"/>
          <w:szCs w:val="21"/>
        </w:rPr>
        <w:t>Fig</w:t>
      </w:r>
      <w:r>
        <w:rPr>
          <w:rFonts w:ascii="Times New Roman" w:eastAsia="黑体" w:hAnsi="Times New Roman" w:cs="Times New Roman"/>
          <w:sz w:val="24"/>
          <w:szCs w:val="21"/>
        </w:rPr>
        <w:t xml:space="preserve">ure S3. </w:t>
      </w:r>
      <w:bookmarkEnd w:id="6"/>
      <w:bookmarkEnd w:id="7"/>
      <w:r>
        <w:rPr>
          <w:rFonts w:ascii="Times New Roman" w:eastAsia="黑体" w:hAnsi="Times New Roman" w:cs="Times New Roman"/>
          <w:sz w:val="24"/>
          <w:szCs w:val="21"/>
        </w:rPr>
        <w:t>Picture of ZHO/ICG nanodroplets and ZHO/ICG/Zn</w:t>
      </w:r>
      <w:r>
        <w:rPr>
          <w:rFonts w:ascii="Times New Roman" w:eastAsia="黑体" w:hAnsi="Times New Roman" w:cs="Times New Roman"/>
          <w:sz w:val="24"/>
          <w:szCs w:val="21"/>
          <w:vertAlign w:val="superscript"/>
        </w:rPr>
        <w:t>2+</w:t>
      </w:r>
      <w:r>
        <w:rPr>
          <w:rFonts w:ascii="Times New Roman" w:eastAsia="黑体" w:hAnsi="Times New Roman" w:cs="Times New Roman"/>
          <w:sz w:val="24"/>
          <w:szCs w:val="21"/>
        </w:rPr>
        <w:t xml:space="preserve"> nanoparticles (NPs) before and after aging for 24 h. The concentration of ICG was 129 µM.</w:t>
      </w:r>
    </w:p>
    <w:p w14:paraId="5B227A61" w14:textId="77777777" w:rsidR="00286417" w:rsidRDefault="00286417">
      <w:pPr>
        <w:snapToGrid w:val="0"/>
        <w:spacing w:line="360" w:lineRule="auto"/>
        <w:jc w:val="center"/>
        <w:rPr>
          <w:rFonts w:ascii="Times New Roman" w:eastAsia="黑体" w:hAnsi="Times New Roman" w:cs="Times New Roman"/>
          <w:sz w:val="24"/>
          <w:szCs w:val="21"/>
        </w:rPr>
      </w:pPr>
    </w:p>
    <w:p w14:paraId="54BDD4FF" w14:textId="77777777" w:rsidR="00286417" w:rsidRDefault="00286417">
      <w:pPr>
        <w:snapToGrid w:val="0"/>
        <w:spacing w:line="360" w:lineRule="auto"/>
        <w:jc w:val="center"/>
        <w:rPr>
          <w:rFonts w:ascii="Times New Roman" w:eastAsia="黑体" w:hAnsi="Times New Roman" w:cs="Times New Roman"/>
          <w:sz w:val="24"/>
          <w:szCs w:val="21"/>
        </w:rPr>
      </w:pPr>
    </w:p>
    <w:p w14:paraId="11A11AD9" w14:textId="77777777" w:rsidR="00286417" w:rsidRDefault="00286417">
      <w:pPr>
        <w:snapToGrid w:val="0"/>
        <w:spacing w:line="360" w:lineRule="auto"/>
        <w:jc w:val="center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</w:p>
    <w:p w14:paraId="6C8FB2FF" w14:textId="77777777" w:rsidR="00286417" w:rsidRDefault="00286417">
      <w:pPr>
        <w:snapToGrid w:val="0"/>
        <w:spacing w:line="360" w:lineRule="auto"/>
        <w:jc w:val="center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</w:p>
    <w:p w14:paraId="5FD2DB5E" w14:textId="77777777" w:rsidR="00286417" w:rsidRDefault="00286417">
      <w:pPr>
        <w:snapToGrid w:val="0"/>
        <w:spacing w:line="360" w:lineRule="auto"/>
        <w:jc w:val="center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</w:p>
    <w:bookmarkEnd w:id="8"/>
    <w:bookmarkEnd w:id="9"/>
    <w:p w14:paraId="3736935E" w14:textId="77777777" w:rsidR="00286417" w:rsidRDefault="00000000">
      <w:pPr>
        <w:spacing w:beforeLines="50" w:before="156" w:afterLines="50" w:after="156"/>
        <w:jc w:val="center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  <w:r>
        <w:rPr>
          <w:noProof/>
        </w:rPr>
        <w:drawing>
          <wp:inline distT="0" distB="0" distL="0" distR="0" wp14:anchorId="6F1BCA6D" wp14:editId="1831A42C">
            <wp:extent cx="2519680" cy="18764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05E68" w14:textId="77777777" w:rsidR="00286417" w:rsidRDefault="00000000">
      <w:pPr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 w:hint="eastAsia"/>
          <w:sz w:val="24"/>
          <w:szCs w:val="21"/>
        </w:rPr>
        <w:t>Fig</w:t>
      </w:r>
      <w:r>
        <w:rPr>
          <w:rFonts w:ascii="Times New Roman" w:eastAsia="黑体" w:hAnsi="Times New Roman" w:cs="Times New Roman"/>
          <w:sz w:val="24"/>
          <w:szCs w:val="21"/>
        </w:rPr>
        <w:t>ure S4. UV-</w:t>
      </w:r>
      <w:proofErr w:type="gramStart"/>
      <w:r>
        <w:rPr>
          <w:rFonts w:ascii="Times New Roman" w:eastAsia="黑体" w:hAnsi="Times New Roman" w:cs="Times New Roman"/>
          <w:sz w:val="24"/>
          <w:szCs w:val="21"/>
        </w:rPr>
        <w:t>Vis</w:t>
      </w:r>
      <w:proofErr w:type="gramEnd"/>
      <w:r>
        <w:rPr>
          <w:rFonts w:ascii="Times New Roman" w:eastAsia="黑体" w:hAnsi="Times New Roman" w:cs="Times New Roman"/>
          <w:sz w:val="24"/>
          <w:szCs w:val="21"/>
        </w:rPr>
        <w:t xml:space="preserve"> absorption spectra of ICG nanodroplets and ICG NPs after aging for 24 h. The concentration of ICG was 129 µM.</w:t>
      </w:r>
    </w:p>
    <w:p w14:paraId="45F28CC7" w14:textId="77777777" w:rsidR="00286417" w:rsidRDefault="00000000">
      <w:pPr>
        <w:widowControl/>
        <w:jc w:val="left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  <w:r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  <w:br w:type="page"/>
      </w:r>
    </w:p>
    <w:p w14:paraId="050F95B3" w14:textId="77777777" w:rsidR="00286417" w:rsidRDefault="00286417">
      <w:pPr>
        <w:spacing w:beforeLines="50" w:before="156" w:afterLines="50" w:after="156"/>
        <w:rPr>
          <w:rFonts w:ascii="Times New Roman" w:eastAsia="黑体" w:hAnsi="Times New Roman" w:cs="Times New Roman"/>
          <w:sz w:val="24"/>
          <w:szCs w:val="21"/>
        </w:rPr>
      </w:pPr>
    </w:p>
    <w:p w14:paraId="41EE9A9E" w14:textId="77777777" w:rsidR="00286417" w:rsidRDefault="00286417">
      <w:pPr>
        <w:spacing w:beforeLines="50" w:before="156" w:afterLines="50" w:after="156"/>
        <w:rPr>
          <w:rFonts w:ascii="Times New Roman" w:eastAsia="黑体" w:hAnsi="Times New Roman" w:cs="Times New Roman"/>
          <w:sz w:val="24"/>
          <w:szCs w:val="21"/>
        </w:rPr>
      </w:pPr>
    </w:p>
    <w:p w14:paraId="79AE67C7" w14:textId="77777777" w:rsidR="00286417" w:rsidRDefault="00000000">
      <w:pPr>
        <w:spacing w:beforeLines="50" w:before="156" w:afterLines="50" w:after="156"/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/>
          <w:noProof/>
          <w:sz w:val="24"/>
          <w:szCs w:val="21"/>
        </w:rPr>
        <w:drawing>
          <wp:inline distT="0" distB="0" distL="0" distR="0" wp14:anchorId="4373E71A" wp14:editId="5075B659">
            <wp:extent cx="5274310" cy="7791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028F7" w14:textId="77777777" w:rsidR="00286417" w:rsidRDefault="00000000">
      <w:pPr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 w:hint="eastAsia"/>
          <w:sz w:val="24"/>
          <w:szCs w:val="21"/>
        </w:rPr>
        <w:t>F</w:t>
      </w:r>
      <w:r>
        <w:rPr>
          <w:rFonts w:ascii="Times New Roman" w:eastAsia="黑体" w:hAnsi="Times New Roman" w:cs="Times New Roman"/>
          <w:sz w:val="24"/>
          <w:szCs w:val="21"/>
        </w:rPr>
        <w:t>igure S5</w:t>
      </w:r>
      <w:r>
        <w:rPr>
          <w:rFonts w:ascii="Times New Roman" w:eastAsia="黑体" w:hAnsi="Times New Roman" w:cs="Times New Roman" w:hint="eastAsia"/>
          <w:sz w:val="24"/>
          <w:szCs w:val="21"/>
        </w:rPr>
        <w:t>.</w:t>
      </w:r>
      <w:r>
        <w:rPr>
          <w:rFonts w:ascii="Times New Roman" w:eastAsia="黑体" w:hAnsi="Times New Roman" w:cs="Times New Roman"/>
          <w:sz w:val="24"/>
          <w:szCs w:val="21"/>
        </w:rPr>
        <w:t xml:space="preserve"> TEM images of (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i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>)</w:t>
      </w:r>
      <w:r>
        <w:t xml:space="preserve"> </w:t>
      </w:r>
      <w:r>
        <w:rPr>
          <w:rFonts w:ascii="Times New Roman" w:eastAsia="黑体" w:hAnsi="Times New Roman" w:cs="Times New Roman"/>
          <w:sz w:val="24"/>
          <w:szCs w:val="21"/>
        </w:rPr>
        <w:t>ICG self-aggregates at high concentration for one week; (ii) IR 140 self-aggregates; (iii) ICG/BSA complex; (iv) ICG/PLL NPs and (v) IR 140/BSA NPs.</w:t>
      </w:r>
    </w:p>
    <w:p w14:paraId="76C06651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4E22226B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0E8F396B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279A697B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69CD6295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074BD23D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02CD150D" w14:textId="77777777" w:rsidR="00286417" w:rsidRDefault="00000000">
      <w:pPr>
        <w:spacing w:beforeLines="50" w:before="156" w:afterLines="50" w:after="156"/>
        <w:jc w:val="center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  <w:r>
        <w:rPr>
          <w:noProof/>
        </w:rPr>
        <w:drawing>
          <wp:inline distT="0" distB="0" distL="0" distR="0" wp14:anchorId="4EE14F5F" wp14:editId="34AEBD97">
            <wp:extent cx="5274310" cy="10337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519E" w14:textId="77777777" w:rsidR="00286417" w:rsidRDefault="00000000">
      <w:pPr>
        <w:rPr>
          <w:rFonts w:ascii="Times New Roman" w:eastAsia="黑体" w:hAnsi="Times New Roman" w:cs="Times New Roman"/>
          <w:sz w:val="24"/>
          <w:szCs w:val="21"/>
        </w:rPr>
      </w:pPr>
      <w:bookmarkStart w:id="10" w:name="OLE_LINK9"/>
      <w:bookmarkStart w:id="11" w:name="OLE_LINK10"/>
      <w:r>
        <w:rPr>
          <w:rFonts w:ascii="Times New Roman" w:eastAsia="黑体" w:hAnsi="Times New Roman" w:cs="Times New Roman"/>
          <w:sz w:val="24"/>
          <w:szCs w:val="21"/>
        </w:rPr>
        <w:t>Figure S6. CLSM images of (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i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>)</w:t>
      </w:r>
      <w:r>
        <w:t xml:space="preserve"> </w:t>
      </w:r>
      <w:r>
        <w:rPr>
          <w:rFonts w:ascii="Times New Roman" w:eastAsia="黑体" w:hAnsi="Times New Roman" w:cs="Times New Roman"/>
          <w:sz w:val="24"/>
          <w:szCs w:val="21"/>
        </w:rPr>
        <w:t>ICG self-aggregates at high concentration for one week, scale bar is 50 µm; (ii) IR 140 self-aggregates, scale bar is 10 µm; (iii) ICG/BSA complex, scale bar is 50 µm; (iv) ICG/PLL NPs, scale bar is 10 µm and (v) IR 140/BSA NPs, scale bar is 10 µm. All figures are obtained in the emission range of 495-540 nm</w:t>
      </w:r>
    </w:p>
    <w:p w14:paraId="6420CF39" w14:textId="77777777" w:rsidR="00286417" w:rsidRDefault="00000000">
      <w:pPr>
        <w:widowControl/>
        <w:jc w:val="left"/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/>
          <w:sz w:val="24"/>
          <w:szCs w:val="21"/>
        </w:rPr>
        <w:br w:type="page"/>
      </w:r>
    </w:p>
    <w:bookmarkEnd w:id="10"/>
    <w:bookmarkEnd w:id="11"/>
    <w:p w14:paraId="59BAB0B9" w14:textId="70BD97DD" w:rsidR="00286417" w:rsidRDefault="00286417">
      <w:pPr>
        <w:spacing w:beforeLines="50" w:before="156" w:afterLines="50" w:after="156"/>
        <w:rPr>
          <w:rFonts w:ascii="Times New Roman" w:eastAsia="黑体" w:hAnsi="Times New Roman" w:cs="Times New Roman"/>
          <w:sz w:val="24"/>
          <w:szCs w:val="21"/>
        </w:rPr>
      </w:pPr>
    </w:p>
    <w:p w14:paraId="3477DE24" w14:textId="77777777" w:rsidR="00134780" w:rsidRDefault="00134780">
      <w:pPr>
        <w:spacing w:beforeLines="50" w:before="156" w:afterLines="50" w:after="156"/>
        <w:rPr>
          <w:rFonts w:ascii="Times New Roman" w:eastAsia="黑体" w:hAnsi="Times New Roman" w:cs="Times New Roman" w:hint="eastAsia"/>
          <w:sz w:val="24"/>
          <w:szCs w:val="21"/>
        </w:rPr>
      </w:pPr>
    </w:p>
    <w:p w14:paraId="6A1A7C13" w14:textId="77777777" w:rsidR="00286417" w:rsidRDefault="00000000">
      <w:pPr>
        <w:spacing w:beforeLines="50" w:before="156" w:afterLines="50" w:after="156"/>
        <w:rPr>
          <w:rFonts w:ascii="Times New Roman" w:eastAsia="黑体" w:hAnsi="Times New Roman" w:cs="Times New Roman"/>
          <w:sz w:val="24"/>
          <w:szCs w:val="21"/>
        </w:rPr>
      </w:pPr>
      <w:r>
        <w:rPr>
          <w:noProof/>
        </w:rPr>
        <w:drawing>
          <wp:inline distT="0" distB="0" distL="0" distR="0" wp14:anchorId="2EAC07AC" wp14:editId="18AF25B5">
            <wp:extent cx="5274310" cy="26904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E110" w14:textId="77777777" w:rsidR="00286417" w:rsidRDefault="00000000">
      <w:pPr>
        <w:rPr>
          <w:rFonts w:ascii="Times New Roman" w:eastAsia="黑体" w:hAnsi="Times New Roman" w:cs="Times New Roman"/>
          <w:sz w:val="24"/>
          <w:szCs w:val="21"/>
        </w:rPr>
      </w:pPr>
      <w:bookmarkStart w:id="12" w:name="OLE_LINK42"/>
      <w:bookmarkStart w:id="13" w:name="OLE_LINK41"/>
      <w:r>
        <w:rPr>
          <w:rFonts w:ascii="Times New Roman" w:eastAsia="黑体" w:hAnsi="Times New Roman" w:cs="Times New Roman"/>
          <w:sz w:val="24"/>
          <w:szCs w:val="21"/>
        </w:rPr>
        <w:t xml:space="preserve">Figure S7. a) DLS measurements of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NPs. b) TEM image of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</w:t>
      </w:r>
      <w:r>
        <w:rPr>
          <w:rFonts w:ascii="Times New Roman" w:eastAsia="黑体" w:hAnsi="Times New Roman" w:cs="Times New Roman" w:hint="eastAsia"/>
          <w:sz w:val="24"/>
          <w:szCs w:val="21"/>
        </w:rPr>
        <w:t>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NPs. The insert shows a picture of the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NP</w:t>
      </w:r>
      <w:r>
        <w:rPr>
          <w:rFonts w:ascii="Times New Roman" w:eastAsia="黑体" w:hAnsi="Times New Roman" w:cs="Times New Roman" w:hint="eastAsia"/>
          <w:sz w:val="24"/>
          <w:szCs w:val="21"/>
        </w:rPr>
        <w:t>s</w:t>
      </w:r>
      <w:r>
        <w:rPr>
          <w:rFonts w:ascii="Times New Roman" w:eastAsia="黑体" w:hAnsi="Times New Roman" w:cs="Times New Roman"/>
          <w:sz w:val="24"/>
          <w:szCs w:val="21"/>
        </w:rPr>
        <w:t>. c) UV-</w:t>
      </w:r>
      <w:proofErr w:type="gramStart"/>
      <w:r>
        <w:rPr>
          <w:rFonts w:ascii="Times New Roman" w:eastAsia="黑体" w:hAnsi="Times New Roman" w:cs="Times New Roman"/>
          <w:sz w:val="24"/>
          <w:szCs w:val="21"/>
        </w:rPr>
        <w:t>Vis</w:t>
      </w:r>
      <w:proofErr w:type="gramEnd"/>
      <w:r>
        <w:rPr>
          <w:rFonts w:ascii="Times New Roman" w:eastAsia="黑体" w:hAnsi="Times New Roman" w:cs="Times New Roman"/>
          <w:sz w:val="24"/>
          <w:szCs w:val="21"/>
        </w:rPr>
        <w:t xml:space="preserve"> absorption spectra of free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and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NPs. d) Fluorescence spectra of free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and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NPs. (e) TPA-based fluorescence spectra of free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and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NPs. f) CLSM image of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NPs. The emission range of red fluorescence covered the wavelength from 575 to 630 nm.</w:t>
      </w:r>
      <w:bookmarkEnd w:id="12"/>
      <w:bookmarkEnd w:id="13"/>
      <w:r>
        <w:rPr>
          <w:rFonts w:ascii="Times New Roman" w:eastAsia="黑体" w:hAnsi="Times New Roman" w:cs="Times New Roman"/>
          <w:sz w:val="24"/>
          <w:szCs w:val="21"/>
        </w:rPr>
        <w:t xml:space="preserve"> T</w:t>
      </w:r>
      <w:r>
        <w:rPr>
          <w:rFonts w:ascii="Times New Roman" w:eastAsia="黑体" w:hAnsi="Times New Roman" w:cs="Times New Roman" w:hint="eastAsia"/>
          <w:sz w:val="24"/>
          <w:szCs w:val="21"/>
        </w:rPr>
        <w:t>h</w:t>
      </w:r>
      <w:r>
        <w:rPr>
          <w:rFonts w:ascii="Times New Roman" w:eastAsia="黑体" w:hAnsi="Times New Roman" w:cs="Times New Roman"/>
          <w:sz w:val="24"/>
          <w:szCs w:val="21"/>
        </w:rPr>
        <w:t xml:space="preserve">e scale bar is 10 µm. The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concentration was 25.8 µM.</w:t>
      </w:r>
    </w:p>
    <w:p w14:paraId="29C4D577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7F3E07F9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09C4E22F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6125C8F7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019B85CC" w14:textId="77777777" w:rsidR="00286417" w:rsidRDefault="00000000">
      <w:pPr>
        <w:widowControl/>
        <w:jc w:val="center"/>
        <w:rPr>
          <w:rFonts w:ascii="Times New Roman" w:eastAsia="黑体" w:hAnsi="Times New Roman" w:cs="Times New Roman"/>
          <w:sz w:val="24"/>
          <w:szCs w:val="21"/>
        </w:rPr>
      </w:pPr>
      <w:r>
        <w:rPr>
          <w:noProof/>
        </w:rPr>
        <w:drawing>
          <wp:inline distT="0" distB="0" distL="0" distR="0" wp14:anchorId="12464A87" wp14:editId="2DA5D23E">
            <wp:extent cx="3599815" cy="17100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8A353" w14:textId="77777777" w:rsidR="00286417" w:rsidRDefault="00000000">
      <w:pPr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 w:hint="eastAsia"/>
          <w:sz w:val="24"/>
          <w:szCs w:val="21"/>
        </w:rPr>
        <w:t>Fig</w:t>
      </w:r>
      <w:r>
        <w:rPr>
          <w:rFonts w:ascii="Times New Roman" w:eastAsia="黑体" w:hAnsi="Times New Roman" w:cs="Times New Roman"/>
          <w:sz w:val="24"/>
          <w:szCs w:val="21"/>
        </w:rPr>
        <w:t>ure</w:t>
      </w:r>
      <w:r>
        <w:rPr>
          <w:rFonts w:ascii="Times New Roman" w:eastAsia="黑体" w:hAnsi="Times New Roman" w:cs="Times New Roman"/>
          <w:sz w:val="24"/>
          <w:szCs w:val="24"/>
        </w:rPr>
        <w:t xml:space="preserve"> S8</w:t>
      </w:r>
      <w:r>
        <w:rPr>
          <w:rFonts w:ascii="Times New Roman" w:eastAsia="黑体" w:hAnsi="Times New Roman" w:cs="Times New Roman" w:hint="eastAsia"/>
          <w:sz w:val="24"/>
          <w:szCs w:val="24"/>
        </w:rPr>
        <w:t>.</w:t>
      </w:r>
      <w:r>
        <w:rPr>
          <w:rFonts w:ascii="Times New Roman" w:eastAsia="黑体" w:hAnsi="Times New Roman" w:cs="Times New Roman"/>
          <w:sz w:val="24"/>
          <w:szCs w:val="24"/>
        </w:rPr>
        <w:t xml:space="preserve"> Computational simulation results of ICG NPs, where ZHO molecules were marked as yellow and ICG molecules were marked as blue. D</w:t>
      </w:r>
      <w:r>
        <w:rPr>
          <w:rFonts w:ascii="Times New Roman" w:eastAsia="黑体" w:hAnsi="Times New Roman" w:cs="Times New Roman" w:hint="eastAsia"/>
          <w:sz w:val="24"/>
          <w:szCs w:val="24"/>
        </w:rPr>
        <w:t>ashed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</w:rPr>
        <w:t>line</w:t>
      </w:r>
      <w:r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</w:rPr>
        <w:t>and</w:t>
      </w:r>
      <w:r>
        <w:rPr>
          <w:rFonts w:ascii="Times New Roman" w:eastAsia="黑体" w:hAnsi="Times New Roman" w:cs="Times New Roman"/>
          <w:sz w:val="24"/>
          <w:szCs w:val="24"/>
        </w:rPr>
        <w:t xml:space="preserve"> solid line indicated the geometric center distance and minimal distance between ICG molecules, respectively.</w:t>
      </w:r>
    </w:p>
    <w:p w14:paraId="374E742E" w14:textId="77777777" w:rsidR="00286417" w:rsidRDefault="00000000">
      <w:pPr>
        <w:widowControl/>
        <w:jc w:val="left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br w:type="page"/>
      </w:r>
    </w:p>
    <w:p w14:paraId="57CBE386" w14:textId="77777777" w:rsidR="00286417" w:rsidRDefault="00286417">
      <w:pPr>
        <w:spacing w:beforeLines="50" w:before="156" w:afterLines="50" w:after="156"/>
        <w:jc w:val="center"/>
        <w:rPr>
          <w:rFonts w:ascii="Times New Roman" w:eastAsia="黑体" w:hAnsi="Times New Roman" w:cs="Times New Roman"/>
          <w:sz w:val="24"/>
          <w:szCs w:val="21"/>
        </w:rPr>
      </w:pPr>
      <w:bookmarkStart w:id="14" w:name="OLE_LINK40"/>
      <w:bookmarkStart w:id="15" w:name="OLE_LINK33"/>
    </w:p>
    <w:p w14:paraId="43E46B37" w14:textId="77777777" w:rsidR="00286417" w:rsidRDefault="00286417">
      <w:pPr>
        <w:spacing w:beforeLines="50" w:before="156" w:afterLines="50" w:after="156"/>
        <w:jc w:val="center"/>
        <w:rPr>
          <w:rFonts w:ascii="Times New Roman" w:eastAsia="黑体" w:hAnsi="Times New Roman" w:cs="Times New Roman"/>
          <w:sz w:val="24"/>
          <w:szCs w:val="21"/>
        </w:rPr>
      </w:pPr>
    </w:p>
    <w:p w14:paraId="573DE2FD" w14:textId="77777777" w:rsidR="00286417" w:rsidRDefault="00000000">
      <w:pPr>
        <w:spacing w:beforeLines="50" w:before="156" w:afterLines="50" w:after="156"/>
        <w:jc w:val="center"/>
        <w:rPr>
          <w:rFonts w:ascii="Times New Roman" w:eastAsia="黑体" w:hAnsi="Times New Roman" w:cs="Times New Roman"/>
          <w:sz w:val="24"/>
          <w:szCs w:val="21"/>
        </w:rPr>
      </w:pPr>
      <w:r>
        <w:rPr>
          <w:noProof/>
        </w:rPr>
        <w:drawing>
          <wp:inline distT="0" distB="0" distL="0" distR="0" wp14:anchorId="4D7F6D03" wp14:editId="2C85F9C9">
            <wp:extent cx="5273675" cy="21431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14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9EE9B" w14:textId="77777777" w:rsidR="00286417" w:rsidRDefault="00000000">
      <w:pPr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 w:hint="eastAsia"/>
          <w:sz w:val="24"/>
          <w:szCs w:val="21"/>
        </w:rPr>
        <w:t>Fig</w:t>
      </w:r>
      <w:r>
        <w:rPr>
          <w:rFonts w:ascii="Times New Roman" w:eastAsia="黑体" w:hAnsi="Times New Roman" w:cs="Times New Roman"/>
          <w:sz w:val="24"/>
          <w:szCs w:val="21"/>
        </w:rPr>
        <w:t>ure S9. UV-</w:t>
      </w:r>
      <w:proofErr w:type="gramStart"/>
      <w:r>
        <w:rPr>
          <w:rFonts w:ascii="Times New Roman" w:eastAsia="黑体" w:hAnsi="Times New Roman" w:cs="Times New Roman"/>
          <w:sz w:val="24"/>
          <w:szCs w:val="21"/>
        </w:rPr>
        <w:t>Vis</w:t>
      </w:r>
      <w:proofErr w:type="gramEnd"/>
      <w:r>
        <w:rPr>
          <w:rFonts w:ascii="Times New Roman" w:eastAsia="黑体" w:hAnsi="Times New Roman" w:cs="Times New Roman"/>
          <w:sz w:val="24"/>
          <w:szCs w:val="21"/>
        </w:rPr>
        <w:t xml:space="preserve"> absorption spectra of a) free ICG and b) ICG NPs at different time intervals. </w:t>
      </w:r>
      <w:bookmarkStart w:id="16" w:name="OLE_LINK35"/>
      <w:bookmarkStart w:id="17" w:name="OLE_LINK34"/>
      <w:r>
        <w:rPr>
          <w:rFonts w:ascii="Times New Roman" w:eastAsia="黑体" w:hAnsi="Times New Roman" w:cs="Times New Roman"/>
          <w:sz w:val="24"/>
          <w:szCs w:val="21"/>
        </w:rPr>
        <w:t>The concentration of ICG was 129 µM.</w:t>
      </w:r>
    </w:p>
    <w:p w14:paraId="5583A353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</w:p>
    <w:p w14:paraId="361D7A19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</w:p>
    <w:p w14:paraId="23E1EDD8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</w:p>
    <w:p w14:paraId="2D6E4C5D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</w:p>
    <w:p w14:paraId="7B745DE7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b/>
          <w:color w:val="000000" w:themeColor="text1"/>
          <w:sz w:val="28"/>
          <w:szCs w:val="21"/>
        </w:rPr>
      </w:pPr>
    </w:p>
    <w:bookmarkEnd w:id="14"/>
    <w:bookmarkEnd w:id="15"/>
    <w:bookmarkEnd w:id="16"/>
    <w:bookmarkEnd w:id="17"/>
    <w:p w14:paraId="3A436A1E" w14:textId="77777777" w:rsidR="00286417" w:rsidRDefault="00000000">
      <w:pPr>
        <w:spacing w:beforeLines="50" w:before="156" w:afterLines="50" w:after="156"/>
        <w:jc w:val="center"/>
        <w:rPr>
          <w:rFonts w:ascii="Times New Roman" w:eastAsia="黑体" w:hAnsi="Times New Roman" w:cs="Times New Roman"/>
          <w:sz w:val="24"/>
          <w:szCs w:val="21"/>
        </w:rPr>
      </w:pPr>
      <w:r>
        <w:rPr>
          <w:noProof/>
        </w:rPr>
        <w:drawing>
          <wp:inline distT="0" distB="0" distL="0" distR="0" wp14:anchorId="2ACC6ADD" wp14:editId="7F2C67C3">
            <wp:extent cx="2519680" cy="1854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5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ADCD6" w14:textId="77777777" w:rsidR="00286417" w:rsidRDefault="00000000">
      <w:pPr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/>
          <w:sz w:val="24"/>
          <w:szCs w:val="21"/>
        </w:rPr>
        <w:t>Figure S10</w:t>
      </w:r>
      <w:r>
        <w:rPr>
          <w:rFonts w:ascii="Times New Roman" w:eastAsia="黑体" w:hAnsi="Times New Roman" w:cs="Times New Roman" w:hint="eastAsia"/>
          <w:sz w:val="24"/>
          <w:szCs w:val="21"/>
        </w:rPr>
        <w:t>.</w:t>
      </w:r>
      <w:r>
        <w:rPr>
          <w:rFonts w:ascii="Times New Roman" w:eastAsia="黑体" w:hAnsi="Times New Roman" w:cs="Times New Roman"/>
          <w:sz w:val="24"/>
          <w:szCs w:val="21"/>
        </w:rPr>
        <w:t xml:space="preserve"> TEM image of the ICG NPs</w:t>
      </w:r>
      <w:r>
        <w:rPr>
          <w:rFonts w:ascii="Times New Roman" w:eastAsia="黑体" w:hAnsi="Times New Roman" w:cs="Times New Roman" w:hint="eastAsia"/>
          <w:sz w:val="24"/>
          <w:szCs w:val="21"/>
        </w:rPr>
        <w:t xml:space="preserve"> </w:t>
      </w:r>
      <w:r>
        <w:rPr>
          <w:rFonts w:ascii="Times New Roman" w:eastAsia="黑体" w:hAnsi="Times New Roman" w:cs="Times New Roman"/>
          <w:sz w:val="24"/>
          <w:szCs w:val="21"/>
        </w:rPr>
        <w:t xml:space="preserve">after incubation in 10% FBS at 37 </w:t>
      </w:r>
      <w:proofErr w:type="spellStart"/>
      <w:r>
        <w:rPr>
          <w:rFonts w:ascii="Times New Roman" w:eastAsia="黑体" w:hAnsi="Times New Roman" w:cs="Times New Roman"/>
          <w:sz w:val="24"/>
          <w:szCs w:val="21"/>
          <w:vertAlign w:val="superscript"/>
        </w:rPr>
        <w:t>o</w:t>
      </w:r>
      <w:r>
        <w:rPr>
          <w:rFonts w:ascii="Times New Roman" w:eastAsia="黑体" w:hAnsi="Times New Roman" w:cs="Times New Roman"/>
          <w:sz w:val="24"/>
          <w:szCs w:val="21"/>
        </w:rPr>
        <w:t>C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for 24 h. The scale bar is 200 nm.</w:t>
      </w:r>
    </w:p>
    <w:p w14:paraId="1E06D2B7" w14:textId="77777777" w:rsidR="00286417" w:rsidRDefault="00000000">
      <w:pPr>
        <w:widowControl/>
        <w:jc w:val="left"/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/>
          <w:sz w:val="24"/>
          <w:szCs w:val="21"/>
        </w:rPr>
        <w:br w:type="page"/>
      </w:r>
    </w:p>
    <w:p w14:paraId="06CE6936" w14:textId="77777777" w:rsidR="00286417" w:rsidRDefault="00286417">
      <w:pPr>
        <w:rPr>
          <w:rFonts w:ascii="Times New Roman" w:eastAsia="黑体" w:hAnsi="Times New Roman" w:cs="Times New Roman"/>
          <w:sz w:val="24"/>
          <w:szCs w:val="21"/>
        </w:rPr>
      </w:pPr>
    </w:p>
    <w:p w14:paraId="37A6EEF8" w14:textId="77777777" w:rsidR="00286417" w:rsidRDefault="00286417">
      <w:pPr>
        <w:rPr>
          <w:rFonts w:ascii="Times New Roman" w:eastAsia="黑体" w:hAnsi="Times New Roman" w:cs="Times New Roman"/>
          <w:sz w:val="24"/>
          <w:szCs w:val="21"/>
        </w:rPr>
      </w:pPr>
    </w:p>
    <w:p w14:paraId="6AF0935B" w14:textId="77777777" w:rsidR="00286417" w:rsidRDefault="00000000">
      <w:pPr>
        <w:spacing w:beforeLines="50" w:before="156" w:afterLines="50" w:after="156"/>
        <w:jc w:val="center"/>
        <w:rPr>
          <w:rFonts w:ascii="Times New Roman" w:eastAsia="黑体" w:hAnsi="Times New Roman" w:cs="Times New Roman"/>
          <w:sz w:val="24"/>
          <w:szCs w:val="21"/>
        </w:rPr>
      </w:pPr>
      <w:r>
        <w:rPr>
          <w:noProof/>
        </w:rPr>
        <w:drawing>
          <wp:inline distT="0" distB="0" distL="0" distR="0" wp14:anchorId="6595AEFB" wp14:editId="3A66B8DD">
            <wp:extent cx="2519680" cy="18802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1F907" w14:textId="77777777" w:rsidR="00286417" w:rsidRDefault="00000000">
      <w:pPr>
        <w:rPr>
          <w:rFonts w:ascii="Times New Roman" w:hAnsi="Times New Roman" w:cs="Times New Roman"/>
          <w:color w:val="000000"/>
          <w:sz w:val="24"/>
          <w:szCs w:val="21"/>
        </w:rPr>
      </w:pPr>
      <w:r>
        <w:rPr>
          <w:rFonts w:ascii="Times New Roman" w:hAnsi="Times New Roman" w:cs="Times New Roman"/>
          <w:color w:val="000000"/>
          <w:sz w:val="24"/>
          <w:szCs w:val="21"/>
        </w:rPr>
        <w:t>Figure S11. Viability of MCF-7 cells treated with</w:t>
      </w:r>
      <w:r>
        <w:rPr>
          <w:rFonts w:ascii="Times New Roman" w:eastAsia="黑体" w:hAnsi="Times New Roman" w:cs="Times New Roman"/>
          <w:sz w:val="24"/>
          <w:szCs w:val="21"/>
        </w:rPr>
        <w:t xml:space="preserve"> ICG NPs and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NPs. </w:t>
      </w:r>
      <w:r>
        <w:rPr>
          <w:rFonts w:ascii="Times New Roman" w:hAnsi="Times New Roman" w:cs="Times New Roman"/>
          <w:color w:val="000000"/>
          <w:sz w:val="24"/>
          <w:szCs w:val="21"/>
        </w:rPr>
        <w:t>Error bars denote the standard deviation (n = 6).</w:t>
      </w:r>
    </w:p>
    <w:p w14:paraId="25CB5BD5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32"/>
          <w:szCs w:val="21"/>
        </w:rPr>
      </w:pPr>
    </w:p>
    <w:p w14:paraId="058ECF80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32"/>
          <w:szCs w:val="21"/>
        </w:rPr>
      </w:pPr>
    </w:p>
    <w:p w14:paraId="52BB222A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32"/>
          <w:szCs w:val="21"/>
        </w:rPr>
      </w:pPr>
    </w:p>
    <w:p w14:paraId="701A75BA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32"/>
          <w:szCs w:val="21"/>
        </w:rPr>
      </w:pPr>
    </w:p>
    <w:p w14:paraId="422363EB" w14:textId="77777777" w:rsidR="00286417" w:rsidRDefault="00000000">
      <w:pPr>
        <w:spacing w:beforeLines="50" w:before="156" w:afterLines="50" w:after="156"/>
        <w:jc w:val="center"/>
        <w:rPr>
          <w:rFonts w:ascii="Times New Roman" w:eastAsia="黑体" w:hAnsi="Times New Roman" w:cs="Times New Roman"/>
          <w:sz w:val="24"/>
          <w:szCs w:val="21"/>
        </w:rPr>
      </w:pPr>
      <w:bookmarkStart w:id="18" w:name="OLE_LINK51"/>
      <w:bookmarkStart w:id="19" w:name="OLE_LINK52"/>
      <w:r>
        <w:rPr>
          <w:noProof/>
        </w:rPr>
        <w:drawing>
          <wp:inline distT="0" distB="0" distL="0" distR="0" wp14:anchorId="11CEBC6C" wp14:editId="431F2F4F">
            <wp:extent cx="5274310" cy="16903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D183E" w14:textId="77777777" w:rsidR="00286417" w:rsidRDefault="00000000">
      <w:pPr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 w:hint="eastAsia"/>
          <w:sz w:val="24"/>
          <w:szCs w:val="21"/>
        </w:rPr>
        <w:t>Fig</w:t>
      </w:r>
      <w:r>
        <w:rPr>
          <w:rFonts w:ascii="Times New Roman" w:eastAsia="黑体" w:hAnsi="Times New Roman" w:cs="Times New Roman"/>
          <w:sz w:val="24"/>
          <w:szCs w:val="21"/>
        </w:rPr>
        <w:t>ure S12</w:t>
      </w:r>
      <w:r>
        <w:rPr>
          <w:rFonts w:ascii="Times New Roman" w:eastAsia="黑体" w:hAnsi="Times New Roman" w:cs="Times New Roman" w:hint="eastAsia"/>
          <w:sz w:val="24"/>
          <w:szCs w:val="21"/>
        </w:rPr>
        <w:t>.</w:t>
      </w:r>
      <w:r>
        <w:rPr>
          <w:rFonts w:ascii="Times New Roman" w:eastAsia="黑体" w:hAnsi="Times New Roman" w:cs="Times New Roman"/>
          <w:sz w:val="24"/>
          <w:szCs w:val="21"/>
        </w:rPr>
        <w:t xml:space="preserve"> Images of biopsies of tumor tissue extracted from mice after intravenous injection of ICG NP at 24 h. The images show that the ICG NPs were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uptaken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by the tumor and evenly distributed in the cellular cytoplasm. </w:t>
      </w:r>
      <w:bookmarkStart w:id="20" w:name="OLE_LINK49"/>
      <w:bookmarkStart w:id="21" w:name="OLE_LINK48"/>
      <w:r>
        <w:rPr>
          <w:rFonts w:ascii="Times New Roman" w:eastAsia="黑体" w:hAnsi="Times New Roman" w:cs="Times New Roman"/>
          <w:sz w:val="24"/>
          <w:szCs w:val="21"/>
        </w:rPr>
        <w:t>The scale bar is 250 µm.</w:t>
      </w:r>
      <w:bookmarkEnd w:id="20"/>
      <w:bookmarkEnd w:id="21"/>
    </w:p>
    <w:p w14:paraId="0B57F59E" w14:textId="77777777" w:rsidR="00286417" w:rsidRDefault="00000000">
      <w:pPr>
        <w:widowControl/>
        <w:spacing w:line="300" w:lineRule="auto"/>
        <w:jc w:val="left"/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/>
          <w:sz w:val="24"/>
          <w:szCs w:val="21"/>
        </w:rPr>
        <w:br w:type="page"/>
      </w:r>
    </w:p>
    <w:p w14:paraId="487661E0" w14:textId="7591D16F" w:rsidR="00286417" w:rsidRDefault="00000000">
      <w:pPr>
        <w:spacing w:beforeLines="50" w:before="156" w:afterLines="50" w:after="156" w:line="300" w:lineRule="auto"/>
        <w:rPr>
          <w:rFonts w:ascii="Times New Roman" w:eastAsia="黑体" w:hAnsi="Times New Roman" w:cs="Times New Roman"/>
          <w:b/>
          <w:sz w:val="24"/>
          <w:szCs w:val="21"/>
        </w:rPr>
      </w:pPr>
      <w:bookmarkStart w:id="22" w:name="OLE_LINK91"/>
      <w:bookmarkStart w:id="23" w:name="OLE_LINK92"/>
      <w:bookmarkEnd w:id="18"/>
      <w:bookmarkEnd w:id="19"/>
      <w:r>
        <w:rPr>
          <w:rFonts w:ascii="Times New Roman" w:eastAsia="黑体" w:hAnsi="Times New Roman" w:cs="Times New Roman"/>
          <w:b/>
          <w:sz w:val="24"/>
          <w:szCs w:val="21"/>
        </w:rPr>
        <w:lastRenderedPageBreak/>
        <w:t>Supplementary tables</w:t>
      </w:r>
    </w:p>
    <w:p w14:paraId="761C7EAA" w14:textId="3E343CF7" w:rsidR="00134780" w:rsidRDefault="00134780">
      <w:pPr>
        <w:spacing w:beforeLines="50" w:before="156" w:afterLines="50" w:after="156" w:line="300" w:lineRule="auto"/>
        <w:rPr>
          <w:rFonts w:ascii="Times New Roman" w:eastAsia="黑体" w:hAnsi="Times New Roman" w:cs="Times New Roman"/>
          <w:b/>
          <w:sz w:val="24"/>
          <w:szCs w:val="21"/>
        </w:rPr>
      </w:pPr>
    </w:p>
    <w:p w14:paraId="0095A00D" w14:textId="77777777" w:rsidR="00286417" w:rsidRDefault="00000000">
      <w:pPr>
        <w:rPr>
          <w:rFonts w:ascii="Times New Roman" w:eastAsia="黑体" w:hAnsi="Times New Roman" w:cs="Times New Roman"/>
          <w:sz w:val="24"/>
          <w:szCs w:val="21"/>
        </w:rPr>
      </w:pPr>
      <w:bookmarkStart w:id="24" w:name="OLE_LINK2"/>
      <w:bookmarkStart w:id="25" w:name="OLE_LINK1"/>
      <w:bookmarkStart w:id="26" w:name="OLE_LINK11"/>
      <w:bookmarkStart w:id="27" w:name="OLE_LINK12"/>
      <w:r>
        <w:rPr>
          <w:rFonts w:ascii="Times New Roman" w:eastAsia="黑体" w:hAnsi="Times New Roman" w:cs="Times New Roman"/>
          <w:sz w:val="24"/>
          <w:szCs w:val="21"/>
        </w:rPr>
        <w:t>Table S</w:t>
      </w:r>
      <w:r>
        <w:rPr>
          <w:rFonts w:ascii="Times New Roman" w:eastAsia="黑体" w:hAnsi="Times New Roman" w:cs="Times New Roman" w:hint="eastAsia"/>
          <w:sz w:val="24"/>
          <w:szCs w:val="21"/>
        </w:rPr>
        <w:t>1</w:t>
      </w:r>
      <w:r>
        <w:rPr>
          <w:rFonts w:ascii="Times New Roman" w:eastAsia="黑体" w:hAnsi="Times New Roman" w:cs="Times New Roman"/>
          <w:sz w:val="24"/>
          <w:szCs w:val="21"/>
        </w:rPr>
        <w:t xml:space="preserve">. </w:t>
      </w:r>
      <w:bookmarkEnd w:id="24"/>
      <w:bookmarkEnd w:id="25"/>
      <w:r>
        <w:rPr>
          <w:rFonts w:ascii="Times New Roman" w:eastAsia="黑体" w:hAnsi="Times New Roman" w:cs="Times New Roman"/>
          <w:sz w:val="24"/>
          <w:szCs w:val="21"/>
        </w:rPr>
        <w:t>Encapsulation of ICG in NPs at different concentrations with adding 2.64 mM ZHO.</w:t>
      </w:r>
      <w:bookmarkEnd w:id="26"/>
      <w:bookmarkEnd w:id="27"/>
    </w:p>
    <w:p w14:paraId="0729C5C1" w14:textId="77777777" w:rsidR="00286417" w:rsidRDefault="00000000">
      <w:pPr>
        <w:rPr>
          <w:rFonts w:ascii="Times New Roman" w:eastAsia="黑体" w:hAnsi="Times New Roman" w:cs="Times New Roman"/>
          <w:sz w:val="24"/>
          <w:szCs w:val="21"/>
        </w:rPr>
      </w:pPr>
      <w:r>
        <w:rPr>
          <w:noProof/>
        </w:rPr>
        <w:drawing>
          <wp:inline distT="0" distB="0" distL="0" distR="0" wp14:anchorId="1E66CCC2" wp14:editId="68C9E6E5">
            <wp:extent cx="5220970" cy="18135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24F9" w14:textId="77777777" w:rsidR="00286417" w:rsidRDefault="00286417">
      <w:pPr>
        <w:snapToGrid w:val="0"/>
        <w:spacing w:line="360" w:lineRule="auto"/>
        <w:jc w:val="left"/>
        <w:rPr>
          <w:rFonts w:ascii="Times New Roman" w:eastAsia="黑体" w:hAnsi="Times New Roman" w:cs="Times New Roman"/>
          <w:sz w:val="24"/>
          <w:szCs w:val="21"/>
        </w:rPr>
      </w:pPr>
    </w:p>
    <w:p w14:paraId="165B6214" w14:textId="77777777" w:rsidR="00286417" w:rsidRDefault="00286417">
      <w:pPr>
        <w:snapToGrid w:val="0"/>
        <w:spacing w:line="360" w:lineRule="auto"/>
        <w:jc w:val="left"/>
        <w:rPr>
          <w:rFonts w:ascii="Times New Roman" w:eastAsia="黑体" w:hAnsi="Times New Roman" w:cs="Times New Roman"/>
          <w:sz w:val="24"/>
          <w:szCs w:val="21"/>
        </w:rPr>
      </w:pPr>
    </w:p>
    <w:p w14:paraId="4ACE4D91" w14:textId="77777777" w:rsidR="00286417" w:rsidRDefault="00286417">
      <w:pPr>
        <w:snapToGrid w:val="0"/>
        <w:spacing w:line="360" w:lineRule="auto"/>
        <w:jc w:val="left"/>
        <w:rPr>
          <w:rFonts w:ascii="Times New Roman" w:eastAsia="黑体" w:hAnsi="Times New Roman" w:cs="Times New Roman"/>
          <w:sz w:val="24"/>
          <w:szCs w:val="21"/>
        </w:rPr>
      </w:pPr>
    </w:p>
    <w:p w14:paraId="67828545" w14:textId="77777777" w:rsidR="00286417" w:rsidRDefault="00286417">
      <w:pPr>
        <w:snapToGrid w:val="0"/>
        <w:spacing w:line="360" w:lineRule="auto"/>
        <w:jc w:val="left"/>
        <w:rPr>
          <w:rFonts w:ascii="Times New Roman" w:eastAsia="黑体" w:hAnsi="Times New Roman" w:cs="Times New Roman"/>
          <w:sz w:val="24"/>
          <w:szCs w:val="21"/>
        </w:rPr>
      </w:pPr>
    </w:p>
    <w:p w14:paraId="153FA0DB" w14:textId="77777777" w:rsidR="00286417" w:rsidRDefault="00000000">
      <w:pPr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/>
          <w:sz w:val="24"/>
          <w:szCs w:val="21"/>
        </w:rPr>
        <w:t>Table S2. Size, polydispersity index (PDI) and zeta potential of nanoprobes.</w:t>
      </w:r>
    </w:p>
    <w:p w14:paraId="450A9D8B" w14:textId="77777777" w:rsidR="00286417" w:rsidRDefault="00000000">
      <w:pPr>
        <w:jc w:val="center"/>
        <w:rPr>
          <w:rFonts w:ascii="Times New Roman" w:eastAsia="黑体" w:hAnsi="Times New Roman" w:cs="Times New Roman"/>
          <w:sz w:val="24"/>
          <w:szCs w:val="21"/>
        </w:rPr>
      </w:pPr>
      <w:r>
        <w:rPr>
          <w:noProof/>
        </w:rPr>
        <w:drawing>
          <wp:inline distT="0" distB="0" distL="0" distR="0" wp14:anchorId="24ABD6C7" wp14:editId="6F5B663C">
            <wp:extent cx="4319905" cy="1106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0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A8E0" w14:textId="77777777" w:rsidR="00286417" w:rsidRDefault="00286417">
      <w:pPr>
        <w:widowControl/>
        <w:jc w:val="left"/>
        <w:rPr>
          <w:rFonts w:ascii="Times New Roman" w:eastAsia="黑体" w:hAnsi="Times New Roman" w:cs="Times New Roman"/>
          <w:sz w:val="24"/>
          <w:szCs w:val="21"/>
        </w:rPr>
      </w:pPr>
    </w:p>
    <w:p w14:paraId="223D68E0" w14:textId="77777777" w:rsidR="00286417" w:rsidRDefault="00286417">
      <w:pPr>
        <w:widowControl/>
        <w:jc w:val="left"/>
        <w:rPr>
          <w:rFonts w:ascii="Times New Roman" w:eastAsia="黑体" w:hAnsi="Times New Roman" w:cs="Times New Roman"/>
          <w:sz w:val="24"/>
          <w:szCs w:val="21"/>
        </w:rPr>
      </w:pPr>
    </w:p>
    <w:p w14:paraId="28ED2880" w14:textId="77777777" w:rsidR="00286417" w:rsidRDefault="00286417">
      <w:pPr>
        <w:widowControl/>
        <w:jc w:val="left"/>
        <w:rPr>
          <w:rFonts w:ascii="Times New Roman" w:eastAsia="黑体" w:hAnsi="Times New Roman" w:cs="Times New Roman"/>
          <w:sz w:val="24"/>
          <w:szCs w:val="21"/>
        </w:rPr>
      </w:pPr>
    </w:p>
    <w:p w14:paraId="2D378926" w14:textId="77777777" w:rsidR="00286417" w:rsidRDefault="00286417">
      <w:pPr>
        <w:widowControl/>
        <w:jc w:val="left"/>
        <w:rPr>
          <w:rFonts w:ascii="Times New Roman" w:eastAsia="黑体" w:hAnsi="Times New Roman" w:cs="Times New Roman"/>
          <w:sz w:val="24"/>
          <w:szCs w:val="21"/>
        </w:rPr>
      </w:pPr>
    </w:p>
    <w:p w14:paraId="469537B1" w14:textId="77777777" w:rsidR="00286417" w:rsidRDefault="00286417">
      <w:pPr>
        <w:widowControl/>
        <w:jc w:val="left"/>
        <w:rPr>
          <w:rFonts w:ascii="Times New Roman" w:eastAsia="黑体" w:hAnsi="Times New Roman" w:cs="Times New Roman"/>
          <w:sz w:val="24"/>
          <w:szCs w:val="21"/>
        </w:rPr>
      </w:pPr>
    </w:p>
    <w:p w14:paraId="658666AD" w14:textId="757EC88D" w:rsidR="00134780" w:rsidRDefault="00134780">
      <w:pPr>
        <w:widowControl/>
        <w:jc w:val="left"/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/>
          <w:sz w:val="24"/>
          <w:szCs w:val="21"/>
        </w:rPr>
        <w:br w:type="page"/>
      </w:r>
    </w:p>
    <w:p w14:paraId="1BE0AF94" w14:textId="77777777" w:rsidR="00286417" w:rsidRDefault="00286417">
      <w:pPr>
        <w:widowControl/>
        <w:jc w:val="left"/>
        <w:rPr>
          <w:rFonts w:ascii="Times New Roman" w:eastAsia="黑体" w:hAnsi="Times New Roman" w:cs="Times New Roman"/>
          <w:sz w:val="24"/>
          <w:szCs w:val="21"/>
        </w:rPr>
      </w:pPr>
    </w:p>
    <w:p w14:paraId="701DF1D5" w14:textId="77777777" w:rsidR="00286417" w:rsidRDefault="00000000">
      <w:pPr>
        <w:rPr>
          <w:rFonts w:ascii="Times New Roman" w:eastAsia="黑体" w:hAnsi="Times New Roman" w:cs="Times New Roman"/>
          <w:sz w:val="24"/>
          <w:szCs w:val="21"/>
        </w:rPr>
      </w:pPr>
      <w:bookmarkStart w:id="28" w:name="OLE_LINK20"/>
      <w:bookmarkStart w:id="29" w:name="OLE_LINK19"/>
      <w:bookmarkEnd w:id="22"/>
      <w:bookmarkEnd w:id="23"/>
      <w:r>
        <w:rPr>
          <w:rFonts w:ascii="Times New Roman" w:eastAsia="黑体" w:hAnsi="Times New Roman" w:cs="Times New Roman"/>
          <w:sz w:val="24"/>
          <w:szCs w:val="21"/>
        </w:rPr>
        <w:t>Table S3. S</w:t>
      </w:r>
      <w:r>
        <w:rPr>
          <w:rFonts w:ascii="Times New Roman" w:eastAsia="黑体" w:hAnsi="Times New Roman" w:cs="Times New Roman" w:hint="eastAsia"/>
          <w:sz w:val="24"/>
          <w:szCs w:val="21"/>
        </w:rPr>
        <w:t>lopes</w:t>
      </w:r>
      <w:r>
        <w:rPr>
          <w:rFonts w:ascii="Times New Roman" w:eastAsia="黑体" w:hAnsi="Times New Roman" w:cs="Times New Roman"/>
          <w:sz w:val="24"/>
          <w:szCs w:val="21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1"/>
        </w:rPr>
        <w:t>of</w:t>
      </w:r>
      <w:r>
        <w:rPr>
          <w:rFonts w:ascii="Times New Roman" w:eastAsia="黑体" w:hAnsi="Times New Roman" w:cs="Times New Roman"/>
          <w:sz w:val="24"/>
          <w:szCs w:val="21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1"/>
        </w:rPr>
        <w:t>fitted</w:t>
      </w:r>
      <w:r>
        <w:rPr>
          <w:rFonts w:ascii="Times New Roman" w:eastAsia="黑体" w:hAnsi="Times New Roman" w:cs="Times New Roman"/>
          <w:sz w:val="24"/>
          <w:szCs w:val="21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1"/>
        </w:rPr>
        <w:t>line</w:t>
      </w:r>
      <w:r>
        <w:rPr>
          <w:rFonts w:ascii="Times New Roman" w:eastAsia="黑体" w:hAnsi="Times New Roman" w:cs="Times New Roman"/>
          <w:sz w:val="24"/>
          <w:szCs w:val="21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1"/>
        </w:rPr>
        <w:t>from</w:t>
      </w:r>
      <w:r>
        <w:rPr>
          <w:rFonts w:ascii="Times New Roman" w:eastAsia="黑体" w:hAnsi="Times New Roman" w:cs="Times New Roman"/>
          <w:sz w:val="24"/>
          <w:szCs w:val="21"/>
        </w:rPr>
        <w:t xml:space="preserve"> ICG-, IR 140- and IR 806-based probes.</w:t>
      </w:r>
    </w:p>
    <w:p w14:paraId="47D3634D" w14:textId="77777777" w:rsidR="00286417" w:rsidRDefault="00000000">
      <w:pPr>
        <w:jc w:val="center"/>
        <w:rPr>
          <w:rFonts w:ascii="Times New Roman" w:eastAsia="黑体" w:hAnsi="Times New Roman" w:cs="Times New Roman"/>
          <w:sz w:val="24"/>
          <w:szCs w:val="21"/>
        </w:rPr>
      </w:pPr>
      <w:r>
        <w:rPr>
          <w:noProof/>
        </w:rPr>
        <w:drawing>
          <wp:inline distT="0" distB="0" distL="0" distR="0" wp14:anchorId="206DF2C0" wp14:editId="35067968">
            <wp:extent cx="4319905" cy="11061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0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5629B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64F4A1C8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17EF6ED1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2824A0E3" w14:textId="77777777" w:rsidR="00286417" w:rsidRDefault="00286417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203CF5D7" w14:textId="77777777" w:rsidR="00286417" w:rsidRDefault="00000000">
      <w:pPr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/>
          <w:sz w:val="24"/>
          <w:szCs w:val="21"/>
        </w:rPr>
        <w:t xml:space="preserve">Table S4. TPA cross section of free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,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NPs, free ICG and ICG NPs at 808 nm excited by a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Ti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: Sapphire oscillator laser. </w:t>
      </w:r>
      <w:proofErr w:type="spellStart"/>
      <w:r>
        <w:rPr>
          <w:rFonts w:ascii="Times New Roman" w:eastAsia="黑体" w:hAnsi="Times New Roman" w:cs="Times New Roman"/>
          <w:sz w:val="24"/>
          <w:szCs w:val="21"/>
        </w:rPr>
        <w:t>RhB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dissolved in methanol is used as a reference.</w:t>
      </w:r>
    </w:p>
    <w:p w14:paraId="5DAFF69F" w14:textId="77777777" w:rsidR="00286417" w:rsidRDefault="00000000">
      <w:pPr>
        <w:jc w:val="center"/>
        <w:rPr>
          <w:rFonts w:ascii="Times New Roman" w:eastAsia="黑体" w:hAnsi="Times New Roman" w:cs="Times New Roman"/>
          <w:sz w:val="24"/>
          <w:szCs w:val="21"/>
        </w:rPr>
      </w:pPr>
      <w:r>
        <w:rPr>
          <w:noProof/>
        </w:rPr>
        <w:drawing>
          <wp:inline distT="0" distB="0" distL="0" distR="0" wp14:anchorId="546C5376" wp14:editId="5ACAB70C">
            <wp:extent cx="4319905" cy="15405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4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1079" w14:textId="73A3F671" w:rsidR="00134780" w:rsidRDefault="00134780">
      <w:pPr>
        <w:widowControl/>
        <w:jc w:val="left"/>
        <w:rPr>
          <w:rFonts w:ascii="Times New Roman" w:eastAsia="黑体" w:hAnsi="Times New Roman" w:cs="Times New Roman"/>
          <w:sz w:val="24"/>
          <w:szCs w:val="21"/>
        </w:rPr>
      </w:pPr>
      <w:bookmarkStart w:id="30" w:name="OLE_LINK93"/>
      <w:bookmarkStart w:id="31" w:name="OLE_LINK94"/>
      <w:bookmarkEnd w:id="28"/>
      <w:bookmarkEnd w:id="29"/>
      <w:r>
        <w:rPr>
          <w:rFonts w:ascii="Times New Roman" w:eastAsia="黑体" w:hAnsi="Times New Roman" w:cs="Times New Roman"/>
          <w:sz w:val="24"/>
          <w:szCs w:val="21"/>
        </w:rPr>
        <w:br w:type="page"/>
      </w:r>
    </w:p>
    <w:p w14:paraId="52CA2C26" w14:textId="77777777" w:rsidR="00286417" w:rsidRDefault="00286417" w:rsidP="00134780">
      <w:pPr>
        <w:snapToGrid w:val="0"/>
        <w:spacing w:line="360" w:lineRule="auto"/>
        <w:rPr>
          <w:rFonts w:ascii="Times New Roman" w:eastAsia="黑体" w:hAnsi="Times New Roman" w:cs="Times New Roman"/>
          <w:sz w:val="24"/>
          <w:szCs w:val="21"/>
        </w:rPr>
      </w:pPr>
    </w:p>
    <w:p w14:paraId="310C9B47" w14:textId="77777777" w:rsidR="00286417" w:rsidRDefault="00000000">
      <w:pPr>
        <w:rPr>
          <w:rFonts w:ascii="Times New Roman" w:eastAsia="黑体" w:hAnsi="Times New Roman" w:cs="Times New Roman"/>
          <w:sz w:val="24"/>
          <w:szCs w:val="21"/>
        </w:rPr>
      </w:pPr>
      <w:r>
        <w:rPr>
          <w:rFonts w:ascii="Times New Roman" w:eastAsia="黑体" w:hAnsi="Times New Roman" w:cs="Times New Roman"/>
          <w:sz w:val="24"/>
          <w:szCs w:val="21"/>
        </w:rPr>
        <w:t xml:space="preserve">Table S5. Size, polydispersity index (PDI) and zeta potential of ICG NPs before and after incubation in incubation in 10% FBS at 37 </w:t>
      </w:r>
      <w:proofErr w:type="spellStart"/>
      <w:r>
        <w:rPr>
          <w:rFonts w:ascii="Times New Roman" w:eastAsia="黑体" w:hAnsi="Times New Roman" w:cs="Times New Roman"/>
          <w:sz w:val="24"/>
          <w:szCs w:val="21"/>
          <w:vertAlign w:val="superscript"/>
        </w:rPr>
        <w:t>o</w:t>
      </w:r>
      <w:r>
        <w:rPr>
          <w:rFonts w:ascii="Times New Roman" w:eastAsia="黑体" w:hAnsi="Times New Roman" w:cs="Times New Roman"/>
          <w:sz w:val="24"/>
          <w:szCs w:val="21"/>
        </w:rPr>
        <w:t>C</w:t>
      </w:r>
      <w:proofErr w:type="spellEnd"/>
      <w:r>
        <w:rPr>
          <w:rFonts w:ascii="Times New Roman" w:eastAsia="黑体" w:hAnsi="Times New Roman" w:cs="Times New Roman"/>
          <w:sz w:val="24"/>
          <w:szCs w:val="21"/>
        </w:rPr>
        <w:t xml:space="preserve"> for 24 h.</w:t>
      </w:r>
      <w:bookmarkEnd w:id="30"/>
      <w:bookmarkEnd w:id="31"/>
    </w:p>
    <w:p w14:paraId="4BADB4BB" w14:textId="77777777" w:rsidR="00286417" w:rsidRDefault="00000000">
      <w:pPr>
        <w:jc w:val="center"/>
        <w:rPr>
          <w:rFonts w:ascii="Times New Roman" w:eastAsia="黑体" w:hAnsi="Times New Roman" w:cs="Times New Roman"/>
          <w:sz w:val="24"/>
          <w:szCs w:val="21"/>
        </w:rPr>
      </w:pPr>
      <w:r>
        <w:rPr>
          <w:noProof/>
        </w:rPr>
        <w:drawing>
          <wp:inline distT="0" distB="0" distL="0" distR="0" wp14:anchorId="2DDD37C1" wp14:editId="1AB0AC46">
            <wp:extent cx="3599815" cy="1098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9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4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2B168" w14:textId="77777777" w:rsidR="00082972" w:rsidRDefault="00082972" w:rsidP="00BA6C0B">
      <w:r>
        <w:separator/>
      </w:r>
    </w:p>
  </w:endnote>
  <w:endnote w:type="continuationSeparator" w:id="0">
    <w:p w14:paraId="68A37405" w14:textId="77777777" w:rsidR="00082972" w:rsidRDefault="00082972" w:rsidP="00BA6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OT3bbb1fa6.B">
    <w:altName w:val="Times New Roman"/>
    <w:charset w:val="00"/>
    <w:family w:val="roman"/>
    <w:pitch w:val="default"/>
  </w:font>
  <w:font w:name="AdvOT77db9845">
    <w:altName w:val="Times New Roman"/>
    <w:charset w:val="00"/>
    <w:family w:val="roman"/>
    <w:pitch w:val="default"/>
  </w:font>
  <w:font w:name="AdvOT77db9845+fb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EBB4F" w14:textId="77777777" w:rsidR="00082972" w:rsidRDefault="00082972" w:rsidP="00BA6C0B">
      <w:r>
        <w:separator/>
      </w:r>
    </w:p>
  </w:footnote>
  <w:footnote w:type="continuationSeparator" w:id="0">
    <w:p w14:paraId="37EC3DA2" w14:textId="77777777" w:rsidR="00082972" w:rsidRDefault="00082972" w:rsidP="00BA6C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63A4"/>
    <w:multiLevelType w:val="multilevel"/>
    <w:tmpl w:val="006963A4"/>
    <w:lvl w:ilvl="0">
      <w:start w:val="1"/>
      <w:numFmt w:val="decimal"/>
      <w:pStyle w:val="1"/>
      <w:suff w:val="nothing"/>
      <w:lvlText w:val="第%1章　"/>
      <w:lvlJc w:val="left"/>
      <w:pPr>
        <w:ind w:left="850" w:firstLine="0"/>
      </w:pPr>
    </w:lvl>
    <w:lvl w:ilvl="1">
      <w:start w:val="1"/>
      <w:numFmt w:val="decimal"/>
      <w:pStyle w:val="2"/>
      <w:suff w:val="nothing"/>
      <w:lvlText w:val="%1.%2　"/>
      <w:lvlJc w:val="left"/>
      <w:pPr>
        <w:ind w:left="0" w:firstLine="0"/>
      </w:pPr>
    </w:lvl>
    <w:lvl w:ilvl="2">
      <w:start w:val="1"/>
      <w:numFmt w:val="decimal"/>
      <w:pStyle w:val="3"/>
      <w:suff w:val="nothing"/>
      <w:lvlText w:val="%1.%2.%3　"/>
      <w:lvlJc w:val="left"/>
      <w:pPr>
        <w:ind w:left="0" w:firstLine="0"/>
      </w:pPr>
    </w:lvl>
    <w:lvl w:ilvl="3">
      <w:start w:val="1"/>
      <w:numFmt w:val="decimal"/>
      <w:pStyle w:val="4"/>
      <w:suff w:val="nothing"/>
      <w:lvlText w:val="%1.%2.%3.%4　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561013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ODhmNzgwZTc4NGM0NWMwZmJkM2JlYjNkMzY2MTRjNzIifQ=="/>
  </w:docVars>
  <w:rsids>
    <w:rsidRoot w:val="007F71E0"/>
    <w:rsid w:val="00000A1F"/>
    <w:rsid w:val="000031B3"/>
    <w:rsid w:val="00006376"/>
    <w:rsid w:val="00012554"/>
    <w:rsid w:val="000158F4"/>
    <w:rsid w:val="000210A3"/>
    <w:rsid w:val="00021312"/>
    <w:rsid w:val="00022F18"/>
    <w:rsid w:val="00022FAC"/>
    <w:rsid w:val="00023852"/>
    <w:rsid w:val="00024F39"/>
    <w:rsid w:val="00032403"/>
    <w:rsid w:val="00043CC5"/>
    <w:rsid w:val="00046058"/>
    <w:rsid w:val="00051101"/>
    <w:rsid w:val="00062EE2"/>
    <w:rsid w:val="00064DD9"/>
    <w:rsid w:val="00065187"/>
    <w:rsid w:val="00065E22"/>
    <w:rsid w:val="00071D61"/>
    <w:rsid w:val="00071FE4"/>
    <w:rsid w:val="00082972"/>
    <w:rsid w:val="0008701A"/>
    <w:rsid w:val="000876C9"/>
    <w:rsid w:val="00094EC7"/>
    <w:rsid w:val="00094F5D"/>
    <w:rsid w:val="000A4DB4"/>
    <w:rsid w:val="000B4D4B"/>
    <w:rsid w:val="000C2435"/>
    <w:rsid w:val="000D1D4E"/>
    <w:rsid w:val="000D26E4"/>
    <w:rsid w:val="000D676B"/>
    <w:rsid w:val="000E1142"/>
    <w:rsid w:val="000E1F0B"/>
    <w:rsid w:val="000E474F"/>
    <w:rsid w:val="000F6847"/>
    <w:rsid w:val="001049F6"/>
    <w:rsid w:val="00110F31"/>
    <w:rsid w:val="00114F26"/>
    <w:rsid w:val="001159C6"/>
    <w:rsid w:val="00116F24"/>
    <w:rsid w:val="00131523"/>
    <w:rsid w:val="00134780"/>
    <w:rsid w:val="00134836"/>
    <w:rsid w:val="001446B4"/>
    <w:rsid w:val="00150E7E"/>
    <w:rsid w:val="00151853"/>
    <w:rsid w:val="001635F6"/>
    <w:rsid w:val="0017159B"/>
    <w:rsid w:val="0017504F"/>
    <w:rsid w:val="00180D88"/>
    <w:rsid w:val="001838C7"/>
    <w:rsid w:val="00184AD4"/>
    <w:rsid w:val="00187CE9"/>
    <w:rsid w:val="001923BC"/>
    <w:rsid w:val="00195487"/>
    <w:rsid w:val="00195FCA"/>
    <w:rsid w:val="001960CC"/>
    <w:rsid w:val="0019629A"/>
    <w:rsid w:val="00197F07"/>
    <w:rsid w:val="001A023D"/>
    <w:rsid w:val="001B4832"/>
    <w:rsid w:val="001B4895"/>
    <w:rsid w:val="001C0AA2"/>
    <w:rsid w:val="001C4304"/>
    <w:rsid w:val="001D160F"/>
    <w:rsid w:val="001E12FF"/>
    <w:rsid w:val="001E1DA2"/>
    <w:rsid w:val="001E2AB3"/>
    <w:rsid w:val="001E2ED5"/>
    <w:rsid w:val="001E3D8F"/>
    <w:rsid w:val="001E6A89"/>
    <w:rsid w:val="001E7166"/>
    <w:rsid w:val="00201FB9"/>
    <w:rsid w:val="00212D8D"/>
    <w:rsid w:val="00215883"/>
    <w:rsid w:val="00215DEA"/>
    <w:rsid w:val="00215E7A"/>
    <w:rsid w:val="00222E46"/>
    <w:rsid w:val="00227D5C"/>
    <w:rsid w:val="00231B47"/>
    <w:rsid w:val="00241665"/>
    <w:rsid w:val="00241BB7"/>
    <w:rsid w:val="00242F96"/>
    <w:rsid w:val="002464DE"/>
    <w:rsid w:val="002548BB"/>
    <w:rsid w:val="0025556C"/>
    <w:rsid w:val="002604F2"/>
    <w:rsid w:val="0026191D"/>
    <w:rsid w:val="002722DE"/>
    <w:rsid w:val="002800DB"/>
    <w:rsid w:val="00286417"/>
    <w:rsid w:val="00292403"/>
    <w:rsid w:val="002A15FE"/>
    <w:rsid w:val="002A2932"/>
    <w:rsid w:val="002A65C7"/>
    <w:rsid w:val="002B469C"/>
    <w:rsid w:val="002B6BD2"/>
    <w:rsid w:val="002E2504"/>
    <w:rsid w:val="002E4381"/>
    <w:rsid w:val="002E57EA"/>
    <w:rsid w:val="002E599C"/>
    <w:rsid w:val="002E68B9"/>
    <w:rsid w:val="002F0DDC"/>
    <w:rsid w:val="002F1BB2"/>
    <w:rsid w:val="002F4815"/>
    <w:rsid w:val="003026C4"/>
    <w:rsid w:val="003056D3"/>
    <w:rsid w:val="00306052"/>
    <w:rsid w:val="00306469"/>
    <w:rsid w:val="003115FD"/>
    <w:rsid w:val="0031635C"/>
    <w:rsid w:val="00320C74"/>
    <w:rsid w:val="00341810"/>
    <w:rsid w:val="0034308F"/>
    <w:rsid w:val="00343EC1"/>
    <w:rsid w:val="00353458"/>
    <w:rsid w:val="0035512B"/>
    <w:rsid w:val="00370708"/>
    <w:rsid w:val="0037113F"/>
    <w:rsid w:val="00371BA7"/>
    <w:rsid w:val="003720AA"/>
    <w:rsid w:val="0037439D"/>
    <w:rsid w:val="00376695"/>
    <w:rsid w:val="00387292"/>
    <w:rsid w:val="00391D89"/>
    <w:rsid w:val="00394588"/>
    <w:rsid w:val="003A6793"/>
    <w:rsid w:val="003B4E11"/>
    <w:rsid w:val="003B7014"/>
    <w:rsid w:val="003C17EE"/>
    <w:rsid w:val="003C4820"/>
    <w:rsid w:val="003D216E"/>
    <w:rsid w:val="003D3B5B"/>
    <w:rsid w:val="003D50EE"/>
    <w:rsid w:val="003D6530"/>
    <w:rsid w:val="003E59F2"/>
    <w:rsid w:val="003F36B9"/>
    <w:rsid w:val="003F371F"/>
    <w:rsid w:val="00407B67"/>
    <w:rsid w:val="004104A0"/>
    <w:rsid w:val="0041658E"/>
    <w:rsid w:val="00424827"/>
    <w:rsid w:val="004249C3"/>
    <w:rsid w:val="0043534B"/>
    <w:rsid w:val="004534BB"/>
    <w:rsid w:val="00454971"/>
    <w:rsid w:val="00465105"/>
    <w:rsid w:val="00466F47"/>
    <w:rsid w:val="004676E0"/>
    <w:rsid w:val="00470D64"/>
    <w:rsid w:val="00475C0F"/>
    <w:rsid w:val="004808CF"/>
    <w:rsid w:val="0048165A"/>
    <w:rsid w:val="00493238"/>
    <w:rsid w:val="00497508"/>
    <w:rsid w:val="0049772A"/>
    <w:rsid w:val="004A3AF3"/>
    <w:rsid w:val="004B36F9"/>
    <w:rsid w:val="004B5442"/>
    <w:rsid w:val="004D3078"/>
    <w:rsid w:val="004D648F"/>
    <w:rsid w:val="004D6932"/>
    <w:rsid w:val="004E67E7"/>
    <w:rsid w:val="004F0953"/>
    <w:rsid w:val="004F62BB"/>
    <w:rsid w:val="00502602"/>
    <w:rsid w:val="0051346B"/>
    <w:rsid w:val="005263E9"/>
    <w:rsid w:val="00526B16"/>
    <w:rsid w:val="00526C34"/>
    <w:rsid w:val="00531F29"/>
    <w:rsid w:val="00534B9C"/>
    <w:rsid w:val="00536A46"/>
    <w:rsid w:val="00537D94"/>
    <w:rsid w:val="0054022A"/>
    <w:rsid w:val="00543E1F"/>
    <w:rsid w:val="0054499F"/>
    <w:rsid w:val="00552571"/>
    <w:rsid w:val="00554BD7"/>
    <w:rsid w:val="00555D09"/>
    <w:rsid w:val="00556E2E"/>
    <w:rsid w:val="00560735"/>
    <w:rsid w:val="00575373"/>
    <w:rsid w:val="00576EFD"/>
    <w:rsid w:val="005806B7"/>
    <w:rsid w:val="00581520"/>
    <w:rsid w:val="00592943"/>
    <w:rsid w:val="0059443D"/>
    <w:rsid w:val="005B0B18"/>
    <w:rsid w:val="005B1359"/>
    <w:rsid w:val="005B454D"/>
    <w:rsid w:val="005B57E2"/>
    <w:rsid w:val="005D4017"/>
    <w:rsid w:val="005D4CBA"/>
    <w:rsid w:val="005D550B"/>
    <w:rsid w:val="005E0BC2"/>
    <w:rsid w:val="005F2062"/>
    <w:rsid w:val="005F3318"/>
    <w:rsid w:val="0060108C"/>
    <w:rsid w:val="00601924"/>
    <w:rsid w:val="0060682D"/>
    <w:rsid w:val="00623A9B"/>
    <w:rsid w:val="0063617F"/>
    <w:rsid w:val="00641CD5"/>
    <w:rsid w:val="00644514"/>
    <w:rsid w:val="00644A36"/>
    <w:rsid w:val="00644C38"/>
    <w:rsid w:val="0064598A"/>
    <w:rsid w:val="006607CA"/>
    <w:rsid w:val="00663EF9"/>
    <w:rsid w:val="00665B87"/>
    <w:rsid w:val="0067672D"/>
    <w:rsid w:val="006922BE"/>
    <w:rsid w:val="006A2045"/>
    <w:rsid w:val="006C3AB1"/>
    <w:rsid w:val="006C6EFD"/>
    <w:rsid w:val="006D06B2"/>
    <w:rsid w:val="006D1F3D"/>
    <w:rsid w:val="006D7DC8"/>
    <w:rsid w:val="006E1181"/>
    <w:rsid w:val="006E3733"/>
    <w:rsid w:val="006E4CD4"/>
    <w:rsid w:val="006F3659"/>
    <w:rsid w:val="00702F58"/>
    <w:rsid w:val="007052D2"/>
    <w:rsid w:val="0070542A"/>
    <w:rsid w:val="0071055A"/>
    <w:rsid w:val="007225B3"/>
    <w:rsid w:val="00722B49"/>
    <w:rsid w:val="00725D5B"/>
    <w:rsid w:val="0073078C"/>
    <w:rsid w:val="0073738C"/>
    <w:rsid w:val="00740A13"/>
    <w:rsid w:val="00755E11"/>
    <w:rsid w:val="0076379C"/>
    <w:rsid w:val="007702C9"/>
    <w:rsid w:val="00773D2D"/>
    <w:rsid w:val="00773D7F"/>
    <w:rsid w:val="007812E6"/>
    <w:rsid w:val="00783035"/>
    <w:rsid w:val="0079056F"/>
    <w:rsid w:val="007A0B1F"/>
    <w:rsid w:val="007A1E3E"/>
    <w:rsid w:val="007A26BD"/>
    <w:rsid w:val="007B14F4"/>
    <w:rsid w:val="007B18F9"/>
    <w:rsid w:val="007B6A15"/>
    <w:rsid w:val="007C47DD"/>
    <w:rsid w:val="007C4C1A"/>
    <w:rsid w:val="007C63E5"/>
    <w:rsid w:val="007C6E7B"/>
    <w:rsid w:val="007D4084"/>
    <w:rsid w:val="007D7BF0"/>
    <w:rsid w:val="007E12BC"/>
    <w:rsid w:val="007E1480"/>
    <w:rsid w:val="007E5B7F"/>
    <w:rsid w:val="007E6758"/>
    <w:rsid w:val="007F12B9"/>
    <w:rsid w:val="007F3EBC"/>
    <w:rsid w:val="007F71E0"/>
    <w:rsid w:val="007F7C93"/>
    <w:rsid w:val="00801335"/>
    <w:rsid w:val="00801855"/>
    <w:rsid w:val="00802B07"/>
    <w:rsid w:val="00810DA4"/>
    <w:rsid w:val="00814E84"/>
    <w:rsid w:val="008158EA"/>
    <w:rsid w:val="00815FE5"/>
    <w:rsid w:val="008160C3"/>
    <w:rsid w:val="00825EDA"/>
    <w:rsid w:val="00832E92"/>
    <w:rsid w:val="008469DC"/>
    <w:rsid w:val="00852CEC"/>
    <w:rsid w:val="00854C96"/>
    <w:rsid w:val="00870E39"/>
    <w:rsid w:val="00871F48"/>
    <w:rsid w:val="00872D2B"/>
    <w:rsid w:val="00877E70"/>
    <w:rsid w:val="00886104"/>
    <w:rsid w:val="0088791E"/>
    <w:rsid w:val="00895393"/>
    <w:rsid w:val="008A2E9F"/>
    <w:rsid w:val="008A4984"/>
    <w:rsid w:val="008A7C7C"/>
    <w:rsid w:val="008B20CE"/>
    <w:rsid w:val="008B3A0E"/>
    <w:rsid w:val="008C05A5"/>
    <w:rsid w:val="008C5A9E"/>
    <w:rsid w:val="008C771D"/>
    <w:rsid w:val="008D0575"/>
    <w:rsid w:val="008D23EE"/>
    <w:rsid w:val="008E61EB"/>
    <w:rsid w:val="008F464B"/>
    <w:rsid w:val="008F7B7B"/>
    <w:rsid w:val="00904020"/>
    <w:rsid w:val="00923874"/>
    <w:rsid w:val="009260CC"/>
    <w:rsid w:val="00927784"/>
    <w:rsid w:val="00957FBE"/>
    <w:rsid w:val="00964D05"/>
    <w:rsid w:val="009672E6"/>
    <w:rsid w:val="00971AAD"/>
    <w:rsid w:val="009724CC"/>
    <w:rsid w:val="00972F57"/>
    <w:rsid w:val="00973C61"/>
    <w:rsid w:val="00977CE2"/>
    <w:rsid w:val="00981107"/>
    <w:rsid w:val="00985BA7"/>
    <w:rsid w:val="009907A1"/>
    <w:rsid w:val="00994256"/>
    <w:rsid w:val="00995602"/>
    <w:rsid w:val="00996982"/>
    <w:rsid w:val="009A1E0F"/>
    <w:rsid w:val="009A2859"/>
    <w:rsid w:val="009A5E34"/>
    <w:rsid w:val="009A63B8"/>
    <w:rsid w:val="009B13D5"/>
    <w:rsid w:val="009B4574"/>
    <w:rsid w:val="009B4D27"/>
    <w:rsid w:val="009D1FD7"/>
    <w:rsid w:val="009D76B6"/>
    <w:rsid w:val="009F0775"/>
    <w:rsid w:val="009F1670"/>
    <w:rsid w:val="009F2169"/>
    <w:rsid w:val="00A074A9"/>
    <w:rsid w:val="00A234F2"/>
    <w:rsid w:val="00A2418C"/>
    <w:rsid w:val="00A25E6D"/>
    <w:rsid w:val="00A343C2"/>
    <w:rsid w:val="00A438F9"/>
    <w:rsid w:val="00A45DE9"/>
    <w:rsid w:val="00A567DA"/>
    <w:rsid w:val="00A67DA1"/>
    <w:rsid w:val="00A71C14"/>
    <w:rsid w:val="00A73002"/>
    <w:rsid w:val="00A74459"/>
    <w:rsid w:val="00A761A3"/>
    <w:rsid w:val="00A85685"/>
    <w:rsid w:val="00A877EC"/>
    <w:rsid w:val="00A959E9"/>
    <w:rsid w:val="00AA587F"/>
    <w:rsid w:val="00AC7966"/>
    <w:rsid w:val="00AD3EBC"/>
    <w:rsid w:val="00AE02AA"/>
    <w:rsid w:val="00AE7FBC"/>
    <w:rsid w:val="00B02BF0"/>
    <w:rsid w:val="00B05B60"/>
    <w:rsid w:val="00B113A4"/>
    <w:rsid w:val="00B17FF5"/>
    <w:rsid w:val="00B22262"/>
    <w:rsid w:val="00B230FA"/>
    <w:rsid w:val="00B24289"/>
    <w:rsid w:val="00B41211"/>
    <w:rsid w:val="00B61A7D"/>
    <w:rsid w:val="00B67125"/>
    <w:rsid w:val="00B95893"/>
    <w:rsid w:val="00BA600D"/>
    <w:rsid w:val="00BA6C0B"/>
    <w:rsid w:val="00BC002F"/>
    <w:rsid w:val="00BD3908"/>
    <w:rsid w:val="00BD6195"/>
    <w:rsid w:val="00BE51DD"/>
    <w:rsid w:val="00BE5D25"/>
    <w:rsid w:val="00BF0B08"/>
    <w:rsid w:val="00BF23C0"/>
    <w:rsid w:val="00BF4946"/>
    <w:rsid w:val="00C016B3"/>
    <w:rsid w:val="00C048E1"/>
    <w:rsid w:val="00C10461"/>
    <w:rsid w:val="00C14F6E"/>
    <w:rsid w:val="00C16533"/>
    <w:rsid w:val="00C20159"/>
    <w:rsid w:val="00C23F47"/>
    <w:rsid w:val="00C26930"/>
    <w:rsid w:val="00C30A57"/>
    <w:rsid w:val="00C34FAB"/>
    <w:rsid w:val="00C35670"/>
    <w:rsid w:val="00C415FC"/>
    <w:rsid w:val="00C428E1"/>
    <w:rsid w:val="00C42D72"/>
    <w:rsid w:val="00C4460A"/>
    <w:rsid w:val="00C54274"/>
    <w:rsid w:val="00C72691"/>
    <w:rsid w:val="00C77605"/>
    <w:rsid w:val="00CA462A"/>
    <w:rsid w:val="00CA6168"/>
    <w:rsid w:val="00CA6B2C"/>
    <w:rsid w:val="00CB46AF"/>
    <w:rsid w:val="00CC0DE4"/>
    <w:rsid w:val="00CC312B"/>
    <w:rsid w:val="00CC3D8A"/>
    <w:rsid w:val="00CD1A90"/>
    <w:rsid w:val="00CD2BAE"/>
    <w:rsid w:val="00CE3555"/>
    <w:rsid w:val="00D04A03"/>
    <w:rsid w:val="00D1386A"/>
    <w:rsid w:val="00D1692E"/>
    <w:rsid w:val="00D21453"/>
    <w:rsid w:val="00D21757"/>
    <w:rsid w:val="00D248A6"/>
    <w:rsid w:val="00D306B7"/>
    <w:rsid w:val="00D3388E"/>
    <w:rsid w:val="00D36817"/>
    <w:rsid w:val="00D40C9B"/>
    <w:rsid w:val="00D40EDF"/>
    <w:rsid w:val="00D43E7B"/>
    <w:rsid w:val="00D537F6"/>
    <w:rsid w:val="00D621CD"/>
    <w:rsid w:val="00D671A0"/>
    <w:rsid w:val="00D744AC"/>
    <w:rsid w:val="00D767BD"/>
    <w:rsid w:val="00D9079F"/>
    <w:rsid w:val="00D92D94"/>
    <w:rsid w:val="00DA7AD8"/>
    <w:rsid w:val="00DB3827"/>
    <w:rsid w:val="00DC0DA9"/>
    <w:rsid w:val="00DC5B77"/>
    <w:rsid w:val="00DD0222"/>
    <w:rsid w:val="00DE30C8"/>
    <w:rsid w:val="00DF1B30"/>
    <w:rsid w:val="00DF1BBF"/>
    <w:rsid w:val="00DF5714"/>
    <w:rsid w:val="00DF7D96"/>
    <w:rsid w:val="00E110BD"/>
    <w:rsid w:val="00E1183B"/>
    <w:rsid w:val="00E13CA3"/>
    <w:rsid w:val="00E14DDD"/>
    <w:rsid w:val="00E31F19"/>
    <w:rsid w:val="00E363B2"/>
    <w:rsid w:val="00E41FF9"/>
    <w:rsid w:val="00E4363C"/>
    <w:rsid w:val="00E45EE4"/>
    <w:rsid w:val="00E6086E"/>
    <w:rsid w:val="00E6227E"/>
    <w:rsid w:val="00E62D76"/>
    <w:rsid w:val="00E67522"/>
    <w:rsid w:val="00E7044B"/>
    <w:rsid w:val="00E840CC"/>
    <w:rsid w:val="00E87773"/>
    <w:rsid w:val="00E92864"/>
    <w:rsid w:val="00E944CD"/>
    <w:rsid w:val="00E9580E"/>
    <w:rsid w:val="00EA4758"/>
    <w:rsid w:val="00EC1DE8"/>
    <w:rsid w:val="00EC1E17"/>
    <w:rsid w:val="00EC5715"/>
    <w:rsid w:val="00ED2069"/>
    <w:rsid w:val="00ED3A76"/>
    <w:rsid w:val="00ED69FF"/>
    <w:rsid w:val="00EE71E6"/>
    <w:rsid w:val="00F05DA9"/>
    <w:rsid w:val="00F06F87"/>
    <w:rsid w:val="00F07A8E"/>
    <w:rsid w:val="00F10E85"/>
    <w:rsid w:val="00F20DC0"/>
    <w:rsid w:val="00F25BF2"/>
    <w:rsid w:val="00F312E5"/>
    <w:rsid w:val="00F332A1"/>
    <w:rsid w:val="00F34A3C"/>
    <w:rsid w:val="00F3747C"/>
    <w:rsid w:val="00F46C33"/>
    <w:rsid w:val="00F60D39"/>
    <w:rsid w:val="00F636B9"/>
    <w:rsid w:val="00F70F19"/>
    <w:rsid w:val="00F7168A"/>
    <w:rsid w:val="00F725DD"/>
    <w:rsid w:val="00F76190"/>
    <w:rsid w:val="00F93E43"/>
    <w:rsid w:val="00F94F0A"/>
    <w:rsid w:val="00F9569E"/>
    <w:rsid w:val="00FA4825"/>
    <w:rsid w:val="00FA6EE5"/>
    <w:rsid w:val="00FC0958"/>
    <w:rsid w:val="00FC48A8"/>
    <w:rsid w:val="00FD29D8"/>
    <w:rsid w:val="00FD67D8"/>
    <w:rsid w:val="00FE3054"/>
    <w:rsid w:val="01E23011"/>
    <w:rsid w:val="11A2456B"/>
    <w:rsid w:val="11B147AE"/>
    <w:rsid w:val="17AC656C"/>
    <w:rsid w:val="1CB75985"/>
    <w:rsid w:val="1D951428"/>
    <w:rsid w:val="21D95D87"/>
    <w:rsid w:val="442F6A8E"/>
    <w:rsid w:val="479B74B7"/>
    <w:rsid w:val="59B44408"/>
    <w:rsid w:val="73960736"/>
    <w:rsid w:val="7616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B1BE6C"/>
  <w15:docId w15:val="{4A95214B-6AFA-4390-815B-395DFB8B4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478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pageBreakBefore/>
      <w:numPr>
        <w:numId w:val="1"/>
      </w:numPr>
      <w:spacing w:before="480" w:after="360"/>
      <w:ind w:left="0"/>
      <w:jc w:val="center"/>
      <w:outlineLvl w:val="0"/>
    </w:pPr>
    <w:rPr>
      <w:rFonts w:ascii="Times New Roman" w:eastAsia="黑体" w:hAnsi="Times New Roman" w:cs="Times New Roman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480" w:after="120"/>
      <w:contextualSpacing/>
      <w:jc w:val="left"/>
      <w:outlineLvl w:val="1"/>
    </w:pPr>
    <w:rPr>
      <w:rFonts w:ascii="Times New Roman" w:eastAsia="黑体" w:hAnsi="Times New Roman" w:cs="Times New Roman"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40" w:after="120"/>
      <w:contextualSpacing/>
      <w:jc w:val="left"/>
      <w:outlineLvl w:val="2"/>
    </w:pPr>
    <w:rPr>
      <w:rFonts w:ascii="Times New Roman" w:eastAsia="黑体" w:hAnsi="Times New Roman" w:cs="Times New Roman"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40" w:after="120"/>
      <w:contextualSpacing/>
      <w:jc w:val="left"/>
      <w:outlineLvl w:val="3"/>
    </w:pPr>
    <w:rPr>
      <w:rFonts w:ascii="Times New Roman" w:eastAsia="黑体" w:hAnsi="Times New Roman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宋体" w:hAnsiTheme="majorHAnsi" w:cstheme="majorBidi"/>
      <w:sz w:val="20"/>
      <w:szCs w:val="20"/>
    </w:rPr>
  </w:style>
  <w:style w:type="paragraph" w:styleId="a4">
    <w:name w:val="annotation text"/>
    <w:basedOn w:val="a"/>
    <w:link w:val="a5"/>
    <w:uiPriority w:val="99"/>
    <w:semiHidden/>
    <w:unhideWhenUsed/>
    <w:qFormat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annotation subject"/>
    <w:basedOn w:val="a4"/>
    <w:next w:val="a4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Pr>
      <w:sz w:val="18"/>
      <w:szCs w:val="18"/>
    </w:rPr>
  </w:style>
  <w:style w:type="table" w:customStyle="1" w:styleId="21">
    <w:name w:val="无格式表格 21"/>
    <w:basedOn w:val="a1"/>
    <w:uiPriority w:val="42"/>
    <w:qFormat/>
    <w:rPr>
      <w:sz w:val="24"/>
      <w:szCs w:val="24"/>
    </w:rPr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fontstyle01">
    <w:name w:val="fontstyle01"/>
    <w:basedOn w:val="a0"/>
    <w:rPr>
      <w:rFonts w:ascii="AdvOT3bbb1fa6.B" w:hAnsi="AdvOT3bbb1fa6.B" w:hint="default"/>
      <w:color w:val="000000"/>
      <w:sz w:val="16"/>
      <w:szCs w:val="16"/>
    </w:rPr>
  </w:style>
  <w:style w:type="character" w:customStyle="1" w:styleId="fontstyle21">
    <w:name w:val="fontstyle21"/>
    <w:basedOn w:val="a0"/>
    <w:qFormat/>
    <w:rPr>
      <w:rFonts w:ascii="AdvOT77db9845" w:hAnsi="AdvOT77db9845" w:hint="default"/>
      <w:color w:val="000000"/>
      <w:sz w:val="16"/>
      <w:szCs w:val="16"/>
    </w:rPr>
  </w:style>
  <w:style w:type="character" w:customStyle="1" w:styleId="fontstyle31">
    <w:name w:val="fontstyle31"/>
    <w:basedOn w:val="a0"/>
    <w:qFormat/>
    <w:rPr>
      <w:rFonts w:ascii="AdvOT77db9845+fb" w:hAnsi="AdvOT77db9845+fb" w:hint="default"/>
      <w:color w:val="000000"/>
      <w:sz w:val="16"/>
      <w:szCs w:val="16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Segoe UI" w:hAnsi="Segoe UI" w:cs="Segoe UI"/>
      <w:sz w:val="18"/>
      <w:szCs w:val="18"/>
    </w:rPr>
  </w:style>
  <w:style w:type="character" w:styleId="af2">
    <w:name w:val="Placeholder Text"/>
    <w:basedOn w:val="a0"/>
    <w:uiPriority w:val="99"/>
    <w:semiHidden/>
    <w:qFormat/>
    <w:rPr>
      <w:color w:val="808080"/>
    </w:rPr>
  </w:style>
  <w:style w:type="paragraph" w:customStyle="1" w:styleId="plainText">
    <w:name w:val="plainText"/>
    <w:basedOn w:val="a"/>
    <w:link w:val="plainText0"/>
    <w:qFormat/>
    <w:pPr>
      <w:spacing w:line="360" w:lineRule="auto"/>
      <w:ind w:firstLineChars="200" w:firstLine="482"/>
      <w:contextualSpacing/>
    </w:pPr>
    <w:rPr>
      <w:rFonts w:ascii="Times New Roman" w:eastAsia="宋体" w:hAnsi="Times New Roman" w:cs="Times New Roman"/>
      <w:color w:val="000000"/>
      <w:kern w:val="0"/>
      <w:sz w:val="24"/>
      <w:szCs w:val="28"/>
    </w:rPr>
  </w:style>
  <w:style w:type="character" w:customStyle="1" w:styleId="plainText0">
    <w:name w:val="plainText 字符"/>
    <w:basedOn w:val="a0"/>
    <w:link w:val="plainText"/>
    <w:qFormat/>
    <w:rPr>
      <w:rFonts w:ascii="Times New Roman" w:eastAsia="宋体" w:hAnsi="Times New Roman" w:cs="Times New Roman"/>
      <w:color w:val="000000"/>
      <w:kern w:val="0"/>
      <w:sz w:val="24"/>
      <w:szCs w:val="28"/>
    </w:rPr>
  </w:style>
  <w:style w:type="paragraph" w:customStyle="1" w:styleId="table">
    <w:name w:val="table"/>
    <w:basedOn w:val="a"/>
    <w:next w:val="plainText"/>
    <w:link w:val="table0"/>
    <w:qFormat/>
    <w:pPr>
      <w:keepNext/>
      <w:keepLines/>
      <w:spacing w:before="120" w:after="120" w:line="360" w:lineRule="auto"/>
      <w:contextualSpacing/>
      <w:jc w:val="center"/>
    </w:pPr>
    <w:rPr>
      <w:rFonts w:ascii="Times New Roman" w:eastAsia="宋体" w:hAnsi="Times New Roman" w:cs="Times New Roman"/>
      <w:b/>
      <w:sz w:val="20"/>
      <w:szCs w:val="24"/>
    </w:rPr>
  </w:style>
  <w:style w:type="character" w:customStyle="1" w:styleId="table0">
    <w:name w:val="table 字符"/>
    <w:basedOn w:val="a0"/>
    <w:link w:val="table"/>
    <w:qFormat/>
    <w:rPr>
      <w:rFonts w:ascii="Times New Roman" w:eastAsia="宋体" w:hAnsi="Times New Roman" w:cs="Times New Roman"/>
      <w:b/>
      <w:sz w:val="20"/>
      <w:szCs w:val="24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黑体" w:hAnsi="Times New Roman" w:cs="Times New Roman"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黑体" w:hAnsi="Times New Roman" w:cs="Times New Roman"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Times New Roman" w:eastAsia="黑体" w:hAnsi="Times New Roman" w:cs="Times New Roman"/>
      <w:bCs/>
      <w:sz w:val="24"/>
      <w:szCs w:val="2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5">
    <w:name w:val="批注文字 字符"/>
    <w:basedOn w:val="a0"/>
    <w:link w:val="a4"/>
    <w:uiPriority w:val="99"/>
    <w:semiHidden/>
    <w:qFormat/>
    <w:rPr>
      <w:sz w:val="20"/>
      <w:szCs w:val="20"/>
    </w:rPr>
  </w:style>
  <w:style w:type="character" w:customStyle="1" w:styleId="ae">
    <w:name w:val="批注主题 字符"/>
    <w:basedOn w:val="a5"/>
    <w:link w:val="ad"/>
    <w:uiPriority w:val="99"/>
    <w:semiHidden/>
    <w:qFormat/>
    <w:rPr>
      <w:b/>
      <w:bCs/>
      <w:sz w:val="20"/>
      <w:szCs w:val="20"/>
    </w:rPr>
  </w:style>
  <w:style w:type="paragraph" w:customStyle="1" w:styleId="12">
    <w:name w:val="修订1"/>
    <w:hidden/>
    <w:uiPriority w:val="99"/>
    <w:semiHidden/>
    <w:qFormat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C7DA5-2B0B-4DD8-A16C-805407EFC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3873</TotalTime>
  <Pages>10</Pages>
  <Words>534</Words>
  <Characters>3047</Characters>
  <Application>Microsoft Office Word</Application>
  <DocSecurity>0</DocSecurity>
  <Lines>25</Lines>
  <Paragraphs>7</Paragraphs>
  <ScaleCrop>false</ScaleCrop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Shukun Li</cp:lastModifiedBy>
  <cp:revision>65</cp:revision>
  <cp:lastPrinted>2019-01-16T01:22:00Z</cp:lastPrinted>
  <dcterms:created xsi:type="dcterms:W3CDTF">2019-01-06T06:46:00Z</dcterms:created>
  <dcterms:modified xsi:type="dcterms:W3CDTF">2022-08-27T06:11:00Z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B6B8865834AA4DCBBF700A1663A9EEF0</vt:lpwstr>
  </property>
</Properties>
</file>