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 xml:space="preserve">2.1 Experimental animals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jc w:val="both"/>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 xml:space="preserve">The 56 KM male mice (Shandong Pengyue Laboratory Animal Co., Ltd.) weighed about 25g±2g at temperature (22~23℃) and humidity of 35%~40%. The production license number was SCXK (Lu) 20190003. The light/dark cycle was 12 h, and the mice were acclimated to feeding for one week under the condition of free drinking and feeding. </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 xml:space="preserve">2.2 </w:t>
      </w:r>
      <w:r>
        <w:rPr>
          <w:rFonts w:hint="default" w:ascii="Times New Roman" w:hAnsi="Times New Roman" w:cs="Times New Roman"/>
          <w:color w:val="000000" w:themeColor="text1"/>
          <w:sz w:val="24"/>
          <w:lang w:val="en-US" w:eastAsia="zh-CN"/>
          <w14:textFill>
            <w14:solidFill>
              <w14:schemeClr w14:val="tx1"/>
            </w14:solidFill>
          </w14:textFill>
        </w:rPr>
        <w:t>Preparation of Platycodon saponin</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The microwave extraction method was used to extract Platycodon grandiflorus saponin from Platycodon grandiflorus. In short, the crude saponin was extracted under microwave power 210</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w, ethanol concentration 80%, solid to liquid ratio 1:17 extraction time 3.5</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min, and then purified by D101 type resin.</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kern w:val="2"/>
          <w:sz w:val="24"/>
          <w:szCs w:val="24"/>
          <w:vertAlign w:val="baseline"/>
          <w:lang w:val="en-US" w:eastAsia="zh-CN" w:bidi="ar-SA"/>
          <w14:textFill>
            <w14:solidFill>
              <w14:schemeClr w14:val="tx1"/>
            </w14:solidFill>
          </w14:textFill>
        </w:rPr>
        <w:t>2.3 Reagents</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Colchicine was purchased from Xishuangbanna Pharmaceutical Co., Ltd., sodium urate brand was sigma Life Science and High-Tech Group Company, and ELISA kits for the detection of inflammatory factors and peroxides were purchased from Hepeng (Shanghai) Biotechnology Co., Ltd., IL-1β antibody, ASC antibody, caspase-1 antibody HRP-labeled goat anti-rabbit IgG, BCA kit, lysis buffer, protease inhibitor, 5× protein loading buffer, protein Electrophoresis gel kit, and PVDF membrane were purchased from Sevier (Wuhan) Biotechnology Co., Ltd., skim milk powder, and ECL luminescence kit was purchased from Biosharp Biotechnology Co., Ltd.</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Modeling and treatment of acute gouty arthritis</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jc w:val="both"/>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Because approximately 13% of mice died due to excessive doses in the pre-experiment, this study determined three dose gradients(12.5, 25, and 50 mg/kg corresponding to human amounts of approximately 1.37, 2.75, and 5.49 mg/kg). This dose gradient was safe and effective in formal experiments with no mice dying.</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jc w:val="both"/>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The mice were divided into blank group, model group, colchicine group (1</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lang w:val="en-US" w:eastAsia="zh-CN"/>
          <w14:textFill>
            <w14:solidFill>
              <w14:schemeClr w14:val="tx1"/>
            </w14:solidFill>
          </w14:textFill>
        </w:rPr>
        <w:t>mg/kg), saponin low dose group (12.5</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lang w:val="en-US" w:eastAsia="zh-CN"/>
          <w14:textFill>
            <w14:solidFill>
              <w14:schemeClr w14:val="tx1"/>
            </w14:solidFill>
          </w14:textFill>
        </w:rPr>
        <w:t>mg/kg), saponin medium dose group (25</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lang w:val="en-US" w:eastAsia="zh-CN"/>
          <w14:textFill>
            <w14:solidFill>
              <w14:schemeClr w14:val="tx1"/>
            </w14:solidFill>
          </w14:textFill>
        </w:rPr>
        <w:t>mg/kg), and saponin high dose group (50</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lang w:val="en-US" w:eastAsia="zh-CN"/>
          <w14:textFill>
            <w14:solidFill>
              <w14:schemeClr w14:val="tx1"/>
            </w14:solidFill>
          </w14:textFill>
        </w:rPr>
        <w:t>mg/kg). Eight mice in each group were gavaged for seven days, the mice were anesthetized by intraperitoneal injection using 1% pentobarbital sodium on the fifth day, after anesthesia, the mice were positioned in a supine position., and then the mice were disinfected at the ankle with 75% alcohol. Then, except for the blank group, all groups were injected with 50ul of MSU (25 mg/ml) at the ankle of mice, and the blank group was injected with 50ul of saline. After one hour of gavage on the seventh day, the mice were anesthetized and executed to gain ankles on ice.</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lang w:val="en-US" w:eastAsia="zh-CN"/>
          <w14:textFill>
            <w14:solidFill>
              <w14:schemeClr w14:val="tx1"/>
            </w14:solidFill>
          </w14:textFill>
        </w:rPr>
        <w:t>After removing the skin and muscle tissues from the ankles</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lang w:val="en-US" w:eastAsia="zh-CN"/>
          <w14:textFill>
            <w14:solidFill>
              <w14:schemeClr w14:val="tx1"/>
            </w14:solidFill>
          </w14:textFill>
        </w:rPr>
        <w:t>the ankle tissues were divided into two parts, one was put into tissue fixative for pathological section observation, and the other was put into a -80℃ refrigerator.</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Degree of swelling of the ankle joint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jc w:val="both"/>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After the ankle diameters of mice were measured with vernier calipers at the same position before and 1, 4, 24, and 48 h after MSU injection. A total of five measurements were performed to observe the changes in the degree of ankle distension during 48 h.</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2.</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6</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 xml:space="preserve"> Detection of inflammatory factors and oxidative stress factors in serum</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jc w:val="both"/>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The mice were anesthetized and sacrificed on the seventh day, and the blood was collected. After standing at room temperature (approximately 25 °C ) for one h, the mice were centrifuged at four °C and 3000 r/min immediately. The supernatant was taken and stored in a -80℃ refrigerator immediately before the assay. ELISA performed the assay, and the levels of IL-1β, TNF-α, IL-6, MDA, SOD, and GSH-PX factors in the serum were detected according to the ELISA kit instructions.</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2.</w:t>
      </w:r>
      <w:r>
        <w:rPr>
          <w:rFonts w:hint="eastAsia" w:ascii="Times New Roman" w:hAnsi="Times New Roman" w:cs="Times New Roman"/>
          <w:color w:val="000000" w:themeColor="text1"/>
          <w:sz w:val="24"/>
          <w:lang w:val="en-US" w:eastAsia="zh-CN"/>
          <w14:textFill>
            <w14:solidFill>
              <w14:schemeClr w14:val="tx1"/>
            </w14:solidFill>
          </w14:textFill>
        </w:rPr>
        <w:t>7</w:t>
      </w:r>
      <w:r>
        <w:rPr>
          <w:rFonts w:hint="default" w:ascii="Times New Roman" w:hAnsi="Times New Roman" w:cs="Times New Roman"/>
          <w:color w:val="000000" w:themeColor="text1"/>
          <w:sz w:val="24"/>
          <w:lang w:val="en-US" w:eastAsia="zh-CN"/>
          <w14:textFill>
            <w14:solidFill>
              <w14:schemeClr w14:val="tx1"/>
            </w14:solidFill>
          </w14:textFill>
        </w:rPr>
        <w:t xml:space="preserve"> Myeloperoxidase (MPO) activity study</w:t>
      </w:r>
    </w:p>
    <w:p>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both"/>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color w:val="000000" w:themeColor="text1"/>
          <w:sz w:val="24"/>
          <w:lang w:val="en-US" w:eastAsia="zh-CN"/>
          <w14:textFill>
            <w14:solidFill>
              <w14:schemeClr w14:val="tx1"/>
            </w14:solidFill>
          </w14:textFill>
        </w:rPr>
        <w:t>Quantitative analysis of neutrophils in mouse paw tissue was carried out by enzyme-linked immunosorbent assay (ELISA). An appropriate amount of normal saline was added to the ankle joint of mice for crushing treatment. The tissue homogenate was centrifuged at 4 ° C for 10 min at 3000 R / min to obtain the supernatant. 10ul of the solution to be measured was added to the well plate, and 40ul of the sample dilution was added. Reaction reagents were added in sequence according to the instructions, and 3,3 ', 5,5' tetramethylbenzidine (TMB) was used for color development. TMB is converted into blue under the catalysis of peroxidase and yellow under the action of acid. The color depth is positively correlated with MPO in the sample.</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2.</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8</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 xml:space="preserve"> </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Tissue section of gouty arthritis model.</w:t>
      </w:r>
    </w:p>
    <w:p>
      <w:pPr>
        <w:keepNext w:val="0"/>
        <w:keepLines w:val="0"/>
        <w:pageBreakBefore w:val="0"/>
        <w:widowControl w:val="0"/>
        <w:tabs>
          <w:tab w:val="left" w:pos="5019"/>
        </w:tabs>
        <w:kinsoku/>
        <w:wordWrap/>
        <w:overflowPunct/>
        <w:topLinePunct w:val="0"/>
        <w:autoSpaceDE/>
        <w:autoSpaceDN/>
        <w:bidi w:val="0"/>
        <w:adjustRightInd/>
        <w:snapToGrid/>
        <w:spacing w:line="480" w:lineRule="auto"/>
        <w:ind w:firstLine="480" w:firstLineChars="200"/>
        <w:jc w:val="both"/>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After the mice were anesthetized and sacrificed, the ankle joints of the mice were collected and placed in tissue fixative. Then, the ankle joints of the mice were placed in an embedding box for decalcification, and further paraffin sections were made, stained with H&amp;E, and magnified 200x under a light microscope. Cell changes were observed.</w:t>
      </w:r>
    </w:p>
    <w:p>
      <w:pPr>
        <w:keepNext w:val="0"/>
        <w:keepLines w:val="0"/>
        <w:pageBreakBefore w:val="0"/>
        <w:widowControl w:val="0"/>
        <w:tabs>
          <w:tab w:val="left" w:pos="5019"/>
        </w:tabs>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2.</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9</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 xml:space="preserve"> Western blot.</w:t>
      </w:r>
    </w:p>
    <w:p>
      <w:pPr>
        <w:keepNext w:val="0"/>
        <w:keepLines w:val="0"/>
        <w:pageBreakBefore w:val="0"/>
        <w:widowControl w:val="0"/>
        <w:tabs>
          <w:tab w:val="left" w:pos="5019"/>
        </w:tabs>
        <w:kinsoku/>
        <w:wordWrap/>
        <w:overflowPunct/>
        <w:topLinePunct w:val="0"/>
        <w:autoSpaceDE/>
        <w:autoSpaceDN/>
        <w:bidi w:val="0"/>
        <w:adjustRightInd/>
        <w:snapToGrid/>
        <w:spacing w:line="480" w:lineRule="auto"/>
        <w:ind w:firstLine="480" w:firstLineChars="200"/>
        <w:jc w:val="both"/>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To verify the therapeutic effect of Platycodon saponins on gouty arthritis. The expression of proteins on related pathways was studied. Firstly, protein extraction was performed on the collected tissues, the tissues were crushed, and lysate and protease inhibitors were added to extract proteins. The ratio of 50:1 was lysed on ice for half an hour, centrifuged at four °C, and 12000 r/min for 10 min to take the supernatant, and 20 ul of the supernatant was taken for quantitative analysis of BCA protein. Secondly, the remaining portion was evenly mixed according to the ratio of adding 1 ul of 5× protein loading buffer for every 4 ul of protein sample solution, followed by boiling in boiling water for 4-5 min. The obtained protein samples were first subjected to SDS-PAGE protein electrophoresis, and the electrophoresed proteins were transferred to PVDF membranes, which were blocked with nonfat milk powder for 2.5 hours, and then the PVDF membranes were placed in the primary antibody diluted 1:1000. Incubate at four °C on a shaker overnighted. Finally, after the incubation, the membrane was washed with TBST for 15 min each time and three times. After washing the PVDF membrane was put back into the incubation box, and then the secondary antibody was added to the incubation box at a dilution of 1:3000 for one h incubation, and then the membrane was washed after the incubation. After washing, equal volumes of ECLA and ECLB were added for color development, and the protein bands were imaged under the gel imager.</w:t>
      </w:r>
    </w:p>
    <w:p>
      <w:pPr>
        <w:keepNext w:val="0"/>
        <w:keepLines w:val="0"/>
        <w:pageBreakBefore w:val="0"/>
        <w:widowControl w:val="0"/>
        <w:tabs>
          <w:tab w:val="left" w:pos="5019"/>
        </w:tabs>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2.</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10</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 xml:space="preserve"> Statistical analysis</w:t>
      </w:r>
    </w:p>
    <w:p>
      <w:pPr>
        <w:keepNext w:val="0"/>
        <w:keepLines w:val="0"/>
        <w:pageBreakBefore w:val="0"/>
        <w:widowControl w:val="0"/>
        <w:tabs>
          <w:tab w:val="left" w:pos="5019"/>
        </w:tabs>
        <w:kinsoku/>
        <w:wordWrap/>
        <w:overflowPunct/>
        <w:topLinePunct w:val="0"/>
        <w:autoSpaceDE/>
        <w:autoSpaceDN/>
        <w:bidi w:val="0"/>
        <w:adjustRightInd/>
        <w:snapToGrid/>
        <w:spacing w:line="480" w:lineRule="auto"/>
        <w:ind w:firstLine="480" w:firstLineChars="200"/>
        <w:jc w:val="both"/>
        <w:textAlignment w:val="auto"/>
        <w:rPr>
          <w:rFonts w:hint="default" w:ascii="Times New Roman" w:hAnsi="Times New Roman"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 xml:space="preserve">Statistical analysis was performed using SPSS 19.0 (I.B.M., U.S.A.), all data were expressed as mean ± standard deviation (S.E.M.), and statistical analysis was performed using one-way analysis of variance (ANOVA) to determine the level of significance (P&lt;0.05). </w:t>
      </w:r>
    </w:p>
    <w:p>
      <w:pPr>
        <w:keepNext w:val="0"/>
        <w:keepLines w:val="0"/>
        <w:pageBreakBefore w:val="0"/>
        <w:widowControl/>
        <w:tabs>
          <w:tab w:val="left" w:pos="381"/>
        </w:tabs>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pPr>
        <w:keepNext w:val="0"/>
        <w:keepLines w:val="0"/>
        <w:pageBreakBefore w:val="0"/>
        <w:widowControl/>
        <w:tabs>
          <w:tab w:val="left" w:pos="381"/>
        </w:tabs>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pPr>
        <w:keepNext w:val="0"/>
        <w:keepLines w:val="0"/>
        <w:pageBreakBefore w:val="0"/>
        <w:widowControl/>
        <w:tabs>
          <w:tab w:val="left" w:pos="381"/>
        </w:tabs>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pPr>
        <w:keepNext w:val="0"/>
        <w:keepLines w:val="0"/>
        <w:pageBreakBefore w:val="0"/>
        <w:widowControl/>
        <w:tabs>
          <w:tab w:val="left" w:pos="381"/>
        </w:tabs>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pPr>
        <w:keepNext w:val="0"/>
        <w:keepLines w:val="0"/>
        <w:pageBreakBefore w:val="0"/>
        <w:widowControl/>
        <w:tabs>
          <w:tab w:val="left" w:pos="381"/>
        </w:tabs>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pPr>
        <w:keepNext w:val="0"/>
        <w:keepLines w:val="0"/>
        <w:pageBreakBefore w:val="0"/>
        <w:widowControl/>
        <w:tabs>
          <w:tab w:val="left" w:pos="381"/>
        </w:tabs>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pPr>
        <w:keepNext w:val="0"/>
        <w:keepLines w:val="0"/>
        <w:pageBreakBefore w:val="0"/>
        <w:widowControl/>
        <w:tabs>
          <w:tab w:val="left" w:pos="381"/>
        </w:tabs>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pPr>
        <w:keepNext w:val="0"/>
        <w:keepLines w:val="0"/>
        <w:pageBreakBefore w:val="0"/>
        <w:widowControl/>
        <w:tabs>
          <w:tab w:val="left" w:pos="381"/>
        </w:tabs>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pPr>
        <w:keepNext w:val="0"/>
        <w:keepLines w:val="0"/>
        <w:pageBreakBefore w:val="0"/>
        <w:widowControl/>
        <w:tabs>
          <w:tab w:val="left" w:pos="381"/>
        </w:tabs>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pPr>
        <w:keepNext w:val="0"/>
        <w:keepLines w:val="0"/>
        <w:pageBreakBefore w:val="0"/>
        <w:widowControl/>
        <w:tabs>
          <w:tab w:val="left" w:pos="381"/>
        </w:tabs>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pPr>
        <w:keepNext w:val="0"/>
        <w:keepLines w:val="0"/>
        <w:pageBreakBefore w:val="0"/>
        <w:widowControl/>
        <w:tabs>
          <w:tab w:val="left" w:pos="381"/>
        </w:tabs>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pPr>
        <w:keepNext w:val="0"/>
        <w:keepLines w:val="0"/>
        <w:pageBreakBefore w:val="0"/>
        <w:widowControl/>
        <w:tabs>
          <w:tab w:val="left" w:pos="381"/>
        </w:tabs>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i w:val="0"/>
          <w:iCs w:val="0"/>
          <w:caps w:val="0"/>
          <w:color w:val="000000" w:themeColor="text1"/>
          <w:spacing w:val="15"/>
          <w:sz w:val="22"/>
          <w:szCs w:val="22"/>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Abbreviations</w:t>
      </w:r>
    </w:p>
    <w:tbl>
      <w:tblPr>
        <w:tblStyle w:val="4"/>
        <w:tblW w:w="90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26"/>
        <w:gridCol w:w="5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26" w:type="dxa"/>
            <w:tcBorders>
              <w:bottom w:val="nil"/>
              <w:right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PGS</w:t>
            </w:r>
          </w:p>
        </w:tc>
        <w:tc>
          <w:tcPr>
            <w:tcW w:w="5453" w:type="dxa"/>
            <w:tcBorders>
              <w:left w:val="nil"/>
              <w:bottom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i w:val="0"/>
                <w:iCs w:val="0"/>
                <w:color w:val="000000" w:themeColor="text1"/>
                <w:sz w:val="24"/>
                <w:szCs w:val="24"/>
                <w:lang w:val="en-US" w:eastAsia="zh-CN"/>
                <w14:textFill>
                  <w14:solidFill>
                    <w14:schemeClr w14:val="tx1"/>
                  </w14:solidFill>
                </w14:textFill>
              </w:rPr>
              <w:t>Platycodon grandiflorus</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saponin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26"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MSU</w:t>
            </w:r>
          </w:p>
        </w:tc>
        <w:tc>
          <w:tcPr>
            <w:tcW w:w="5453"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Tahoma" w:cs="Times New Roman"/>
                <w:b w:val="0"/>
                <w:bCs w:val="0"/>
                <w:i w:val="0"/>
                <w:iCs w:val="0"/>
                <w:caps w:val="0"/>
                <w:color w:val="000000" w:themeColor="text1"/>
                <w:spacing w:val="0"/>
                <w:sz w:val="24"/>
                <w:szCs w:val="24"/>
                <w:shd w:val="clear" w:fill="FFFFFF"/>
                <w14:textFill>
                  <w14:solidFill>
                    <w14:schemeClr w14:val="tx1"/>
                  </w14:solidFill>
                </w14:textFill>
              </w:rPr>
              <w:t>MonoSodium Urate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26"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NLRP3</w:t>
            </w:r>
          </w:p>
        </w:tc>
        <w:tc>
          <w:tcPr>
            <w:tcW w:w="5453"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微软雅黑" w:cs="Times New Roman"/>
                <w:b w:val="0"/>
                <w:bCs w:val="0"/>
                <w:i w:val="0"/>
                <w:iCs w:val="0"/>
                <w:caps w:val="0"/>
                <w:color w:val="000000" w:themeColor="text1"/>
                <w:spacing w:val="0"/>
                <w:sz w:val="24"/>
                <w:szCs w:val="24"/>
                <w:shd w:val="clear" w:fill="FFFFFF"/>
                <w14:textFill>
                  <w14:solidFill>
                    <w14:schemeClr w14:val="tx1"/>
                  </w14:solidFill>
                </w14:textFill>
              </w:rPr>
              <w:t>NOD-like receptor thermal protein domain associated protein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26"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ASC</w:t>
            </w:r>
          </w:p>
        </w:tc>
        <w:tc>
          <w:tcPr>
            <w:tcW w:w="5453"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微软雅黑" w:cs="Times New Roman"/>
                <w:b w:val="0"/>
                <w:bCs w:val="0"/>
                <w:i w:val="0"/>
                <w:iCs w:val="0"/>
                <w:caps w:val="0"/>
                <w:color w:val="000000" w:themeColor="text1"/>
                <w:spacing w:val="0"/>
                <w:sz w:val="24"/>
                <w:szCs w:val="24"/>
                <w:shd w:val="clear" w:fill="FFFFFF"/>
                <w14:textFill>
                  <w14:solidFill>
                    <w14:schemeClr w14:val="tx1"/>
                  </w14:solidFill>
                </w14:textFill>
              </w:rPr>
              <w:t>apoptosis-associated speck-like protein containing a CARD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26"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caspase-1</w:t>
            </w:r>
          </w:p>
        </w:tc>
        <w:tc>
          <w:tcPr>
            <w:tcW w:w="5453"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微软雅黑" w:cs="Times New Roman"/>
                <w:b w:val="0"/>
                <w:bCs w:val="0"/>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微软雅黑" w:cs="Times New Roman"/>
                <w:b w:val="0"/>
                <w:bCs w:val="0"/>
                <w:i w:val="0"/>
                <w:iCs w:val="0"/>
                <w:caps w:val="0"/>
                <w:color w:val="000000" w:themeColor="text1"/>
                <w:spacing w:val="0"/>
                <w:sz w:val="24"/>
                <w:szCs w:val="24"/>
                <w:shd w:val="clear" w:fill="FFFFFF"/>
                <w14:textFill>
                  <w14:solidFill>
                    <w14:schemeClr w14:val="tx1"/>
                  </w14:solidFill>
                </w14:textFill>
              </w:rPr>
              <w:t>cysteinyl aspartate specific proteinase-1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26"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IL-6, IL-8, IL-1β</w:t>
            </w:r>
          </w:p>
        </w:tc>
        <w:tc>
          <w:tcPr>
            <w:tcW w:w="5453"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i w:val="0"/>
                <w:iCs w:val="0"/>
                <w:caps w:val="0"/>
                <w:color w:val="000000" w:themeColor="text1"/>
                <w:spacing w:val="0"/>
                <w:sz w:val="24"/>
                <w:szCs w:val="24"/>
                <w:shd w:val="clear" w:fill="FFFFFF"/>
                <w14:textFill>
                  <w14:solidFill>
                    <w14:schemeClr w14:val="tx1"/>
                  </w14:solidFill>
                </w14:textFill>
              </w:rPr>
              <w:t>Interleukin- </w:t>
            </w:r>
            <w:r>
              <w:rPr>
                <w:rFonts w:hint="default" w:ascii="Times New Roman" w:hAnsi="Times New Roman" w:eastAsia="宋体" w:cs="Times New Roman"/>
                <w:b w:val="0"/>
                <w:bCs w:val="0"/>
                <w:i w:val="0"/>
                <w:iCs w:val="0"/>
                <w:caps w:val="0"/>
                <w:color w:val="000000" w:themeColor="text1"/>
                <w:spacing w:val="0"/>
                <w:sz w:val="24"/>
                <w:szCs w:val="24"/>
                <w:shd w:val="clear" w:fill="FFFFFF"/>
                <w:lang w:val="en-US" w:eastAsia="zh-CN"/>
                <w14:textFill>
                  <w14:solidFill>
                    <w14:schemeClr w14:val="tx1"/>
                  </w14:solidFill>
                </w14:textFill>
              </w:rPr>
              <w:t>6</w:t>
            </w:r>
            <w:r>
              <w:rPr>
                <w:rStyle w:val="6"/>
                <w:rFonts w:hint="default" w:ascii="Times New Roman" w:hAnsi="Times New Roman" w:eastAsia="宋体" w:cs="Times New Roman"/>
                <w:b w:val="0"/>
                <w:bCs w:val="0"/>
                <w:i w:val="0"/>
                <w:iCs w:val="0"/>
                <w:caps w:val="0"/>
                <w:color w:val="000000" w:themeColor="text1"/>
                <w:spacing w:val="0"/>
                <w:sz w:val="24"/>
                <w:szCs w:val="24"/>
                <w:shd w:val="clear" w:fill="FFFFFF"/>
                <w:lang w:val="en-US" w:eastAsia="zh-CN"/>
                <w14:textFill>
                  <w14:solidFill>
                    <w14:schemeClr w14:val="tx1"/>
                  </w14:solidFill>
                </w14:textFill>
              </w:rPr>
              <w:t xml:space="preserve">, </w:t>
            </w:r>
            <w:r>
              <w:rPr>
                <w:rFonts w:hint="default" w:ascii="Times New Roman" w:hAnsi="Times New Roman" w:eastAsia="宋体" w:cs="Times New Roman"/>
                <w:b w:val="0"/>
                <w:bCs w:val="0"/>
                <w:i w:val="0"/>
                <w:iCs w:val="0"/>
                <w:caps w:val="0"/>
                <w:color w:val="000000" w:themeColor="text1"/>
                <w:spacing w:val="0"/>
                <w:sz w:val="24"/>
                <w:szCs w:val="24"/>
                <w:shd w:val="clear" w:fill="FFFFFF"/>
                <w14:textFill>
                  <w14:solidFill>
                    <w14:schemeClr w14:val="tx1"/>
                  </w14:solidFill>
                </w14:textFill>
              </w:rPr>
              <w:t>Interleukin- </w:t>
            </w:r>
            <w:r>
              <w:rPr>
                <w:rFonts w:hint="default" w:ascii="Times New Roman" w:hAnsi="Times New Roman" w:eastAsia="宋体" w:cs="Times New Roman"/>
                <w:b w:val="0"/>
                <w:bCs w:val="0"/>
                <w:i w:val="0"/>
                <w:iCs w:val="0"/>
                <w:caps w:val="0"/>
                <w:color w:val="000000" w:themeColor="text1"/>
                <w:spacing w:val="0"/>
                <w:sz w:val="24"/>
                <w:szCs w:val="24"/>
                <w:shd w:val="clear" w:fill="FFFFFF"/>
                <w:lang w:val="en-US" w:eastAsia="zh-CN"/>
                <w14:textFill>
                  <w14:solidFill>
                    <w14:schemeClr w14:val="tx1"/>
                  </w14:solidFill>
                </w14:textFill>
              </w:rPr>
              <w:t xml:space="preserve">8, </w:t>
            </w:r>
            <w:r>
              <w:rPr>
                <w:rFonts w:hint="default" w:ascii="Times New Roman" w:hAnsi="Times New Roman" w:eastAsia="宋体" w:cs="Times New Roman"/>
                <w:b w:val="0"/>
                <w:bCs w:val="0"/>
                <w:i w:val="0"/>
                <w:iCs w:val="0"/>
                <w:caps w:val="0"/>
                <w:color w:val="000000" w:themeColor="text1"/>
                <w:spacing w:val="0"/>
                <w:sz w:val="24"/>
                <w:szCs w:val="24"/>
                <w:shd w:val="clear" w:fill="FFFFFF"/>
                <w14:textFill>
                  <w14:solidFill>
                    <w14:schemeClr w14:val="tx1"/>
                  </w14:solidFill>
                </w14:textFill>
              </w:rPr>
              <w:t>Interleukin- </w:t>
            </w:r>
            <w:r>
              <w:rPr>
                <w:rFonts w:hint="default" w:ascii="Times New Roman" w:hAnsi="Times New Roman" w:eastAsia="宋体" w:cs="Times New Roman"/>
                <w:b w:val="0"/>
                <w:bCs w:val="0"/>
                <w:i w:val="0"/>
                <w:iCs w:val="0"/>
                <w:caps w:val="0"/>
                <w:color w:val="000000" w:themeColor="text1"/>
                <w:spacing w:val="0"/>
                <w:sz w:val="24"/>
                <w:szCs w:val="24"/>
                <w:shd w:val="clear" w:fill="FFFFFF"/>
                <w:lang w:val="en-US" w:eastAsia="zh-CN"/>
                <w14:textFill>
                  <w14:solidFill>
                    <w14:schemeClr w14:val="tx1"/>
                  </w14:solidFill>
                </w14:textFill>
              </w:rPr>
              <w:t>1β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26"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SOD</w:t>
            </w:r>
          </w:p>
        </w:tc>
        <w:tc>
          <w:tcPr>
            <w:tcW w:w="5453"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Helvetica" w:cs="Times New Roman"/>
                <w:b w:val="0"/>
                <w:bCs w:val="0"/>
                <w:i w:val="0"/>
                <w:iCs w:val="0"/>
                <w:caps w:val="0"/>
                <w:color w:val="000000" w:themeColor="text1"/>
                <w:spacing w:val="0"/>
                <w:sz w:val="24"/>
                <w:szCs w:val="24"/>
                <w:shd w:val="clear" w:fill="FFFFFF"/>
                <w14:textFill>
                  <w14:solidFill>
                    <w14:schemeClr w14:val="tx1"/>
                  </w14:solidFill>
                </w14:textFill>
              </w:rPr>
              <w:t>Superoxide dismutase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26"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MDA</w:t>
            </w:r>
          </w:p>
        </w:tc>
        <w:tc>
          <w:tcPr>
            <w:tcW w:w="5453"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Helvetica" w:cs="Times New Roman"/>
                <w:b w:val="0"/>
                <w:bCs w:val="0"/>
                <w:i w:val="0"/>
                <w:iCs w:val="0"/>
                <w:caps w:val="0"/>
                <w:color w:val="000000" w:themeColor="text1"/>
                <w:spacing w:val="0"/>
                <w:sz w:val="24"/>
                <w:szCs w:val="24"/>
                <w:shd w:val="clear" w:fill="FFFFFF"/>
                <w14:textFill>
                  <w14:solidFill>
                    <w14:schemeClr w14:val="tx1"/>
                  </w14:solidFill>
                </w14:textFill>
              </w:rPr>
              <w:t>Malondialdehyde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26"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GSH-PX</w:t>
            </w:r>
          </w:p>
        </w:tc>
        <w:tc>
          <w:tcPr>
            <w:tcW w:w="5453"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Helvetica" w:cs="Times New Roman"/>
                <w:b w:val="0"/>
                <w:bCs w:val="0"/>
                <w:i w:val="0"/>
                <w:iCs w:val="0"/>
                <w:caps w:val="0"/>
                <w:color w:val="000000" w:themeColor="text1"/>
                <w:spacing w:val="0"/>
                <w:sz w:val="24"/>
                <w:szCs w:val="24"/>
                <w:shd w:val="clear" w:fill="FFFFFF"/>
                <w14:textFill>
                  <w14:solidFill>
                    <w14:schemeClr w14:val="tx1"/>
                  </w14:solidFill>
                </w14:textFill>
              </w:rPr>
              <w:t>Glutathione peroxidase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26"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MPO</w:t>
            </w:r>
          </w:p>
        </w:tc>
        <w:tc>
          <w:tcPr>
            <w:tcW w:w="5453"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i w:val="0"/>
                <w:iCs w:val="0"/>
                <w:caps w:val="0"/>
                <w:color w:val="000000" w:themeColor="text1"/>
                <w:spacing w:val="0"/>
                <w:sz w:val="24"/>
                <w:szCs w:val="24"/>
                <w:shd w:val="clear" w:fill="FFFFFF"/>
                <w14:textFill>
                  <w14:solidFill>
                    <w14:schemeClr w14:val="tx1"/>
                  </w14:solidFill>
                </w14:textFill>
              </w:rPr>
              <w:t>myeloperoxidase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26" w:type="dxa"/>
            <w:tcBorders>
              <w:top w:val="nil"/>
              <w:bottom w:val="single" w:color="auto" w:sz="4" w:space="0"/>
              <w:right w:val="nil"/>
            </w:tcBorders>
          </w:tcPr>
          <w:p>
            <w:pPr>
              <w:keepNext w:val="0"/>
              <w:keepLines w:val="0"/>
              <w:pageBreakBefore w:val="0"/>
              <w:widowControl w:val="0"/>
              <w:tabs>
                <w:tab w:val="left" w:pos="2556"/>
              </w:tabs>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TNF-α</w:t>
            </w:r>
          </w:p>
        </w:tc>
        <w:tc>
          <w:tcPr>
            <w:tcW w:w="5453" w:type="dxa"/>
            <w:tcBorders>
              <w:top w:val="nil"/>
              <w:left w:val="nil"/>
              <w:bottom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val="0"/>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Times New Roman" w:hAnsi="Times New Roman" w:eastAsia="宋体" w:cs="Times New Roman"/>
                <w:b w:val="0"/>
                <w:bCs w:val="0"/>
                <w:i w:val="0"/>
                <w:iCs w:val="0"/>
                <w:color w:val="000000" w:themeColor="text1"/>
                <w:spacing w:val="0"/>
                <w:sz w:val="24"/>
                <w:szCs w:val="24"/>
                <w:shd w:val="clear" w:fill="FFFFFF"/>
                <w:lang w:val="en-US" w:eastAsia="zh-CN"/>
                <w14:textFill>
                  <w14:solidFill>
                    <w14:schemeClr w14:val="tx1"/>
                  </w14:solidFill>
                </w14:textFill>
              </w:rPr>
              <w:t>T</w:t>
            </w:r>
            <w:r>
              <w:rPr>
                <w:rFonts w:hint="eastAsia" w:ascii="Times New Roman" w:hAnsi="Times New Roman" w:eastAsia="宋体" w:cs="Times New Roman"/>
                <w:b w:val="0"/>
                <w:bCs w:val="0"/>
                <w:i w:val="0"/>
                <w:iCs w:val="0"/>
                <w:caps w:val="0"/>
                <w:color w:val="000000" w:themeColor="text1"/>
                <w:spacing w:val="0"/>
                <w:sz w:val="24"/>
                <w:szCs w:val="24"/>
                <w:shd w:val="clear" w:fill="FFFFFF"/>
                <w:lang w:val="en-US" w:eastAsia="zh-CN"/>
                <w14:textFill>
                  <w14:solidFill>
                    <w14:schemeClr w14:val="tx1"/>
                  </w14:solidFill>
                </w14:textFill>
              </w:rPr>
              <w:t>umor necrosis factor</w:t>
            </w:r>
          </w:p>
        </w:tc>
      </w:tr>
    </w:tbl>
    <w:p>
      <w:pPr>
        <w:keepNext w:val="0"/>
        <w:keepLines w:val="0"/>
        <w:pageBreakBefore w:val="0"/>
        <w:widowControl w:val="0"/>
        <w:numPr>
          <w:ilvl w:val="0"/>
          <w:numId w:val="0"/>
        </w:numPr>
        <w:suppressLineNumbers/>
        <w:tabs>
          <w:tab w:val="left" w:pos="5019"/>
        </w:tabs>
        <w:kinsoku/>
        <w:wordWrap/>
        <w:overflowPunct/>
        <w:topLinePunct w:val="0"/>
        <w:autoSpaceDE/>
        <w:autoSpaceDN/>
        <w:bidi w:val="0"/>
        <w:adjustRightInd/>
        <w:snapToGrid/>
        <w:spacing w:line="480" w:lineRule="auto"/>
        <w:jc w:val="both"/>
        <w:textAlignment w:val="auto"/>
        <w:rPr>
          <w:rFonts w:hint="default" w:ascii="Times New Roman" w:hAnsi="Times New Roman" w:eastAsia="微软雅黑" w:cs="Times New Roman"/>
          <w:i w:val="0"/>
          <w:iCs w:val="0"/>
          <w:caps w:val="0"/>
          <w:color w:val="000000" w:themeColor="text1"/>
          <w:spacing w:val="0"/>
          <w:sz w:val="27"/>
          <w:szCs w:val="27"/>
          <w14:textFill>
            <w14:solidFill>
              <w14:schemeClr w14:val="tx1"/>
            </w14:solidFill>
          </w14:textFill>
        </w:rPr>
      </w:pPr>
    </w:p>
    <w:p>
      <w:pPr>
        <w:keepNext w:val="0"/>
        <w:keepLines w:val="0"/>
        <w:pageBreakBefore w:val="0"/>
        <w:widowControl w:val="0"/>
        <w:tabs>
          <w:tab w:val="left" w:pos="5019"/>
        </w:tabs>
        <w:kinsoku/>
        <w:wordWrap/>
        <w:overflowPunct/>
        <w:topLinePunct w:val="0"/>
        <w:autoSpaceDE/>
        <w:autoSpaceDN/>
        <w:bidi w:val="0"/>
        <w:adjustRightInd/>
        <w:snapToGrid/>
        <w:spacing w:line="480" w:lineRule="auto"/>
        <w:ind w:firstLine="480" w:firstLineChars="200"/>
        <w:jc w:val="both"/>
        <w:textAlignment w:val="auto"/>
        <w:rPr>
          <w:rFonts w:hint="default" w:ascii="Times New Roman" w:hAnsi="Times New Roman" w:cs="Times New Roman"/>
          <w:color w:val="000000" w:themeColor="text1"/>
          <w:kern w:val="2"/>
          <w:sz w:val="24"/>
          <w:szCs w:val="24"/>
          <w:lang w:val="en-US" w:eastAsia="zh-CN" w:bidi="ar-SA"/>
          <w14:textFill>
            <w14:solidFill>
              <w14:schemeClr w14:val="tx1"/>
            </w14:solidFill>
          </w14:textFill>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1NWM1ZTkwNmYyNGIyYmVmMTFkZTZmY2Q1M2E1ODkifQ=="/>
  </w:docVars>
  <w:rsids>
    <w:rsidRoot w:val="1CA43AB1"/>
    <w:rsid w:val="1CA43AB1"/>
    <w:rsid w:val="4F960416"/>
    <w:rsid w:val="7FC66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1187</Words>
  <Characters>6406</Characters>
  <Lines>0</Lines>
  <Paragraphs>0</Paragraphs>
  <TotalTime>11</TotalTime>
  <ScaleCrop>false</ScaleCrop>
  <LinksUpToDate>false</LinksUpToDate>
  <CharactersWithSpaces>7554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2022-09-27T00:58:00Z</dcterms:created>
  <dc:creator>？！</dc:creator>
  <cp:lastModifiedBy>？！</cp:lastModifiedBy>
  <dcterms:modified xsi:type="dcterms:W3CDTF">2022-09-30T06:05:41Z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5AF21E79CC5A4FC587C8409287BF385F</vt:lpwstr>
  </property>
</Properties>
</file>