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70C46" w14:textId="77777777" w:rsidR="00437997" w:rsidRPr="00DF2B0D" w:rsidRDefault="00437997" w:rsidP="00437997">
      <w:pPr>
        <w:pStyle w:val="Heading1"/>
        <w:rPr>
          <w:rFonts w:cstheme="majorHAnsi"/>
          <w:lang w:val="en-GB"/>
        </w:rPr>
      </w:pPr>
      <w:r w:rsidRPr="00DF2B0D">
        <w:rPr>
          <w:rFonts w:cstheme="majorHAnsi"/>
          <w:lang w:val="en-GB"/>
        </w:rPr>
        <w:t>Supplementary Material</w:t>
      </w:r>
    </w:p>
    <w:p w14:paraId="42BEB810" w14:textId="77777777" w:rsidR="00437997" w:rsidRPr="00DF2B0D" w:rsidRDefault="00437997" w:rsidP="00437997">
      <w:pPr>
        <w:rPr>
          <w:rFonts w:asciiTheme="majorHAnsi" w:hAnsiTheme="majorHAnsi" w:cstheme="majorHAnsi"/>
          <w:lang w:val="en-GB"/>
        </w:rPr>
      </w:pPr>
    </w:p>
    <w:p w14:paraId="29A82777" w14:textId="77777777" w:rsidR="00437997" w:rsidRPr="00DF2B0D" w:rsidRDefault="00437997" w:rsidP="00437997">
      <w:pPr>
        <w:pStyle w:val="Heading2"/>
        <w:spacing w:line="480" w:lineRule="auto"/>
        <w:rPr>
          <w:rFonts w:cstheme="majorHAnsi"/>
          <w:lang w:val="en-GB"/>
        </w:rPr>
      </w:pPr>
      <w:r w:rsidRPr="00DF2B0D">
        <w:rPr>
          <w:rFonts w:cstheme="majorHAnsi"/>
          <w:lang w:val="en-GB"/>
        </w:rPr>
        <w:t xml:space="preserve">Results for the short </w:t>
      </w:r>
      <w:r>
        <w:rPr>
          <w:rFonts w:cstheme="majorHAnsi"/>
          <w:lang w:val="en-GB"/>
        </w:rPr>
        <w:t xml:space="preserve">protocol </w:t>
      </w:r>
      <w:r w:rsidRPr="00DF2B0D">
        <w:rPr>
          <w:rFonts w:cstheme="majorHAnsi"/>
          <w:lang w:val="en-GB"/>
        </w:rPr>
        <w:t>sub-cohort</w:t>
      </w:r>
    </w:p>
    <w:p w14:paraId="32FEB80E" w14:textId="77777777" w:rsidR="00437997" w:rsidRPr="00DF2B0D" w:rsidRDefault="00437997" w:rsidP="00437997">
      <w:pPr>
        <w:spacing w:line="480" w:lineRule="auto"/>
        <w:rPr>
          <w:rFonts w:asciiTheme="majorHAnsi" w:hAnsiTheme="majorHAnsi" w:cstheme="majorHAnsi"/>
          <w:lang w:val="en-GB"/>
        </w:rPr>
      </w:pPr>
      <w:r w:rsidRPr="00DF2B0D">
        <w:rPr>
          <w:rFonts w:asciiTheme="majorHAnsi" w:hAnsiTheme="majorHAnsi" w:cstheme="majorHAnsi"/>
          <w:lang w:val="en-GB"/>
        </w:rPr>
        <w:t xml:space="preserve">Older age was associated with good response to treatment (median age, 81 vs 79 years, FDR adjusted p-value </w:t>
      </w:r>
      <w:proofErr w:type="gramStart"/>
      <w:r w:rsidRPr="00DF2B0D">
        <w:rPr>
          <w:rFonts w:asciiTheme="majorHAnsi" w:hAnsiTheme="majorHAnsi" w:cstheme="majorHAnsi"/>
          <w:lang w:val="en-GB"/>
        </w:rPr>
        <w:t>0.048;</w:t>
      </w:r>
      <w:proofErr w:type="gramEnd"/>
      <w:r w:rsidRPr="00DF2B0D">
        <w:rPr>
          <w:rFonts w:asciiTheme="majorHAnsi" w:hAnsiTheme="majorHAnsi" w:cstheme="majorHAnsi"/>
          <w:lang w:val="en-GB"/>
        </w:rPr>
        <w:t xml:space="preserve"> Table S1). CST was positively associated with outcome (0.35 vs 0.4, p-value &lt;2×10</w:t>
      </w:r>
      <w:r w:rsidRPr="00DF2B0D">
        <w:rPr>
          <w:rFonts w:asciiTheme="majorHAnsi" w:hAnsiTheme="majorHAnsi" w:cstheme="majorHAnsi"/>
          <w:vertAlign w:val="superscript"/>
          <w:lang w:val="en-GB"/>
        </w:rPr>
        <w:t>-3</w:t>
      </w:r>
      <w:r w:rsidRPr="00DF2B0D">
        <w:rPr>
          <w:rFonts w:asciiTheme="majorHAnsi" w:hAnsiTheme="majorHAnsi" w:cstheme="majorHAnsi"/>
          <w:lang w:val="en-GB"/>
        </w:rPr>
        <w:t>). Female sex was also significantly associated with good response to treatment (62% vs 54%, p-value &lt;6×10</w:t>
      </w:r>
      <w:r w:rsidRPr="00DF2B0D">
        <w:rPr>
          <w:rFonts w:asciiTheme="majorHAnsi" w:hAnsiTheme="majorHAnsi" w:cstheme="majorHAnsi"/>
          <w:vertAlign w:val="superscript"/>
          <w:lang w:val="en-GB"/>
        </w:rPr>
        <w:t>-3</w:t>
      </w:r>
      <w:r w:rsidRPr="00DF2B0D">
        <w:rPr>
          <w:rFonts w:asciiTheme="majorHAnsi" w:hAnsiTheme="majorHAnsi" w:cstheme="majorHAnsi"/>
          <w:lang w:val="en-GB"/>
        </w:rPr>
        <w:t>). Baseline fovea dryness state was not associated with outcome (p-value &gt;0.05).</w:t>
      </w:r>
    </w:p>
    <w:p w14:paraId="70E7B0EC" w14:textId="77777777" w:rsidR="00437997" w:rsidRPr="00DF2B0D" w:rsidRDefault="00437997" w:rsidP="00437997">
      <w:pPr>
        <w:spacing w:line="480" w:lineRule="auto"/>
        <w:rPr>
          <w:rFonts w:asciiTheme="majorHAnsi" w:hAnsiTheme="majorHAnsi" w:cstheme="majorHAnsi"/>
          <w:lang w:val="en-GB"/>
        </w:rPr>
      </w:pPr>
      <w:r w:rsidRPr="00DF2B0D">
        <w:rPr>
          <w:rFonts w:asciiTheme="majorHAnsi" w:hAnsiTheme="majorHAnsi" w:cstheme="majorHAnsi"/>
          <w:lang w:val="en-GB"/>
        </w:rPr>
        <w:t xml:space="preserve">To avoid overfitting due the short </w:t>
      </w:r>
      <w:r w:rsidRPr="00F47609">
        <w:rPr>
          <w:rFonts w:asciiTheme="majorHAnsi" w:hAnsiTheme="majorHAnsi" w:cstheme="majorHAnsi"/>
          <w:lang w:val="en-GB"/>
        </w:rPr>
        <w:t xml:space="preserve">protocol </w:t>
      </w:r>
      <w:r w:rsidRPr="00DF2B0D">
        <w:rPr>
          <w:rFonts w:asciiTheme="majorHAnsi" w:hAnsiTheme="majorHAnsi" w:cstheme="majorHAnsi"/>
          <w:lang w:val="en-GB"/>
        </w:rPr>
        <w:t>sub-cohort’s size, we split it only into tuning (359 eyes, 65%) and held-out test set</w:t>
      </w:r>
      <w:r>
        <w:rPr>
          <w:rFonts w:asciiTheme="majorHAnsi" w:hAnsiTheme="majorHAnsi" w:cstheme="majorHAnsi"/>
          <w:lang w:val="en-GB"/>
        </w:rPr>
        <w:t>s</w:t>
      </w:r>
      <w:r w:rsidRPr="00DF2B0D">
        <w:rPr>
          <w:rFonts w:asciiTheme="majorHAnsi" w:hAnsiTheme="majorHAnsi" w:cstheme="majorHAnsi"/>
          <w:lang w:val="en-GB"/>
        </w:rPr>
        <w:t xml:space="preserve"> (191 eyes, 35%). Applying the standard </w:t>
      </w:r>
      <w:r w:rsidRPr="00F47609">
        <w:rPr>
          <w:rFonts w:asciiTheme="majorHAnsi" w:hAnsiTheme="majorHAnsi" w:cstheme="majorHAnsi"/>
          <w:lang w:val="en-GB"/>
        </w:rPr>
        <w:t xml:space="preserve">protocol </w:t>
      </w:r>
      <w:r w:rsidRPr="00DF2B0D">
        <w:rPr>
          <w:rFonts w:asciiTheme="majorHAnsi" w:hAnsiTheme="majorHAnsi" w:cstheme="majorHAnsi"/>
          <w:lang w:val="en-GB"/>
        </w:rPr>
        <w:t xml:space="preserve">sub-cohort’s ensemble model to the short </w:t>
      </w:r>
      <w:r w:rsidRPr="00F47609">
        <w:rPr>
          <w:rFonts w:asciiTheme="majorHAnsi" w:hAnsiTheme="majorHAnsi" w:cstheme="majorHAnsi"/>
          <w:lang w:val="en-GB"/>
        </w:rPr>
        <w:t xml:space="preserve">protocol </w:t>
      </w:r>
      <w:r w:rsidRPr="00DF2B0D">
        <w:rPr>
          <w:rFonts w:asciiTheme="majorHAnsi" w:hAnsiTheme="majorHAnsi" w:cstheme="majorHAnsi"/>
          <w:lang w:val="en-GB"/>
        </w:rPr>
        <w:t>sub-cohort resulted in an AUROC of 0.62 (95% CI 0.61, 0.76). Transfer learning based on the standard</w:t>
      </w:r>
      <w:r>
        <w:rPr>
          <w:rFonts w:asciiTheme="majorHAnsi" w:hAnsiTheme="majorHAnsi" w:cstheme="majorHAnsi"/>
          <w:lang w:val="en-GB"/>
        </w:rPr>
        <w:t xml:space="preserve"> protocol</w:t>
      </w:r>
      <w:r w:rsidRPr="00DF2B0D">
        <w:rPr>
          <w:rFonts w:asciiTheme="majorHAnsi" w:hAnsiTheme="majorHAnsi" w:cstheme="majorHAnsi"/>
          <w:lang w:val="en-GB"/>
        </w:rPr>
        <w:t xml:space="preserve">-based model on the tuning set of the short </w:t>
      </w:r>
      <w:r w:rsidRPr="00F47609">
        <w:rPr>
          <w:rFonts w:asciiTheme="majorHAnsi" w:hAnsiTheme="majorHAnsi" w:cstheme="majorHAnsi"/>
          <w:lang w:val="en-GB"/>
        </w:rPr>
        <w:t xml:space="preserve">protocol </w:t>
      </w:r>
      <w:r w:rsidRPr="00DF2B0D">
        <w:rPr>
          <w:rFonts w:asciiTheme="majorHAnsi" w:hAnsiTheme="majorHAnsi" w:cstheme="majorHAnsi"/>
          <w:lang w:val="en-GB"/>
        </w:rPr>
        <w:t xml:space="preserve">sub-cohort resulted in an AUROC of 0.68 (95% CI 0.61, 0.76) (see Table 3 for breakdown). The clinical features that contributed the most to response prediction in the short </w:t>
      </w:r>
      <w:r w:rsidRPr="003649D2">
        <w:rPr>
          <w:rFonts w:asciiTheme="majorHAnsi" w:hAnsiTheme="majorHAnsi" w:cstheme="majorHAnsi"/>
          <w:lang w:val="en-GB"/>
        </w:rPr>
        <w:t xml:space="preserve">protocol </w:t>
      </w:r>
      <w:r w:rsidRPr="00DF2B0D">
        <w:rPr>
          <w:rFonts w:asciiTheme="majorHAnsi" w:hAnsiTheme="majorHAnsi" w:cstheme="majorHAnsi"/>
          <w:lang w:val="en-GB"/>
        </w:rPr>
        <w:t>sub-cohort were TRV, sex, and CST (Figure S</w:t>
      </w:r>
      <w:r>
        <w:rPr>
          <w:rFonts w:asciiTheme="majorHAnsi" w:hAnsiTheme="majorHAnsi" w:cstheme="majorHAnsi"/>
          <w:lang w:val="en-GB"/>
        </w:rPr>
        <w:t>5</w:t>
      </w:r>
      <w:r w:rsidRPr="00DF2B0D">
        <w:rPr>
          <w:rFonts w:asciiTheme="majorHAnsi" w:hAnsiTheme="majorHAnsi" w:cstheme="majorHAnsi"/>
          <w:lang w:val="en-GB"/>
        </w:rPr>
        <w:t>).</w:t>
      </w:r>
    </w:p>
    <w:p w14:paraId="037B44A6" w14:textId="77777777" w:rsidR="00437997" w:rsidRPr="00DF2B0D" w:rsidRDefault="00437997" w:rsidP="00437997">
      <w:pPr>
        <w:spacing w:line="480" w:lineRule="auto"/>
        <w:rPr>
          <w:rFonts w:asciiTheme="majorHAnsi" w:hAnsiTheme="majorHAnsi" w:cstheme="majorHAnsi"/>
          <w:lang w:val="en-GB"/>
        </w:rPr>
      </w:pPr>
      <w:r w:rsidRPr="00DF2B0D">
        <w:rPr>
          <w:rFonts w:asciiTheme="majorHAnsi" w:hAnsiTheme="majorHAnsi" w:cstheme="majorHAnsi"/>
          <w:lang w:val="en-GB"/>
        </w:rPr>
        <w:t xml:space="preserve">When emulating a hypothetical candidate selection process based on the short </w:t>
      </w:r>
      <w:r w:rsidRPr="003649D2">
        <w:rPr>
          <w:rFonts w:asciiTheme="majorHAnsi" w:hAnsiTheme="majorHAnsi" w:cstheme="majorHAnsi"/>
          <w:lang w:val="en-GB"/>
        </w:rPr>
        <w:t xml:space="preserve">protocol </w:t>
      </w:r>
      <w:r w:rsidRPr="00DF2B0D">
        <w:rPr>
          <w:rFonts w:asciiTheme="majorHAnsi" w:hAnsiTheme="majorHAnsi" w:cstheme="majorHAnsi"/>
          <w:lang w:val="en-GB"/>
        </w:rPr>
        <w:t>sub-cohort (each hypothetical trial size of 20–120 eyes drawn from the test data of each protocol), the AI-based selection method resulted in more suboptimal responders. It obtained a 16.2–75.7% increase in suboptimal responders compared with random and a 7.5–32.6% increase compared with the best performing alternative method (Table S2).</w:t>
      </w:r>
    </w:p>
    <w:p w14:paraId="2B0551F9" w14:textId="77777777" w:rsidR="00437997" w:rsidRPr="00DF2B0D" w:rsidRDefault="00437997" w:rsidP="00437997">
      <w:pPr>
        <w:rPr>
          <w:rFonts w:asciiTheme="majorHAnsi" w:hAnsiTheme="majorHAnsi" w:cstheme="majorHAnsi"/>
          <w:lang w:val="en-GB"/>
        </w:rPr>
      </w:pPr>
    </w:p>
    <w:p w14:paraId="062683BE" w14:textId="77777777" w:rsidR="00437997" w:rsidRPr="00DF2B0D" w:rsidRDefault="00437997" w:rsidP="00437997">
      <w:pPr>
        <w:rPr>
          <w:rFonts w:asciiTheme="majorHAnsi" w:hAnsiTheme="majorHAnsi" w:cstheme="majorHAnsi"/>
          <w:lang w:val="en-GB"/>
        </w:rPr>
      </w:pPr>
    </w:p>
    <w:p w14:paraId="0E98D20A" w14:textId="77777777" w:rsidR="00437997" w:rsidRPr="00DF2B0D" w:rsidRDefault="00437997" w:rsidP="00437997">
      <w:pPr>
        <w:rPr>
          <w:rFonts w:asciiTheme="majorHAnsi" w:hAnsiTheme="majorHAnsi" w:cstheme="majorHAnsi"/>
          <w:lang w:val="en-GB"/>
        </w:rPr>
      </w:pPr>
    </w:p>
    <w:p w14:paraId="17BE7E16" w14:textId="77777777" w:rsidR="00437997" w:rsidRPr="00DF2B0D" w:rsidRDefault="00437997" w:rsidP="00437997">
      <w:pPr>
        <w:rPr>
          <w:rFonts w:asciiTheme="majorHAnsi" w:hAnsiTheme="majorHAnsi" w:cstheme="majorHAnsi"/>
          <w:lang w:val="en-GB"/>
        </w:rPr>
      </w:pPr>
    </w:p>
    <w:p w14:paraId="01F7CB2B" w14:textId="77777777" w:rsidR="00437997" w:rsidRPr="00DF2B0D" w:rsidRDefault="00437997" w:rsidP="00437997">
      <w:pPr>
        <w:pStyle w:val="Heading2"/>
        <w:spacing w:line="480" w:lineRule="auto"/>
        <w:rPr>
          <w:rFonts w:cstheme="majorHAnsi"/>
          <w:lang w:val="en-GB"/>
        </w:rPr>
      </w:pPr>
      <w:r w:rsidRPr="00BD6A71">
        <w:rPr>
          <w:rFonts w:cstheme="majorHAnsi"/>
          <w:noProof/>
          <w:lang w:val="en-GB"/>
        </w:rPr>
        <w:lastRenderedPageBreak/>
        <w:drawing>
          <wp:anchor distT="0" distB="0" distL="114300" distR="114300" simplePos="0" relativeHeight="251663360" behindDoc="1" locked="0" layoutInCell="1" allowOverlap="1" wp14:anchorId="2BC10E5A" wp14:editId="28505622">
            <wp:simplePos x="0" y="0"/>
            <wp:positionH relativeFrom="column">
              <wp:posOffset>-39370</wp:posOffset>
            </wp:positionH>
            <wp:positionV relativeFrom="paragraph">
              <wp:posOffset>280063</wp:posOffset>
            </wp:positionV>
            <wp:extent cx="5731510" cy="2621915"/>
            <wp:effectExtent l="0" t="0" r="0" b="0"/>
            <wp:wrapTight wrapText="bothSides">
              <wp:wrapPolygon edited="0">
                <wp:start x="0" y="0"/>
                <wp:lineTo x="0" y="21448"/>
                <wp:lineTo x="21538" y="21448"/>
                <wp:lineTo x="21538" y="0"/>
                <wp:lineTo x="0" y="0"/>
              </wp:wrapPolygon>
            </wp:wrapTight>
            <wp:docPr id="5" name="Picture 5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2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2B0D">
        <w:rPr>
          <w:rFonts w:cstheme="majorHAnsi"/>
          <w:noProof/>
          <w:lang w:val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051C1C" wp14:editId="38143C22">
                <wp:simplePos x="0" y="0"/>
                <wp:positionH relativeFrom="column">
                  <wp:posOffset>224852</wp:posOffset>
                </wp:positionH>
                <wp:positionV relativeFrom="paragraph">
                  <wp:posOffset>2900388</wp:posOffset>
                </wp:positionV>
                <wp:extent cx="5730875" cy="635"/>
                <wp:effectExtent l="0" t="0" r="0" b="12065"/>
                <wp:wrapTopAndBottom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08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7BB7C14" w14:textId="77777777" w:rsidR="00437997" w:rsidRPr="00BD4F49" w:rsidRDefault="00437997" w:rsidP="00437997">
                            <w:pPr>
                              <w:pStyle w:val="Caption"/>
                              <w:jc w:val="center"/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F819A0">
                              <w:rPr>
                                <w:rFonts w:asciiTheme="majorHAnsi" w:hAnsiTheme="majorHAnsi" w:cstheme="majorHAnsi"/>
                              </w:rPr>
                              <w:t>Figure S1. Use of the standard versus short protocol as a function of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051C1C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7.7pt;margin-top:228.4pt;width:451.25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" stroked="f">
                <v:textbox style="mso-fit-shape-to-text:t" inset="0,0,0,0">
                  <w:txbxContent>
                    <w:p w14:paraId="17BB7C14" w14:textId="77777777" w:rsidR="00437997" w:rsidRPr="00BD4F49" w:rsidRDefault="00437997" w:rsidP="00437997">
                      <w:pPr>
                        <w:pStyle w:val="Caption"/>
                        <w:jc w:val="center"/>
                        <w:rPr>
                          <w:rFonts w:asciiTheme="majorHAnsi" w:hAnsiTheme="majorHAnsi" w:cstheme="majorHAnsi"/>
                        </w:rPr>
                      </w:pPr>
                      <w:r w:rsidRPr="00F819A0">
                        <w:rPr>
                          <w:rFonts w:asciiTheme="majorHAnsi" w:hAnsiTheme="majorHAnsi" w:cstheme="majorHAnsi"/>
                        </w:rPr>
                        <w:t>Figure S1. Use of the standard versus short protocol as a function of time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DF2B0D">
        <w:rPr>
          <w:rFonts w:cstheme="majorHAnsi"/>
          <w:lang w:val="en-GB"/>
        </w:rPr>
        <w:t>Supplementary figures</w:t>
      </w:r>
    </w:p>
    <w:p w14:paraId="1A39D471" w14:textId="77777777" w:rsidR="00437997" w:rsidRPr="00BD6A71" w:rsidRDefault="00437997" w:rsidP="00437997">
      <w:pPr>
        <w:rPr>
          <w:rFonts w:ascii="Times New Roman" w:eastAsia="Times New Roman" w:hAnsi="Times New Roman" w:cs="Times New Roman"/>
          <w:lang w:eastAsia="en-GB"/>
        </w:rPr>
      </w:pPr>
    </w:p>
    <w:p w14:paraId="37979FC9" w14:textId="77777777" w:rsidR="00437997" w:rsidRDefault="00437997" w:rsidP="00437997">
      <w:pPr>
        <w:keepNext/>
        <w:spacing w:line="480" w:lineRule="auto"/>
        <w:jc w:val="center"/>
        <w:rPr>
          <w:rFonts w:asciiTheme="majorHAnsi" w:hAnsiTheme="majorHAnsi" w:cstheme="majorHAnsi"/>
          <w:lang w:val="en-GB"/>
        </w:rPr>
      </w:pPr>
    </w:p>
    <w:p w14:paraId="4ED9BD5B" w14:textId="77777777" w:rsidR="00437997" w:rsidRPr="00BC6752" w:rsidRDefault="00437997" w:rsidP="00437997">
      <w:pPr>
        <w:jc w:val="center"/>
        <w:rPr>
          <w:rFonts w:ascii="Times New Roman" w:eastAsia="Times New Roman" w:hAnsi="Times New Roman" w:cs="Times New Roman"/>
          <w:lang w:eastAsia="en-GB"/>
        </w:rPr>
      </w:pPr>
      <w:r w:rsidRPr="002C3E5B">
        <w:rPr>
          <w:rFonts w:asciiTheme="majorHAnsi" w:hAnsiTheme="majorHAnsi" w:cstheme="majorHAnsi"/>
          <w:noProof/>
          <w:lang w:val="en-GB"/>
        </w:rPr>
        <w:drawing>
          <wp:inline distT="0" distB="0" distL="0" distR="0" wp14:anchorId="7B53B5A5" wp14:editId="556C7E37">
            <wp:extent cx="4404995" cy="3204210"/>
            <wp:effectExtent l="0" t="0" r="1905" b="0"/>
            <wp:docPr id="7" name="Picture 7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995" cy="320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23603" w14:textId="77777777" w:rsidR="00437997" w:rsidRPr="00DF2B0D" w:rsidRDefault="00437997" w:rsidP="00437997">
      <w:pPr>
        <w:pStyle w:val="Caption"/>
        <w:spacing w:line="480" w:lineRule="auto"/>
        <w:jc w:val="center"/>
        <w:rPr>
          <w:rFonts w:asciiTheme="majorHAnsi" w:hAnsiTheme="majorHAnsi" w:cstheme="majorHAnsi"/>
          <w:lang w:val="en-GB"/>
        </w:rPr>
      </w:pPr>
      <w:r w:rsidRPr="00DF2B0D">
        <w:rPr>
          <w:rFonts w:asciiTheme="majorHAnsi" w:hAnsiTheme="majorHAnsi" w:cstheme="majorHAnsi"/>
          <w:lang w:val="en-GB"/>
        </w:rPr>
        <w:t>Figure S2. Use of the standard versus short protocol across different clinics</w:t>
      </w:r>
    </w:p>
    <w:p w14:paraId="111EBE6D" w14:textId="77777777" w:rsidR="00437997" w:rsidRPr="00DF2B0D" w:rsidRDefault="00437997" w:rsidP="00437997">
      <w:pPr>
        <w:pStyle w:val="Caption"/>
        <w:spacing w:line="480" w:lineRule="auto"/>
        <w:jc w:val="center"/>
        <w:rPr>
          <w:rFonts w:asciiTheme="majorHAnsi" w:hAnsiTheme="majorHAnsi" w:cstheme="majorHAnsi"/>
          <w:lang w:val="en-GB"/>
        </w:rPr>
      </w:pPr>
    </w:p>
    <w:p w14:paraId="637C0AF3" w14:textId="77777777" w:rsidR="00437997" w:rsidRPr="00DF2B0D" w:rsidRDefault="00437997" w:rsidP="00437997">
      <w:pPr>
        <w:pStyle w:val="Caption"/>
        <w:spacing w:line="480" w:lineRule="auto"/>
        <w:jc w:val="center"/>
        <w:rPr>
          <w:rFonts w:asciiTheme="majorHAnsi" w:hAnsiTheme="majorHAnsi" w:cstheme="majorHAnsi"/>
          <w:lang w:val="en-GB"/>
        </w:rPr>
      </w:pPr>
      <w:r w:rsidRPr="00DF2B0D">
        <w:rPr>
          <w:rFonts w:asciiTheme="majorHAnsi" w:hAnsiTheme="majorHAnsi" w:cstheme="majorHAnsi"/>
          <w:noProof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32E6D0" wp14:editId="41CD8371">
                <wp:simplePos x="0" y="0"/>
                <wp:positionH relativeFrom="column">
                  <wp:posOffset>101146</wp:posOffset>
                </wp:positionH>
                <wp:positionV relativeFrom="paragraph">
                  <wp:posOffset>2723787</wp:posOffset>
                </wp:positionV>
                <wp:extent cx="5730875" cy="635"/>
                <wp:effectExtent l="0" t="0" r="0" b="12065"/>
                <wp:wrapTopAndBottom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08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878E91F" w14:textId="77777777" w:rsidR="00437997" w:rsidRPr="00CD3F61" w:rsidRDefault="00437997" w:rsidP="00437997">
                            <w:pPr>
                              <w:pStyle w:val="Caption"/>
                              <w:jc w:val="center"/>
                              <w:rPr>
                                <w:rFonts w:asciiTheme="majorHAnsi" w:hAnsiTheme="majorHAnsi" w:cstheme="majorHAnsi"/>
                                <w:noProof/>
                              </w:rPr>
                            </w:pPr>
                            <w:r w:rsidRPr="00CD3F61">
                              <w:rPr>
                                <w:rFonts w:asciiTheme="majorHAnsi" w:hAnsiTheme="majorHAnsi" w:cstheme="majorHAnsi"/>
                              </w:rPr>
                              <w:t>Figure S3. A) Number of prospective/retrospective cases as a function of time. B) Prospective cases tend to follow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 xml:space="preserve"> the</w:t>
                            </w:r>
                            <w:r w:rsidRPr="00CD3F61">
                              <w:rPr>
                                <w:rFonts w:asciiTheme="majorHAnsi" w:hAnsiTheme="majorHAnsi" w:cstheme="majorHAnsi"/>
                              </w:rPr>
                              <w:t xml:space="preserve"> short 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>protocol</w:t>
                            </w:r>
                            <w:r w:rsidRPr="00CD3F61">
                              <w:rPr>
                                <w:rFonts w:asciiTheme="majorHAnsi" w:hAnsiTheme="majorHAnsi" w:cstheme="majorHAnsi"/>
                              </w:rPr>
                              <w:t xml:space="preserve"> rather than the standard 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>protocol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32E6D0" id="Text Box 3" o:spid="_x0000_s1027" type="#_x0000_t202" style="position:absolute;left:0;text-align:left;margin-left:7.95pt;margin-top:214.45pt;width:451.25pt;height:.0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" stroked="f">
                <v:textbox style="mso-fit-shape-to-text:t" inset="0,0,0,0">
                  <w:txbxContent>
                    <w:p w14:paraId="5878E91F" w14:textId="77777777" w:rsidR="00437997" w:rsidRPr="00CD3F61" w:rsidRDefault="00437997" w:rsidP="00437997">
                      <w:pPr>
                        <w:pStyle w:val="Caption"/>
                        <w:jc w:val="center"/>
                        <w:rPr>
                          <w:rFonts w:asciiTheme="majorHAnsi" w:hAnsiTheme="majorHAnsi" w:cstheme="majorHAnsi"/>
                          <w:noProof/>
                        </w:rPr>
                      </w:pPr>
                      <w:r w:rsidRPr="00CD3F61">
                        <w:rPr>
                          <w:rFonts w:asciiTheme="majorHAnsi" w:hAnsiTheme="majorHAnsi" w:cstheme="majorHAnsi"/>
                        </w:rPr>
                        <w:t>Figure S3. A) Number of prospective/retrospective cases as a function of time. B) Prospective cases tend to follow</w:t>
                      </w:r>
                      <w:r>
                        <w:rPr>
                          <w:rFonts w:asciiTheme="majorHAnsi" w:hAnsiTheme="majorHAnsi" w:cstheme="majorHAnsi"/>
                        </w:rPr>
                        <w:t xml:space="preserve"> the</w:t>
                      </w:r>
                      <w:r w:rsidRPr="00CD3F61">
                        <w:rPr>
                          <w:rFonts w:asciiTheme="majorHAnsi" w:hAnsiTheme="majorHAnsi" w:cstheme="majorHAnsi"/>
                        </w:rPr>
                        <w:t xml:space="preserve"> short </w:t>
                      </w:r>
                      <w:r>
                        <w:rPr>
                          <w:rFonts w:asciiTheme="majorHAnsi" w:hAnsiTheme="majorHAnsi" w:cstheme="majorHAnsi"/>
                        </w:rPr>
                        <w:t>protocol</w:t>
                      </w:r>
                      <w:r w:rsidRPr="00CD3F61">
                        <w:rPr>
                          <w:rFonts w:asciiTheme="majorHAnsi" w:hAnsiTheme="majorHAnsi" w:cstheme="majorHAnsi"/>
                        </w:rPr>
                        <w:t xml:space="preserve"> rather than the standard </w:t>
                      </w:r>
                      <w:r>
                        <w:rPr>
                          <w:rFonts w:asciiTheme="majorHAnsi" w:hAnsiTheme="majorHAnsi" w:cstheme="majorHAnsi"/>
                        </w:rPr>
                        <w:t>protocol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DF2B0D">
        <w:rPr>
          <w:rFonts w:asciiTheme="majorHAnsi" w:hAnsiTheme="majorHAnsi" w:cstheme="majorHAnsi"/>
          <w:noProof/>
          <w:lang w:val="en-GB"/>
        </w:rPr>
        <w:drawing>
          <wp:inline distT="0" distB="0" distL="0" distR="0" wp14:anchorId="043863A4" wp14:editId="0253390A">
            <wp:extent cx="5731510" cy="2624710"/>
            <wp:effectExtent l="0" t="0" r="0" b="4445"/>
            <wp:docPr id="5122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1BD9C16A-DF8D-4E18-066C-1E26637C484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>
                      <a:extLst>
                        <a:ext uri="{FF2B5EF4-FFF2-40B4-BE49-F238E27FC236}">
                          <a16:creationId xmlns:a16="http://schemas.microsoft.com/office/drawing/2014/main" id="{1BD9C16A-DF8D-4E18-066C-1E26637C484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24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BD04B0" w14:textId="77777777" w:rsidR="00437997" w:rsidRDefault="00437997" w:rsidP="00437997">
      <w:pPr>
        <w:keepNext/>
        <w:spacing w:line="480" w:lineRule="auto"/>
        <w:rPr>
          <w:rFonts w:asciiTheme="majorHAnsi" w:hAnsiTheme="majorHAnsi" w:cstheme="majorHAnsi"/>
          <w:lang w:val="en-GB"/>
        </w:rPr>
      </w:pPr>
    </w:p>
    <w:p w14:paraId="7669A9CD" w14:textId="77777777" w:rsidR="00437997" w:rsidRPr="00DF2B0D" w:rsidRDefault="00437997" w:rsidP="00437997">
      <w:pPr>
        <w:keepNext/>
        <w:spacing w:line="480" w:lineRule="auto"/>
        <w:rPr>
          <w:rFonts w:asciiTheme="majorHAnsi" w:hAnsiTheme="majorHAnsi" w:cstheme="majorHAnsi"/>
          <w:lang w:val="en-GB"/>
        </w:rPr>
      </w:pPr>
      <w:r w:rsidRPr="00DF2B0D">
        <w:rPr>
          <w:rFonts w:asciiTheme="majorHAnsi" w:hAnsiTheme="majorHAnsi" w:cstheme="majorHAnsi"/>
          <w:noProof/>
          <w:lang w:val="en-GB"/>
        </w:rPr>
        <w:drawing>
          <wp:inline distT="0" distB="0" distL="0" distR="0" wp14:anchorId="4DBFD96C" wp14:editId="5404E531">
            <wp:extent cx="5731510" cy="273474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4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423D2" w14:textId="77777777" w:rsidR="00437997" w:rsidRPr="00DF2B0D" w:rsidRDefault="00437997" w:rsidP="00437997">
      <w:pPr>
        <w:pStyle w:val="Caption"/>
        <w:spacing w:line="480" w:lineRule="auto"/>
        <w:jc w:val="center"/>
        <w:rPr>
          <w:rFonts w:asciiTheme="majorHAnsi" w:hAnsiTheme="majorHAnsi" w:cstheme="majorHAnsi"/>
          <w:lang w:val="en-GB"/>
        </w:rPr>
      </w:pPr>
      <w:r w:rsidRPr="00DF2B0D">
        <w:rPr>
          <w:rFonts w:asciiTheme="majorHAnsi" w:hAnsiTheme="majorHAnsi" w:cstheme="majorHAnsi"/>
          <w:lang w:val="en-GB"/>
        </w:rPr>
        <w:t xml:space="preserve">Figure S4. ROC curve and confusion matrices for the standard protocol sub-cohort </w:t>
      </w:r>
      <w:r w:rsidRPr="00DF2B0D">
        <w:rPr>
          <w:rFonts w:asciiTheme="majorHAnsi" w:hAnsiTheme="majorHAnsi" w:cstheme="majorHAnsi"/>
          <w:lang w:val="en-GB"/>
        </w:rPr>
        <w:br/>
      </w:r>
      <w:r w:rsidRPr="00DF2B0D">
        <w:rPr>
          <w:rFonts w:asciiTheme="majorHAnsi" w:hAnsiTheme="majorHAnsi" w:cstheme="majorHAnsi"/>
          <w:i w:val="0"/>
          <w:iCs w:val="0"/>
          <w:color w:val="auto"/>
          <w:lang w:val="en-GB"/>
        </w:rPr>
        <w:t>Blue dot represents 90% sensitivity. Red dot represents 90% specificity.</w:t>
      </w:r>
      <w:r w:rsidRPr="00DF2B0D">
        <w:rPr>
          <w:rFonts w:asciiTheme="majorHAnsi" w:hAnsiTheme="majorHAnsi" w:cstheme="majorHAnsi"/>
          <w:i w:val="0"/>
          <w:iCs w:val="0"/>
          <w:color w:val="auto"/>
          <w:lang w:val="en-GB"/>
        </w:rPr>
        <w:br/>
        <w:t>AUC, area under the curve; ROC, receiver operating curve.</w:t>
      </w:r>
    </w:p>
    <w:p w14:paraId="09FEFCFE" w14:textId="77777777" w:rsidR="00437997" w:rsidRPr="00DF2B0D" w:rsidRDefault="00437997" w:rsidP="00437997">
      <w:pPr>
        <w:spacing w:line="480" w:lineRule="auto"/>
        <w:rPr>
          <w:rFonts w:asciiTheme="majorHAnsi" w:hAnsiTheme="majorHAnsi" w:cstheme="majorHAnsi"/>
          <w:lang w:val="en-GB"/>
        </w:rPr>
      </w:pPr>
    </w:p>
    <w:p w14:paraId="163C5D9D" w14:textId="77777777" w:rsidR="00437997" w:rsidRPr="00DF2B0D" w:rsidRDefault="00437997" w:rsidP="00437997">
      <w:pPr>
        <w:spacing w:line="480" w:lineRule="auto"/>
        <w:rPr>
          <w:rFonts w:asciiTheme="majorHAnsi" w:hAnsiTheme="majorHAnsi" w:cstheme="majorHAnsi"/>
          <w:lang w:val="en-GB"/>
        </w:rPr>
      </w:pPr>
      <w:r w:rsidRPr="00DF2B0D">
        <w:rPr>
          <w:rFonts w:asciiTheme="majorHAnsi" w:hAnsiTheme="majorHAnsi" w:cstheme="majorHAnsi"/>
          <w:noProof/>
          <w:lang w:val="en-GB"/>
        </w:rPr>
        <w:lastRenderedPageBreak/>
        <w:drawing>
          <wp:anchor distT="0" distB="0" distL="114300" distR="114300" simplePos="0" relativeHeight="251659264" behindDoc="0" locked="0" layoutInCell="1" allowOverlap="1" wp14:anchorId="5AD97B4A" wp14:editId="645BB4B3">
            <wp:simplePos x="0" y="0"/>
            <wp:positionH relativeFrom="column">
              <wp:posOffset>405130</wp:posOffset>
            </wp:positionH>
            <wp:positionV relativeFrom="paragraph">
              <wp:posOffset>83</wp:posOffset>
            </wp:positionV>
            <wp:extent cx="4708525" cy="1819910"/>
            <wp:effectExtent l="0" t="0" r="3175" b="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1819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F2B0D">
        <w:rPr>
          <w:rFonts w:asciiTheme="majorHAnsi" w:hAnsiTheme="majorHAnsi" w:cstheme="majorHAnsi"/>
          <w:noProof/>
          <w:lang w:val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3029AB" wp14:editId="2BBB5B84">
                <wp:simplePos x="0" y="0"/>
                <wp:positionH relativeFrom="column">
                  <wp:posOffset>181610</wp:posOffset>
                </wp:positionH>
                <wp:positionV relativeFrom="paragraph">
                  <wp:posOffset>1771650</wp:posOffset>
                </wp:positionV>
                <wp:extent cx="5730875" cy="635"/>
                <wp:effectExtent l="0" t="0" r="0" b="12065"/>
                <wp:wrapTopAndBottom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3087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BE6435C" w14:textId="77777777" w:rsidR="00437997" w:rsidRPr="00480918" w:rsidRDefault="00437997" w:rsidP="00437997">
                            <w:pPr>
                              <w:pStyle w:val="Caption"/>
                              <w:jc w:val="center"/>
                              <w:rPr>
                                <w:rFonts w:asciiTheme="majorHAnsi" w:hAnsiTheme="majorHAnsi" w:cstheme="majorHAnsi"/>
                                <w:noProof/>
                              </w:rPr>
                            </w:pPr>
                            <w:r w:rsidRPr="00480918">
                              <w:rPr>
                                <w:rFonts w:asciiTheme="majorHAnsi" w:hAnsiTheme="majorHAnsi" w:cstheme="majorHAnsi"/>
                              </w:rPr>
                              <w:t xml:space="preserve">Figure S5. Feature contribution to the 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>machine-learning</w:t>
                            </w:r>
                            <w:r w:rsidRPr="00480918">
                              <w:rPr>
                                <w:rFonts w:asciiTheme="majorHAnsi" w:hAnsiTheme="majorHAnsi" w:cstheme="majorHAnsi"/>
                              </w:rPr>
                              <w:t xml:space="preserve"> model for the A) 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>s</w:t>
                            </w:r>
                            <w:r w:rsidRPr="00480918">
                              <w:rPr>
                                <w:rFonts w:asciiTheme="majorHAnsi" w:hAnsiTheme="majorHAnsi" w:cstheme="majorHAnsi"/>
                              </w:rPr>
                              <w:t xml:space="preserve">tandard and B) 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>s</w:t>
                            </w:r>
                            <w:r w:rsidRPr="00480918">
                              <w:rPr>
                                <w:rFonts w:asciiTheme="majorHAnsi" w:hAnsiTheme="majorHAnsi" w:cstheme="majorHAnsi"/>
                              </w:rPr>
                              <w:t>hort protocol sub-cohorts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3029AB" id="Text Box 12" o:spid="_x0000_s1028" type="#_x0000_t202" style="position:absolute;margin-left:14.3pt;margin-top:139.5pt;width:451.25pt;height: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" stroked="f">
                <v:textbox style="mso-fit-shape-to-text:t" inset="0,0,0,0">
                  <w:txbxContent>
                    <w:p w14:paraId="1BE6435C" w14:textId="77777777" w:rsidR="00437997" w:rsidRPr="00480918" w:rsidRDefault="00437997" w:rsidP="00437997">
                      <w:pPr>
                        <w:pStyle w:val="Caption"/>
                        <w:jc w:val="center"/>
                        <w:rPr>
                          <w:rFonts w:asciiTheme="majorHAnsi" w:hAnsiTheme="majorHAnsi" w:cstheme="majorHAnsi"/>
                          <w:noProof/>
                        </w:rPr>
                      </w:pPr>
                      <w:r w:rsidRPr="00480918">
                        <w:rPr>
                          <w:rFonts w:asciiTheme="majorHAnsi" w:hAnsiTheme="majorHAnsi" w:cstheme="majorHAnsi"/>
                        </w:rPr>
                        <w:t xml:space="preserve">Figure S5. Feature contribution to the </w:t>
                      </w:r>
                      <w:r>
                        <w:rPr>
                          <w:rFonts w:asciiTheme="majorHAnsi" w:hAnsiTheme="majorHAnsi" w:cstheme="majorHAnsi"/>
                        </w:rPr>
                        <w:t>machine-learning</w:t>
                      </w:r>
                      <w:r w:rsidRPr="00480918">
                        <w:rPr>
                          <w:rFonts w:asciiTheme="majorHAnsi" w:hAnsiTheme="majorHAnsi" w:cstheme="majorHAnsi"/>
                        </w:rPr>
                        <w:t xml:space="preserve"> model for the A) </w:t>
                      </w:r>
                      <w:r>
                        <w:rPr>
                          <w:rFonts w:asciiTheme="majorHAnsi" w:hAnsiTheme="majorHAnsi" w:cstheme="majorHAnsi"/>
                        </w:rPr>
                        <w:t>s</w:t>
                      </w:r>
                      <w:r w:rsidRPr="00480918">
                        <w:rPr>
                          <w:rFonts w:asciiTheme="majorHAnsi" w:hAnsiTheme="majorHAnsi" w:cstheme="majorHAnsi"/>
                        </w:rPr>
                        <w:t xml:space="preserve">tandard and B) </w:t>
                      </w:r>
                      <w:r>
                        <w:rPr>
                          <w:rFonts w:asciiTheme="majorHAnsi" w:hAnsiTheme="majorHAnsi" w:cstheme="majorHAnsi"/>
                        </w:rPr>
                        <w:t>s</w:t>
                      </w:r>
                      <w:r w:rsidRPr="00480918">
                        <w:rPr>
                          <w:rFonts w:asciiTheme="majorHAnsi" w:hAnsiTheme="majorHAnsi" w:cstheme="majorHAnsi"/>
                        </w:rPr>
                        <w:t>hort protocol sub-cohorts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24E01280" w14:textId="77777777" w:rsidR="00437997" w:rsidRPr="00DF2B0D" w:rsidRDefault="00437997" w:rsidP="00437997">
      <w:pPr>
        <w:spacing w:line="480" w:lineRule="auto"/>
        <w:jc w:val="center"/>
        <w:rPr>
          <w:rFonts w:asciiTheme="majorHAnsi" w:hAnsiTheme="majorHAnsi" w:cstheme="majorHAnsi"/>
          <w:sz w:val="22"/>
          <w:szCs w:val="22"/>
          <w:lang w:val="en-GB"/>
        </w:rPr>
      </w:pPr>
    </w:p>
    <w:p w14:paraId="43327066" w14:textId="77777777" w:rsidR="00437997" w:rsidRPr="00DF2B0D" w:rsidRDefault="00437997" w:rsidP="00437997">
      <w:pPr>
        <w:pStyle w:val="Heading2"/>
        <w:spacing w:line="480" w:lineRule="auto"/>
        <w:rPr>
          <w:rFonts w:cstheme="majorHAnsi"/>
          <w:lang w:val="en-GB"/>
        </w:rPr>
      </w:pPr>
      <w:r w:rsidRPr="00DF2B0D">
        <w:rPr>
          <w:rFonts w:cstheme="majorHAnsi"/>
          <w:lang w:val="en-GB"/>
        </w:rPr>
        <w:t>Supplementary tables</w:t>
      </w:r>
    </w:p>
    <w:p w14:paraId="010EBFDE" w14:textId="77777777" w:rsidR="00437997" w:rsidRPr="00DF2B0D" w:rsidRDefault="00437997" w:rsidP="00437997">
      <w:pPr>
        <w:spacing w:line="480" w:lineRule="auto"/>
        <w:rPr>
          <w:rFonts w:asciiTheme="majorHAnsi" w:hAnsiTheme="majorHAnsi" w:cstheme="majorHAnsi"/>
          <w:lang w:val="en-GB"/>
        </w:rPr>
      </w:pPr>
    </w:p>
    <w:p w14:paraId="2DE34DB7" w14:textId="77777777" w:rsidR="00437997" w:rsidRPr="00DF2B0D" w:rsidRDefault="00437997" w:rsidP="00437997">
      <w:pPr>
        <w:pStyle w:val="Caption"/>
        <w:keepNext/>
        <w:spacing w:line="480" w:lineRule="auto"/>
        <w:jc w:val="center"/>
        <w:rPr>
          <w:rFonts w:asciiTheme="majorHAnsi" w:hAnsiTheme="majorHAnsi" w:cstheme="majorHAnsi"/>
          <w:lang w:val="en-GB"/>
        </w:rPr>
      </w:pPr>
      <w:r w:rsidRPr="00DF2B0D">
        <w:rPr>
          <w:rFonts w:asciiTheme="majorHAnsi" w:hAnsiTheme="majorHAnsi" w:cstheme="majorHAnsi"/>
          <w:lang w:val="en-GB"/>
        </w:rPr>
        <w:t>Table S1. Association of features of interest with therapy response for the short protocol sub-cohort</w:t>
      </w:r>
    </w:p>
    <w:tbl>
      <w:tblPr>
        <w:tblStyle w:val="GridTable4-Accent3"/>
        <w:tblW w:w="5000" w:type="pct"/>
        <w:jc w:val="center"/>
        <w:tblLook w:val="0420" w:firstRow="1" w:lastRow="0" w:firstColumn="0" w:lastColumn="0" w:noHBand="0" w:noVBand="1"/>
      </w:tblPr>
      <w:tblGrid>
        <w:gridCol w:w="1789"/>
        <w:gridCol w:w="1264"/>
        <w:gridCol w:w="1677"/>
        <w:gridCol w:w="2366"/>
        <w:gridCol w:w="1920"/>
      </w:tblGrid>
      <w:tr w:rsidR="00437997" w:rsidRPr="00DF2B0D" w14:paraId="59C2EACF" w14:textId="77777777" w:rsidTr="003122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992" w:type="pct"/>
            <w:hideMark/>
          </w:tcPr>
          <w:p w14:paraId="04292374" w14:textId="77777777" w:rsidR="00437997" w:rsidRPr="00DF2B0D" w:rsidRDefault="00437997" w:rsidP="0031226D">
            <w:pPr>
              <w:spacing w:line="480" w:lineRule="auto"/>
              <w:rPr>
                <w:rFonts w:asciiTheme="majorHAnsi" w:hAnsiTheme="majorHAnsi" w:cstheme="majorHAnsi"/>
                <w:sz w:val="21"/>
                <w:szCs w:val="21"/>
                <w:lang w:val="en-GB"/>
              </w:rPr>
            </w:pPr>
          </w:p>
        </w:tc>
        <w:tc>
          <w:tcPr>
            <w:tcW w:w="701" w:type="pct"/>
            <w:hideMark/>
          </w:tcPr>
          <w:p w14:paraId="3941BA13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hAnsiTheme="majorHAnsi" w:cstheme="majorHAnsi"/>
                <w:color w:val="auto"/>
                <w:sz w:val="21"/>
                <w:szCs w:val="21"/>
                <w:lang w:val="en-GB"/>
              </w:rPr>
            </w:pPr>
            <w:r w:rsidRPr="00DF2B0D">
              <w:rPr>
                <w:rFonts w:asciiTheme="majorHAnsi" w:hAnsiTheme="majorHAnsi" w:cstheme="majorHAnsi"/>
                <w:color w:val="auto"/>
                <w:sz w:val="21"/>
                <w:szCs w:val="21"/>
                <w:lang w:val="en-GB"/>
              </w:rPr>
              <w:t>No. of eyes</w:t>
            </w:r>
          </w:p>
        </w:tc>
        <w:tc>
          <w:tcPr>
            <w:tcW w:w="930" w:type="pct"/>
            <w:hideMark/>
          </w:tcPr>
          <w:p w14:paraId="298C2B15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hAnsiTheme="majorHAnsi" w:cstheme="majorHAnsi"/>
                <w:color w:val="auto"/>
                <w:sz w:val="21"/>
                <w:szCs w:val="21"/>
                <w:lang w:val="en-GB"/>
              </w:rPr>
            </w:pPr>
            <w:r>
              <w:rPr>
                <w:rFonts w:asciiTheme="majorHAnsi" w:hAnsiTheme="majorHAnsi" w:cstheme="majorHAnsi"/>
                <w:color w:val="auto"/>
                <w:sz w:val="21"/>
                <w:szCs w:val="21"/>
                <w:lang w:val="en-GB"/>
              </w:rPr>
              <w:t>Eyes with no macular fluid</w:t>
            </w:r>
          </w:p>
        </w:tc>
        <w:tc>
          <w:tcPr>
            <w:tcW w:w="1312" w:type="pct"/>
            <w:hideMark/>
          </w:tcPr>
          <w:p w14:paraId="015D7B08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hAnsiTheme="majorHAnsi" w:cstheme="majorHAnsi"/>
                <w:color w:val="auto"/>
                <w:sz w:val="21"/>
                <w:szCs w:val="21"/>
                <w:lang w:val="en-GB"/>
              </w:rPr>
            </w:pPr>
            <w:r w:rsidRPr="00DF2B0D">
              <w:rPr>
                <w:rFonts w:asciiTheme="majorHAnsi" w:hAnsiTheme="majorHAnsi" w:cstheme="majorHAnsi"/>
                <w:color w:val="auto"/>
                <w:sz w:val="21"/>
                <w:szCs w:val="21"/>
                <w:lang w:val="en-GB"/>
              </w:rPr>
              <w:t xml:space="preserve">Eyes with </w:t>
            </w:r>
            <w:r>
              <w:rPr>
                <w:rFonts w:asciiTheme="majorHAnsi" w:hAnsiTheme="majorHAnsi" w:cstheme="majorHAnsi"/>
                <w:color w:val="auto"/>
                <w:sz w:val="21"/>
                <w:szCs w:val="21"/>
                <w:lang w:val="en-GB"/>
              </w:rPr>
              <w:t>macular</w:t>
            </w:r>
            <w:r w:rsidRPr="00DF2B0D">
              <w:rPr>
                <w:rFonts w:asciiTheme="majorHAnsi" w:hAnsiTheme="majorHAnsi" w:cstheme="majorHAnsi"/>
                <w:color w:val="auto"/>
                <w:sz w:val="21"/>
                <w:szCs w:val="21"/>
                <w:lang w:val="en-GB"/>
              </w:rPr>
              <w:t xml:space="preserve"> fluid</w:t>
            </w:r>
          </w:p>
        </w:tc>
        <w:tc>
          <w:tcPr>
            <w:tcW w:w="1065" w:type="pct"/>
            <w:hideMark/>
          </w:tcPr>
          <w:p w14:paraId="7A45906F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hAnsiTheme="majorHAnsi" w:cstheme="majorHAnsi"/>
                <w:color w:val="auto"/>
                <w:sz w:val="21"/>
                <w:szCs w:val="21"/>
                <w:lang w:val="en-GB"/>
              </w:rPr>
            </w:pPr>
            <w:r w:rsidRPr="00DF2B0D">
              <w:rPr>
                <w:rFonts w:asciiTheme="majorHAnsi" w:hAnsiTheme="majorHAnsi" w:cstheme="majorHAnsi"/>
                <w:color w:val="auto"/>
                <w:sz w:val="21"/>
                <w:szCs w:val="21"/>
                <w:lang w:val="en-GB"/>
              </w:rPr>
              <w:t>Adjusted p-value</w:t>
            </w:r>
          </w:p>
        </w:tc>
      </w:tr>
      <w:tr w:rsidR="00437997" w:rsidRPr="00DF2B0D" w14:paraId="5F7EC100" w14:textId="77777777" w:rsidTr="003122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992" w:type="pct"/>
            <w:hideMark/>
          </w:tcPr>
          <w:p w14:paraId="25B6EF94" w14:textId="77777777" w:rsidR="00437997" w:rsidRPr="00DF2B0D" w:rsidRDefault="00437997" w:rsidP="0031226D">
            <w:pPr>
              <w:spacing w:line="480" w:lineRule="auto"/>
              <w:rPr>
                <w:rFonts w:asciiTheme="majorHAnsi" w:eastAsia="Times New Roman" w:hAnsiTheme="majorHAnsi" w:cstheme="majorHAnsi"/>
                <w:b/>
                <w:bCs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b/>
                <w:bCs/>
                <w:sz w:val="21"/>
                <w:szCs w:val="21"/>
                <w:lang w:val="en-GB" w:eastAsia="en-GB"/>
              </w:rPr>
              <w:t>Age</w:t>
            </w:r>
            <w:r>
              <w:rPr>
                <w:rFonts w:asciiTheme="majorHAnsi" w:eastAsia="Times New Roman" w:hAnsiTheme="majorHAnsi" w:cstheme="majorHAnsi"/>
                <w:b/>
                <w:bCs/>
                <w:sz w:val="21"/>
                <w:szCs w:val="21"/>
                <w:lang w:val="en-GB" w:eastAsia="en-GB"/>
              </w:rPr>
              <w:t>*</w:t>
            </w:r>
          </w:p>
        </w:tc>
        <w:tc>
          <w:tcPr>
            <w:tcW w:w="701" w:type="pct"/>
            <w:hideMark/>
          </w:tcPr>
          <w:p w14:paraId="7611B536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548 (99.6)</w:t>
            </w:r>
          </w:p>
        </w:tc>
        <w:tc>
          <w:tcPr>
            <w:tcW w:w="930" w:type="pct"/>
            <w:hideMark/>
          </w:tcPr>
          <w:p w14:paraId="2061DE84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81 [75, 85]</w:t>
            </w:r>
          </w:p>
        </w:tc>
        <w:tc>
          <w:tcPr>
            <w:tcW w:w="1312" w:type="pct"/>
            <w:hideMark/>
          </w:tcPr>
          <w:p w14:paraId="65A23835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79 [74, 83</w:t>
            </w:r>
          </w:p>
        </w:tc>
        <w:tc>
          <w:tcPr>
            <w:tcW w:w="1065" w:type="pct"/>
            <w:hideMark/>
          </w:tcPr>
          <w:p w14:paraId="1B532352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4.58</w:t>
            </w:r>
            <w:r w:rsidRPr="00DF2B0D">
              <w:rPr>
                <w:rFonts w:asciiTheme="majorHAnsi" w:hAnsiTheme="majorHAnsi" w:cstheme="majorHAnsi"/>
                <w:lang w:val="en-GB"/>
              </w:rPr>
              <w:t>×</w:t>
            </w:r>
            <w:r>
              <w:rPr>
                <w:rFonts w:asciiTheme="majorHAnsi" w:hAnsiTheme="majorHAnsi" w:cstheme="majorHAnsi"/>
                <w:lang w:val="en-GB"/>
              </w:rPr>
              <w:t>10</w:t>
            </w:r>
            <w:r w:rsidRPr="00BC6752">
              <w:rPr>
                <w:rFonts w:asciiTheme="majorHAnsi" w:hAnsiTheme="majorHAnsi" w:cstheme="majorHAnsi"/>
                <w:vertAlign w:val="superscript"/>
                <w:lang w:val="en-GB"/>
              </w:rPr>
              <w:t>-2</w:t>
            </w:r>
          </w:p>
        </w:tc>
      </w:tr>
      <w:tr w:rsidR="00437997" w:rsidRPr="00DF2B0D" w14:paraId="04C57D26" w14:textId="77777777" w:rsidTr="0031226D">
        <w:trPr>
          <w:jc w:val="center"/>
        </w:trPr>
        <w:tc>
          <w:tcPr>
            <w:tcW w:w="992" w:type="pct"/>
            <w:hideMark/>
          </w:tcPr>
          <w:p w14:paraId="1CBF1064" w14:textId="77777777" w:rsidR="00437997" w:rsidRPr="00DF2B0D" w:rsidRDefault="00437997" w:rsidP="0031226D">
            <w:pPr>
              <w:spacing w:line="480" w:lineRule="auto"/>
              <w:rPr>
                <w:rFonts w:asciiTheme="majorHAnsi" w:eastAsia="Times New Roman" w:hAnsiTheme="majorHAnsi" w:cstheme="majorHAnsi"/>
                <w:b/>
                <w:bCs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b/>
                <w:bCs/>
                <w:sz w:val="21"/>
                <w:szCs w:val="21"/>
                <w:lang w:val="en-GB" w:eastAsia="en-GB"/>
              </w:rPr>
              <w:t>Sex</w:t>
            </w:r>
          </w:p>
        </w:tc>
        <w:tc>
          <w:tcPr>
            <w:tcW w:w="701" w:type="pct"/>
            <w:hideMark/>
          </w:tcPr>
          <w:p w14:paraId="68E49BAD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550 (100)</w:t>
            </w:r>
          </w:p>
        </w:tc>
        <w:tc>
          <w:tcPr>
            <w:tcW w:w="930" w:type="pct"/>
            <w:hideMark/>
          </w:tcPr>
          <w:p w14:paraId="25352367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62%</w:t>
            </w:r>
          </w:p>
        </w:tc>
        <w:tc>
          <w:tcPr>
            <w:tcW w:w="1312" w:type="pct"/>
            <w:hideMark/>
          </w:tcPr>
          <w:p w14:paraId="029BDAF2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54%</w:t>
            </w:r>
          </w:p>
        </w:tc>
        <w:tc>
          <w:tcPr>
            <w:tcW w:w="1065" w:type="pct"/>
            <w:hideMark/>
          </w:tcPr>
          <w:p w14:paraId="302B360E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5.90</w:t>
            </w:r>
            <w:r w:rsidRPr="00DF2B0D">
              <w:rPr>
                <w:rFonts w:asciiTheme="majorHAnsi" w:hAnsiTheme="majorHAnsi" w:cstheme="majorHAnsi"/>
                <w:lang w:val="en-GB"/>
              </w:rPr>
              <w:t>×</w:t>
            </w:r>
            <w:r>
              <w:rPr>
                <w:rFonts w:asciiTheme="majorHAnsi" w:hAnsiTheme="majorHAnsi" w:cstheme="majorHAnsi"/>
                <w:lang w:val="en-GB"/>
              </w:rPr>
              <w:t>10</w:t>
            </w:r>
            <w:r w:rsidRPr="007A4873">
              <w:rPr>
                <w:rFonts w:asciiTheme="majorHAnsi" w:hAnsiTheme="majorHAnsi" w:cstheme="majorHAnsi"/>
                <w:vertAlign w:val="superscript"/>
                <w:lang w:val="en-GB"/>
              </w:rPr>
              <w:t>-</w:t>
            </w:r>
            <w:r>
              <w:rPr>
                <w:rFonts w:asciiTheme="majorHAnsi" w:hAnsiTheme="majorHAnsi" w:cstheme="majorHAnsi"/>
                <w:vertAlign w:val="superscript"/>
                <w:lang w:val="en-GB"/>
              </w:rPr>
              <w:t>3</w:t>
            </w:r>
          </w:p>
        </w:tc>
      </w:tr>
      <w:tr w:rsidR="00437997" w:rsidRPr="00DF2B0D" w14:paraId="23823CEF" w14:textId="77777777" w:rsidTr="003122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tcW w:w="992" w:type="pct"/>
            <w:hideMark/>
          </w:tcPr>
          <w:p w14:paraId="275EDEEB" w14:textId="77777777" w:rsidR="00437997" w:rsidRPr="00DF2B0D" w:rsidRDefault="00437997" w:rsidP="0031226D">
            <w:pPr>
              <w:spacing w:line="480" w:lineRule="auto"/>
              <w:rPr>
                <w:rFonts w:asciiTheme="majorHAnsi" w:eastAsia="Times New Roman" w:hAnsiTheme="majorHAnsi" w:cstheme="majorHAnsi"/>
                <w:b/>
                <w:bCs/>
                <w:sz w:val="21"/>
                <w:szCs w:val="21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sz w:val="21"/>
                <w:szCs w:val="21"/>
                <w:lang w:val="en-GB" w:eastAsia="en-GB"/>
              </w:rPr>
              <w:t>CST*</w:t>
            </w:r>
          </w:p>
        </w:tc>
        <w:tc>
          <w:tcPr>
            <w:tcW w:w="701" w:type="pct"/>
            <w:hideMark/>
          </w:tcPr>
          <w:p w14:paraId="7D9A951D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550 (100)</w:t>
            </w:r>
          </w:p>
        </w:tc>
        <w:tc>
          <w:tcPr>
            <w:tcW w:w="930" w:type="pct"/>
            <w:hideMark/>
          </w:tcPr>
          <w:p w14:paraId="2E577F22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0.35 [0.29, 0.45]</w:t>
            </w:r>
          </w:p>
        </w:tc>
        <w:tc>
          <w:tcPr>
            <w:tcW w:w="1312" w:type="pct"/>
            <w:hideMark/>
          </w:tcPr>
          <w:p w14:paraId="6DB51018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0.4 [0.32, 0.51]</w:t>
            </w:r>
          </w:p>
        </w:tc>
        <w:tc>
          <w:tcPr>
            <w:tcW w:w="1065" w:type="pct"/>
            <w:hideMark/>
          </w:tcPr>
          <w:p w14:paraId="56375344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2.06</w:t>
            </w:r>
            <w:r w:rsidRPr="00DF2B0D">
              <w:rPr>
                <w:rFonts w:asciiTheme="majorHAnsi" w:hAnsiTheme="majorHAnsi" w:cstheme="majorHAnsi"/>
                <w:lang w:val="en-GB"/>
              </w:rPr>
              <w:t>×</w:t>
            </w:r>
            <w:r>
              <w:rPr>
                <w:rFonts w:asciiTheme="majorHAnsi" w:hAnsiTheme="majorHAnsi" w:cstheme="majorHAnsi"/>
                <w:lang w:val="en-GB"/>
              </w:rPr>
              <w:t>10</w:t>
            </w:r>
            <w:r w:rsidRPr="007A4873">
              <w:rPr>
                <w:rFonts w:asciiTheme="majorHAnsi" w:hAnsiTheme="majorHAnsi" w:cstheme="majorHAnsi"/>
                <w:vertAlign w:val="superscript"/>
                <w:lang w:val="en-GB"/>
              </w:rPr>
              <w:t>-</w:t>
            </w:r>
            <w:r>
              <w:rPr>
                <w:rFonts w:asciiTheme="majorHAnsi" w:hAnsiTheme="majorHAnsi" w:cstheme="majorHAnsi"/>
                <w:vertAlign w:val="superscript"/>
                <w:lang w:val="en-GB"/>
              </w:rPr>
              <w:t>3</w:t>
            </w:r>
          </w:p>
        </w:tc>
      </w:tr>
      <w:tr w:rsidR="00437997" w:rsidRPr="00DF2B0D" w14:paraId="0153E674" w14:textId="77777777" w:rsidTr="0031226D">
        <w:trPr>
          <w:jc w:val="center"/>
        </w:trPr>
        <w:tc>
          <w:tcPr>
            <w:tcW w:w="992" w:type="pct"/>
          </w:tcPr>
          <w:p w14:paraId="56685F82" w14:textId="77777777" w:rsidR="00437997" w:rsidRPr="00DF2B0D" w:rsidRDefault="00437997" w:rsidP="0031226D">
            <w:pPr>
              <w:spacing w:line="480" w:lineRule="auto"/>
              <w:rPr>
                <w:rFonts w:asciiTheme="majorHAnsi" w:eastAsia="Times New Roman" w:hAnsiTheme="majorHAnsi" w:cstheme="majorHAnsi"/>
                <w:b/>
                <w:bCs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b/>
                <w:bCs/>
                <w:sz w:val="21"/>
                <w:szCs w:val="21"/>
                <w:lang w:val="en-GB" w:eastAsia="en-GB"/>
              </w:rPr>
              <w:t>Visual acuity</w:t>
            </w:r>
            <w:r>
              <w:rPr>
                <w:rFonts w:asciiTheme="majorHAnsi" w:eastAsia="Times New Roman" w:hAnsiTheme="majorHAnsi" w:cstheme="majorHAnsi"/>
                <w:b/>
                <w:bCs/>
                <w:sz w:val="21"/>
                <w:szCs w:val="21"/>
                <w:lang w:val="en-GB" w:eastAsia="en-GB"/>
              </w:rPr>
              <w:t>*</w:t>
            </w:r>
          </w:p>
        </w:tc>
        <w:tc>
          <w:tcPr>
            <w:tcW w:w="701" w:type="pct"/>
          </w:tcPr>
          <w:p w14:paraId="7D24F163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536 (97.5)</w:t>
            </w:r>
          </w:p>
        </w:tc>
        <w:tc>
          <w:tcPr>
            <w:tcW w:w="930" w:type="pct"/>
          </w:tcPr>
          <w:p w14:paraId="0D4D6A24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60 [49, 70]</w:t>
            </w:r>
          </w:p>
        </w:tc>
        <w:tc>
          <w:tcPr>
            <w:tcW w:w="1312" w:type="pct"/>
          </w:tcPr>
          <w:p w14:paraId="6DED8E43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60 [47, 70]</w:t>
            </w:r>
          </w:p>
        </w:tc>
        <w:tc>
          <w:tcPr>
            <w:tcW w:w="1065" w:type="pct"/>
          </w:tcPr>
          <w:p w14:paraId="4D77A077" w14:textId="77777777" w:rsidR="00437997" w:rsidRPr="00DF2B0D" w:rsidRDefault="00437997" w:rsidP="0031226D">
            <w:pPr>
              <w:spacing w:line="480" w:lineRule="auto"/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0.</w:t>
            </w:r>
            <w:r w:rsidRPr="00DF2B0D">
              <w:rPr>
                <w:rFonts w:asciiTheme="majorHAnsi" w:eastAsia="Times New Roman" w:hAnsiTheme="majorHAnsi" w:cstheme="majorHAnsi"/>
                <w:sz w:val="21"/>
                <w:szCs w:val="21"/>
                <w:lang w:val="en-GB" w:eastAsia="en-GB"/>
              </w:rPr>
              <w:t>729</w:t>
            </w:r>
          </w:p>
        </w:tc>
      </w:tr>
    </w:tbl>
    <w:p w14:paraId="0ABC8EDD" w14:textId="77777777" w:rsidR="00437997" w:rsidRDefault="00437997" w:rsidP="00437997">
      <w:pPr>
        <w:pStyle w:val="Caption"/>
        <w:keepNext/>
        <w:spacing w:line="480" w:lineRule="auto"/>
        <w:rPr>
          <w:rFonts w:asciiTheme="majorHAnsi" w:hAnsiTheme="majorHAnsi" w:cstheme="majorHAnsi"/>
          <w:i w:val="0"/>
          <w:iCs w:val="0"/>
          <w:color w:val="auto"/>
          <w:lang w:val="en-GB"/>
        </w:rPr>
      </w:pPr>
      <w:r w:rsidRPr="00DF2B0D">
        <w:rPr>
          <w:rFonts w:asciiTheme="majorHAnsi" w:hAnsiTheme="majorHAnsi" w:cstheme="majorHAnsi"/>
          <w:i w:val="0"/>
          <w:iCs w:val="0"/>
          <w:color w:val="auto"/>
          <w:lang w:val="en-GB"/>
        </w:rPr>
        <w:t xml:space="preserve">Data in parentheses are percentages. </w:t>
      </w:r>
    </w:p>
    <w:p w14:paraId="7EC179E4" w14:textId="77777777" w:rsidR="00437997" w:rsidRDefault="00437997" w:rsidP="00437997">
      <w:pPr>
        <w:spacing w:line="480" w:lineRule="auto"/>
        <w:rPr>
          <w:rFonts w:asciiTheme="majorHAnsi" w:hAnsiTheme="majorHAnsi" w:cstheme="majorHAnsi"/>
          <w:sz w:val="18"/>
          <w:szCs w:val="18"/>
          <w:lang w:val="en-GB"/>
        </w:rPr>
      </w:pPr>
      <w:r>
        <w:rPr>
          <w:rFonts w:asciiTheme="majorHAnsi" w:hAnsiTheme="majorHAnsi" w:cstheme="majorHAnsi"/>
          <w:sz w:val="18"/>
          <w:szCs w:val="18"/>
          <w:lang w:val="en-GB"/>
        </w:rPr>
        <w:t xml:space="preserve">CST, </w:t>
      </w:r>
      <w:r w:rsidRPr="006C597F">
        <w:rPr>
          <w:rFonts w:asciiTheme="majorHAnsi" w:hAnsiTheme="majorHAnsi" w:cstheme="majorHAnsi"/>
          <w:sz w:val="18"/>
          <w:szCs w:val="18"/>
          <w:lang w:val="en-GB"/>
        </w:rPr>
        <w:t>central retinal subfield thickness</w:t>
      </w:r>
      <w:r>
        <w:rPr>
          <w:rFonts w:asciiTheme="majorHAnsi" w:hAnsiTheme="majorHAnsi" w:cstheme="majorHAnsi"/>
          <w:sz w:val="18"/>
          <w:szCs w:val="18"/>
          <w:lang w:val="en-GB"/>
        </w:rPr>
        <w:t>.</w:t>
      </w:r>
    </w:p>
    <w:p w14:paraId="5F6E21B7" w14:textId="77777777" w:rsidR="00437997" w:rsidRPr="00BC6752" w:rsidRDefault="00437997" w:rsidP="00437997">
      <w:pPr>
        <w:spacing w:line="480" w:lineRule="auto"/>
        <w:rPr>
          <w:rFonts w:asciiTheme="majorHAnsi" w:hAnsiTheme="majorHAnsi" w:cstheme="majorHAnsi"/>
          <w:sz w:val="18"/>
          <w:szCs w:val="18"/>
          <w:lang w:val="en-GB"/>
        </w:rPr>
      </w:pPr>
      <w:r w:rsidRPr="00BC6752">
        <w:rPr>
          <w:rFonts w:asciiTheme="majorHAnsi" w:hAnsiTheme="majorHAnsi" w:cstheme="majorHAnsi"/>
          <w:sz w:val="18"/>
          <w:szCs w:val="18"/>
          <w:vertAlign w:val="superscript"/>
          <w:lang w:val="en-GB"/>
        </w:rPr>
        <w:t>*</w:t>
      </w:r>
      <w:r w:rsidRPr="00BC6752">
        <w:rPr>
          <w:rFonts w:asciiTheme="majorHAnsi" w:hAnsiTheme="majorHAnsi" w:cstheme="majorHAnsi"/>
          <w:sz w:val="18"/>
          <w:szCs w:val="18"/>
          <w:lang w:val="en-GB"/>
        </w:rPr>
        <w:t>Data are median [interquartile range]</w:t>
      </w:r>
    </w:p>
    <w:p w14:paraId="1F1051B5" w14:textId="77777777" w:rsidR="00437997" w:rsidRPr="00BC6752" w:rsidRDefault="00437997" w:rsidP="00437997">
      <w:pPr>
        <w:rPr>
          <w:i/>
          <w:iCs/>
          <w:lang w:val="en-GB"/>
        </w:rPr>
      </w:pPr>
    </w:p>
    <w:p w14:paraId="501B59A1" w14:textId="77777777" w:rsidR="00437997" w:rsidRDefault="00437997" w:rsidP="00437997">
      <w:pPr>
        <w:pStyle w:val="Caption"/>
        <w:keepNext/>
        <w:spacing w:line="480" w:lineRule="auto"/>
        <w:jc w:val="center"/>
        <w:rPr>
          <w:rFonts w:asciiTheme="majorHAnsi" w:hAnsiTheme="majorHAnsi" w:cstheme="majorHAnsi"/>
          <w:lang w:val="en-GB"/>
        </w:rPr>
      </w:pPr>
    </w:p>
    <w:p w14:paraId="444A5D44" w14:textId="77777777" w:rsidR="00437997" w:rsidRPr="00DF2B0D" w:rsidRDefault="00437997" w:rsidP="00437997">
      <w:pPr>
        <w:pStyle w:val="Caption"/>
        <w:keepNext/>
        <w:spacing w:line="480" w:lineRule="auto"/>
        <w:jc w:val="center"/>
        <w:rPr>
          <w:rFonts w:asciiTheme="majorHAnsi" w:hAnsiTheme="majorHAnsi" w:cstheme="majorHAnsi"/>
          <w:lang w:val="en-GB"/>
        </w:rPr>
      </w:pPr>
      <w:r w:rsidRPr="00DF2B0D">
        <w:rPr>
          <w:rFonts w:asciiTheme="majorHAnsi" w:hAnsiTheme="majorHAnsi" w:cstheme="majorHAnsi"/>
          <w:lang w:val="en-GB"/>
        </w:rPr>
        <w:t>Table S2. Fraction of suboptimal responders for the short protocol sub-cohort and selected sizes</w:t>
      </w:r>
    </w:p>
    <w:tbl>
      <w:tblPr>
        <w:tblStyle w:val="GridTable4-Accent3"/>
        <w:tblW w:w="5000" w:type="pct"/>
        <w:tblLayout w:type="fixed"/>
        <w:tblLook w:val="04A0" w:firstRow="1" w:lastRow="0" w:firstColumn="1" w:lastColumn="0" w:noHBand="0" w:noVBand="1"/>
      </w:tblPr>
      <w:tblGrid>
        <w:gridCol w:w="1288"/>
        <w:gridCol w:w="1288"/>
        <w:gridCol w:w="1288"/>
        <w:gridCol w:w="1288"/>
        <w:gridCol w:w="1288"/>
        <w:gridCol w:w="1288"/>
        <w:gridCol w:w="1288"/>
      </w:tblGrid>
      <w:tr w:rsidR="00437997" w:rsidRPr="00DF2B0D" w14:paraId="566D21B3" w14:textId="77777777" w:rsidTr="003122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  <w:noWrap/>
            <w:hideMark/>
          </w:tcPr>
          <w:p w14:paraId="73E8C321" w14:textId="77777777" w:rsidR="00437997" w:rsidRPr="00597241" w:rsidRDefault="00437997" w:rsidP="0031226D">
            <w:pPr>
              <w:spacing w:line="48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Cohort size</w:t>
            </w:r>
            <w:r w:rsidRPr="00DF2B0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 xml:space="preserve"> (no. of eyes)</w:t>
            </w:r>
          </w:p>
        </w:tc>
        <w:tc>
          <w:tcPr>
            <w:tcW w:w="714" w:type="pct"/>
            <w:noWrap/>
            <w:hideMark/>
          </w:tcPr>
          <w:p w14:paraId="4392C97E" w14:textId="77777777" w:rsidR="00437997" w:rsidRPr="00597241" w:rsidRDefault="00437997" w:rsidP="0031226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AI</w:t>
            </w:r>
          </w:p>
        </w:tc>
        <w:tc>
          <w:tcPr>
            <w:tcW w:w="714" w:type="pct"/>
            <w:noWrap/>
            <w:hideMark/>
          </w:tcPr>
          <w:p w14:paraId="7148AE07" w14:textId="77777777" w:rsidR="00437997" w:rsidRPr="00597241" w:rsidRDefault="00437997" w:rsidP="0031226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CST</w:t>
            </w:r>
          </w:p>
        </w:tc>
        <w:tc>
          <w:tcPr>
            <w:tcW w:w="714" w:type="pct"/>
            <w:noWrap/>
            <w:hideMark/>
          </w:tcPr>
          <w:p w14:paraId="0C4938C9" w14:textId="77777777" w:rsidR="00437997" w:rsidRPr="00597241" w:rsidRDefault="00437997" w:rsidP="0031226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Age</w:t>
            </w:r>
          </w:p>
        </w:tc>
        <w:tc>
          <w:tcPr>
            <w:tcW w:w="714" w:type="pct"/>
            <w:noWrap/>
            <w:hideMark/>
          </w:tcPr>
          <w:p w14:paraId="70141C68" w14:textId="77777777" w:rsidR="00437997" w:rsidRPr="00597241" w:rsidRDefault="00437997" w:rsidP="0031226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Random</w:t>
            </w:r>
          </w:p>
        </w:tc>
        <w:tc>
          <w:tcPr>
            <w:tcW w:w="714" w:type="pct"/>
            <w:noWrap/>
            <w:hideMark/>
          </w:tcPr>
          <w:p w14:paraId="4E92B41F" w14:textId="77777777" w:rsidR="00437997" w:rsidRPr="00597241" w:rsidRDefault="00437997" w:rsidP="0031226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% AI increase</w:t>
            </w:r>
          </w:p>
        </w:tc>
        <w:tc>
          <w:tcPr>
            <w:tcW w:w="714" w:type="pct"/>
          </w:tcPr>
          <w:p w14:paraId="6D14EA4B" w14:textId="77777777" w:rsidR="00437997" w:rsidRPr="00597241" w:rsidRDefault="00437997" w:rsidP="0031226D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 xml:space="preserve">% AI increase from </w:t>
            </w:r>
            <w:r w:rsidRPr="00DF2B0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r</w:t>
            </w: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andom</w:t>
            </w:r>
          </w:p>
        </w:tc>
      </w:tr>
      <w:tr w:rsidR="00437997" w:rsidRPr="00DF2B0D" w14:paraId="46F3873A" w14:textId="77777777" w:rsidTr="003122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33B2C3F1" w14:textId="77777777" w:rsidR="00437997" w:rsidRPr="00597241" w:rsidRDefault="00437997" w:rsidP="0031226D">
            <w:pPr>
              <w:spacing w:line="48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lastRenderedPageBreak/>
              <w:t>20</w:t>
            </w:r>
          </w:p>
        </w:tc>
        <w:tc>
          <w:tcPr>
            <w:tcW w:w="0" w:type="pct"/>
            <w:noWrap/>
            <w:hideMark/>
          </w:tcPr>
          <w:p w14:paraId="6C13CE50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0.65</w:t>
            </w:r>
          </w:p>
        </w:tc>
        <w:tc>
          <w:tcPr>
            <w:tcW w:w="0" w:type="pct"/>
            <w:noWrap/>
            <w:hideMark/>
          </w:tcPr>
          <w:p w14:paraId="4EDEC421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0.53</w:t>
            </w:r>
          </w:p>
        </w:tc>
        <w:tc>
          <w:tcPr>
            <w:tcW w:w="0" w:type="pct"/>
            <w:noWrap/>
            <w:hideMark/>
          </w:tcPr>
          <w:p w14:paraId="53170393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0.51</w:t>
            </w:r>
          </w:p>
        </w:tc>
        <w:tc>
          <w:tcPr>
            <w:tcW w:w="0" w:type="pct"/>
            <w:noWrap/>
            <w:hideMark/>
          </w:tcPr>
          <w:p w14:paraId="34F0F339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0.37</w:t>
            </w:r>
          </w:p>
        </w:tc>
        <w:tc>
          <w:tcPr>
            <w:tcW w:w="0" w:type="pct"/>
            <w:noWrap/>
            <w:vAlign w:val="bottom"/>
            <w:hideMark/>
          </w:tcPr>
          <w:p w14:paraId="1AAF9CDD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BC675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22.64</w:t>
            </w:r>
          </w:p>
        </w:tc>
        <w:tc>
          <w:tcPr>
            <w:tcW w:w="0" w:type="pct"/>
            <w:vAlign w:val="bottom"/>
          </w:tcPr>
          <w:p w14:paraId="5E2184E1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BC675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75.68</w:t>
            </w:r>
          </w:p>
        </w:tc>
      </w:tr>
      <w:tr w:rsidR="00437997" w:rsidRPr="00DF2B0D" w14:paraId="7A5945EC" w14:textId="77777777" w:rsidTr="0031226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07978D99" w14:textId="77777777" w:rsidR="00437997" w:rsidRPr="00597241" w:rsidRDefault="00437997" w:rsidP="0031226D">
            <w:pPr>
              <w:spacing w:line="48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50</w:t>
            </w:r>
          </w:p>
        </w:tc>
        <w:tc>
          <w:tcPr>
            <w:tcW w:w="0" w:type="pct"/>
            <w:noWrap/>
            <w:hideMark/>
          </w:tcPr>
          <w:p w14:paraId="5C1FCBAC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0.57</w:t>
            </w:r>
          </w:p>
        </w:tc>
        <w:tc>
          <w:tcPr>
            <w:tcW w:w="0" w:type="pct"/>
            <w:noWrap/>
            <w:hideMark/>
          </w:tcPr>
          <w:p w14:paraId="4AD55BF4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0.38</w:t>
            </w:r>
          </w:p>
        </w:tc>
        <w:tc>
          <w:tcPr>
            <w:tcW w:w="0" w:type="pct"/>
            <w:noWrap/>
            <w:hideMark/>
          </w:tcPr>
          <w:p w14:paraId="76356AA4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0.43</w:t>
            </w:r>
          </w:p>
        </w:tc>
        <w:tc>
          <w:tcPr>
            <w:tcW w:w="0" w:type="pct"/>
            <w:noWrap/>
            <w:hideMark/>
          </w:tcPr>
          <w:p w14:paraId="7A490EF5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0.37</w:t>
            </w:r>
          </w:p>
        </w:tc>
        <w:tc>
          <w:tcPr>
            <w:tcW w:w="0" w:type="pct"/>
            <w:noWrap/>
            <w:vAlign w:val="bottom"/>
            <w:hideMark/>
          </w:tcPr>
          <w:p w14:paraId="5FCFD718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BC675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32.56</w:t>
            </w:r>
          </w:p>
        </w:tc>
        <w:tc>
          <w:tcPr>
            <w:tcW w:w="0" w:type="pct"/>
            <w:vAlign w:val="bottom"/>
          </w:tcPr>
          <w:p w14:paraId="437BAAEE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BC675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54.05</w:t>
            </w:r>
          </w:p>
        </w:tc>
      </w:tr>
      <w:tr w:rsidR="00437997" w:rsidRPr="00DF2B0D" w14:paraId="7BD68637" w14:textId="77777777" w:rsidTr="003122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4DDC6A4A" w14:textId="77777777" w:rsidR="00437997" w:rsidRPr="00597241" w:rsidRDefault="00437997" w:rsidP="0031226D">
            <w:pPr>
              <w:spacing w:line="48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70</w:t>
            </w:r>
          </w:p>
        </w:tc>
        <w:tc>
          <w:tcPr>
            <w:tcW w:w="0" w:type="pct"/>
            <w:noWrap/>
            <w:hideMark/>
          </w:tcPr>
          <w:p w14:paraId="1BE686F4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0.52</w:t>
            </w:r>
          </w:p>
        </w:tc>
        <w:tc>
          <w:tcPr>
            <w:tcW w:w="0" w:type="pct"/>
            <w:noWrap/>
            <w:hideMark/>
          </w:tcPr>
          <w:p w14:paraId="75D411F5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0.4</w:t>
            </w: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pct"/>
            <w:noWrap/>
            <w:hideMark/>
          </w:tcPr>
          <w:p w14:paraId="63C1E39B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0.41</w:t>
            </w:r>
          </w:p>
        </w:tc>
        <w:tc>
          <w:tcPr>
            <w:tcW w:w="0" w:type="pct"/>
            <w:noWrap/>
            <w:hideMark/>
          </w:tcPr>
          <w:p w14:paraId="2045980A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0.37</w:t>
            </w:r>
          </w:p>
        </w:tc>
        <w:tc>
          <w:tcPr>
            <w:tcW w:w="0" w:type="pct"/>
            <w:noWrap/>
            <w:vAlign w:val="bottom"/>
            <w:hideMark/>
          </w:tcPr>
          <w:p w14:paraId="28E66C3C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BC675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26.83</w:t>
            </w:r>
          </w:p>
        </w:tc>
        <w:tc>
          <w:tcPr>
            <w:tcW w:w="0" w:type="pct"/>
            <w:vAlign w:val="bottom"/>
          </w:tcPr>
          <w:p w14:paraId="2AD300E8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BC675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40.54</w:t>
            </w:r>
          </w:p>
        </w:tc>
      </w:tr>
      <w:tr w:rsidR="00437997" w:rsidRPr="00DF2B0D" w14:paraId="7534715D" w14:textId="77777777" w:rsidTr="0031226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6FE7E630" w14:textId="77777777" w:rsidR="00437997" w:rsidRPr="00597241" w:rsidRDefault="00437997" w:rsidP="0031226D">
            <w:pPr>
              <w:spacing w:line="48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100</w:t>
            </w:r>
          </w:p>
        </w:tc>
        <w:tc>
          <w:tcPr>
            <w:tcW w:w="0" w:type="pct"/>
            <w:noWrap/>
            <w:hideMark/>
          </w:tcPr>
          <w:p w14:paraId="2E76A32B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0.47</w:t>
            </w:r>
          </w:p>
        </w:tc>
        <w:tc>
          <w:tcPr>
            <w:tcW w:w="0" w:type="pct"/>
            <w:noWrap/>
            <w:hideMark/>
          </w:tcPr>
          <w:p w14:paraId="185E7979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0.43</w:t>
            </w:r>
          </w:p>
        </w:tc>
        <w:tc>
          <w:tcPr>
            <w:tcW w:w="0" w:type="pct"/>
            <w:noWrap/>
            <w:hideMark/>
          </w:tcPr>
          <w:p w14:paraId="7B66CA0E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0.4</w:t>
            </w: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pct"/>
            <w:noWrap/>
            <w:hideMark/>
          </w:tcPr>
          <w:p w14:paraId="316276A5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0.37</w:t>
            </w:r>
          </w:p>
        </w:tc>
        <w:tc>
          <w:tcPr>
            <w:tcW w:w="0" w:type="pct"/>
            <w:noWrap/>
            <w:vAlign w:val="bottom"/>
            <w:hideMark/>
          </w:tcPr>
          <w:p w14:paraId="296E5FA6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BC675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9.30</w:t>
            </w:r>
          </w:p>
        </w:tc>
        <w:tc>
          <w:tcPr>
            <w:tcW w:w="0" w:type="pct"/>
            <w:vAlign w:val="bottom"/>
          </w:tcPr>
          <w:p w14:paraId="0A5836A1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BC675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27.03</w:t>
            </w:r>
          </w:p>
        </w:tc>
      </w:tr>
      <w:tr w:rsidR="00437997" w:rsidRPr="00DF2B0D" w14:paraId="44B2F821" w14:textId="77777777" w:rsidTr="003122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77EDE36F" w14:textId="77777777" w:rsidR="00437997" w:rsidRPr="00597241" w:rsidRDefault="00437997" w:rsidP="0031226D">
            <w:pPr>
              <w:spacing w:line="48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120</w:t>
            </w:r>
          </w:p>
        </w:tc>
        <w:tc>
          <w:tcPr>
            <w:tcW w:w="0" w:type="pct"/>
            <w:noWrap/>
            <w:hideMark/>
          </w:tcPr>
          <w:p w14:paraId="7C3B13D4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0.45</w:t>
            </w:r>
          </w:p>
        </w:tc>
        <w:tc>
          <w:tcPr>
            <w:tcW w:w="0" w:type="pct"/>
            <w:noWrap/>
            <w:hideMark/>
          </w:tcPr>
          <w:p w14:paraId="0174AB9F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0.43</w:t>
            </w:r>
          </w:p>
        </w:tc>
        <w:tc>
          <w:tcPr>
            <w:tcW w:w="0" w:type="pct"/>
            <w:noWrap/>
            <w:hideMark/>
          </w:tcPr>
          <w:p w14:paraId="73E8B31F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0.4</w:t>
            </w: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pct"/>
            <w:noWrap/>
            <w:hideMark/>
          </w:tcPr>
          <w:p w14:paraId="412CAD97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0.37</w:t>
            </w:r>
          </w:p>
        </w:tc>
        <w:tc>
          <w:tcPr>
            <w:tcW w:w="0" w:type="pct"/>
            <w:noWrap/>
            <w:vAlign w:val="bottom"/>
            <w:hideMark/>
          </w:tcPr>
          <w:p w14:paraId="6A0C4C80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BC675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4.65</w:t>
            </w:r>
          </w:p>
        </w:tc>
        <w:tc>
          <w:tcPr>
            <w:tcW w:w="0" w:type="pct"/>
            <w:vAlign w:val="bottom"/>
          </w:tcPr>
          <w:p w14:paraId="74DFB1C0" w14:textId="77777777" w:rsidR="00437997" w:rsidRPr="00597241" w:rsidRDefault="00437997" w:rsidP="0031226D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BC675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21.62</w:t>
            </w:r>
          </w:p>
        </w:tc>
      </w:tr>
      <w:tr w:rsidR="00437997" w:rsidRPr="00DF2B0D" w14:paraId="1D3A8196" w14:textId="77777777" w:rsidTr="0031226D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pct"/>
            <w:noWrap/>
            <w:hideMark/>
          </w:tcPr>
          <w:p w14:paraId="20E5DAB0" w14:textId="77777777" w:rsidR="00437997" w:rsidRPr="00597241" w:rsidRDefault="00437997" w:rsidP="0031226D">
            <w:pPr>
              <w:spacing w:line="480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150</w:t>
            </w:r>
          </w:p>
        </w:tc>
        <w:tc>
          <w:tcPr>
            <w:tcW w:w="0" w:type="pct"/>
            <w:noWrap/>
            <w:hideMark/>
          </w:tcPr>
          <w:p w14:paraId="2D035D77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0.43</w:t>
            </w:r>
          </w:p>
        </w:tc>
        <w:tc>
          <w:tcPr>
            <w:tcW w:w="0" w:type="pct"/>
            <w:noWrap/>
            <w:hideMark/>
          </w:tcPr>
          <w:p w14:paraId="75257BAA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0.4</w:t>
            </w: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</w:t>
            </w:r>
          </w:p>
        </w:tc>
        <w:tc>
          <w:tcPr>
            <w:tcW w:w="0" w:type="pct"/>
            <w:noWrap/>
            <w:hideMark/>
          </w:tcPr>
          <w:p w14:paraId="3A061601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0.38</w:t>
            </w:r>
          </w:p>
        </w:tc>
        <w:tc>
          <w:tcPr>
            <w:tcW w:w="0" w:type="pct"/>
            <w:noWrap/>
            <w:hideMark/>
          </w:tcPr>
          <w:p w14:paraId="1686F7E9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59724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0.37</w:t>
            </w:r>
          </w:p>
        </w:tc>
        <w:tc>
          <w:tcPr>
            <w:tcW w:w="0" w:type="pct"/>
            <w:noWrap/>
            <w:vAlign w:val="bottom"/>
            <w:hideMark/>
          </w:tcPr>
          <w:p w14:paraId="52E16D6D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BC675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7.50</w:t>
            </w:r>
          </w:p>
        </w:tc>
        <w:tc>
          <w:tcPr>
            <w:tcW w:w="0" w:type="pct"/>
            <w:vAlign w:val="bottom"/>
          </w:tcPr>
          <w:p w14:paraId="2D2FC8E3" w14:textId="77777777" w:rsidR="00437997" w:rsidRPr="00597241" w:rsidRDefault="00437997" w:rsidP="0031226D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</w:pPr>
            <w:r w:rsidRPr="00BC675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GB" w:eastAsia="en-GB"/>
              </w:rPr>
              <w:t>16.22</w:t>
            </w:r>
          </w:p>
        </w:tc>
      </w:tr>
    </w:tbl>
    <w:p w14:paraId="688A1827" w14:textId="77777777" w:rsidR="00437997" w:rsidRDefault="00437997" w:rsidP="00437997">
      <w:pPr>
        <w:spacing w:line="480" w:lineRule="auto"/>
        <w:rPr>
          <w:rFonts w:asciiTheme="majorHAnsi" w:hAnsiTheme="majorHAnsi" w:cstheme="majorHAnsi"/>
          <w:sz w:val="18"/>
          <w:szCs w:val="18"/>
          <w:lang w:val="en-GB"/>
        </w:rPr>
      </w:pPr>
      <w:r w:rsidRPr="00DF2B0D">
        <w:rPr>
          <w:rFonts w:asciiTheme="majorHAnsi" w:hAnsiTheme="majorHAnsi" w:cstheme="majorHAnsi"/>
          <w:sz w:val="18"/>
          <w:szCs w:val="18"/>
          <w:lang w:val="en-GB"/>
        </w:rPr>
        <w:t xml:space="preserve">Candidates were selected from the </w:t>
      </w:r>
      <w:proofErr w:type="gramStart"/>
      <w:r w:rsidRPr="00DF2B0D">
        <w:rPr>
          <w:rFonts w:asciiTheme="majorHAnsi" w:hAnsiTheme="majorHAnsi" w:cstheme="majorHAnsi"/>
          <w:sz w:val="18"/>
          <w:szCs w:val="18"/>
          <w:lang w:val="en-GB"/>
        </w:rPr>
        <w:t>held-out</w:t>
      </w:r>
      <w:proofErr w:type="gramEnd"/>
      <w:r w:rsidRPr="00DF2B0D">
        <w:rPr>
          <w:rFonts w:asciiTheme="majorHAnsi" w:hAnsiTheme="majorHAnsi" w:cstheme="majorHAnsi"/>
          <w:sz w:val="18"/>
          <w:szCs w:val="18"/>
          <w:lang w:val="en-GB"/>
        </w:rPr>
        <w:t xml:space="preserve"> set of the short protocol sub-cohort (191 patients).</w:t>
      </w:r>
    </w:p>
    <w:p w14:paraId="14CD8702" w14:textId="77777777" w:rsidR="00437997" w:rsidRPr="00DF2B0D" w:rsidRDefault="00437997" w:rsidP="00437997">
      <w:pPr>
        <w:spacing w:line="480" w:lineRule="auto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sz w:val="18"/>
          <w:szCs w:val="18"/>
          <w:lang w:val="en-GB"/>
        </w:rPr>
        <w:t xml:space="preserve">CST, </w:t>
      </w:r>
      <w:r w:rsidRPr="006C597F">
        <w:rPr>
          <w:rFonts w:asciiTheme="majorHAnsi" w:hAnsiTheme="majorHAnsi" w:cstheme="majorHAnsi"/>
          <w:sz w:val="18"/>
          <w:szCs w:val="18"/>
          <w:lang w:val="en-GB"/>
        </w:rPr>
        <w:t>central retinal subfield thickness</w:t>
      </w:r>
      <w:r>
        <w:rPr>
          <w:rFonts w:asciiTheme="majorHAnsi" w:hAnsiTheme="majorHAnsi" w:cstheme="majorHAnsi"/>
          <w:sz w:val="18"/>
          <w:szCs w:val="18"/>
          <w:lang w:val="en-GB"/>
        </w:rPr>
        <w:t>.</w:t>
      </w:r>
    </w:p>
    <w:p w14:paraId="7A6ADEDD" w14:textId="77777777" w:rsidR="000A361A" w:rsidRPr="00437997" w:rsidRDefault="000A361A">
      <w:pPr>
        <w:rPr>
          <w:lang w:val="en-GB"/>
        </w:rPr>
      </w:pPr>
    </w:p>
    <w:sectPr w:rsidR="000A361A" w:rsidRPr="00437997">
      <w:footerReference w:type="even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54152330"/>
      <w:docPartObj>
        <w:docPartGallery w:val="Page Numbers (Bottom of Page)"/>
        <w:docPartUnique/>
      </w:docPartObj>
    </w:sdtPr>
    <w:sdtContent>
      <w:p w14:paraId="4DB29AFD" w14:textId="77777777" w:rsidR="00857D3C" w:rsidRDefault="00000000" w:rsidP="00A444C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18</w:t>
        </w:r>
        <w:r>
          <w:rPr>
            <w:rStyle w:val="PageNumber"/>
          </w:rPr>
          <w:fldChar w:fldCharType="end"/>
        </w:r>
      </w:p>
    </w:sdtContent>
  </w:sdt>
  <w:p w14:paraId="57F0B30D" w14:textId="77777777" w:rsidR="00857D3C" w:rsidRDefault="00000000" w:rsidP="00857D3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Theme="majorHAnsi" w:hAnsiTheme="majorHAnsi" w:cstheme="majorHAnsi"/>
      </w:rPr>
      <w:id w:val="-1725822870"/>
      <w:docPartObj>
        <w:docPartGallery w:val="Page Numbers (Bottom of Page)"/>
        <w:docPartUnique/>
      </w:docPartObj>
    </w:sdtPr>
    <w:sdtContent>
      <w:p w14:paraId="705B1C8F" w14:textId="77777777" w:rsidR="00857D3C" w:rsidRPr="00DF2B0D" w:rsidRDefault="00000000" w:rsidP="00A444C3">
        <w:pPr>
          <w:pStyle w:val="Footer"/>
          <w:framePr w:wrap="none" w:vAnchor="text" w:hAnchor="margin" w:xAlign="right" w:y="1"/>
          <w:rPr>
            <w:rStyle w:val="PageNumber"/>
            <w:rFonts w:asciiTheme="majorHAnsi" w:hAnsiTheme="majorHAnsi" w:cstheme="majorHAnsi"/>
          </w:rPr>
        </w:pPr>
        <w:r w:rsidRPr="00DF2B0D">
          <w:rPr>
            <w:rStyle w:val="PageNumber"/>
            <w:rFonts w:asciiTheme="majorHAnsi" w:hAnsiTheme="majorHAnsi" w:cstheme="majorHAnsi"/>
          </w:rPr>
          <w:fldChar w:fldCharType="begin"/>
        </w:r>
        <w:r w:rsidRPr="00597241">
          <w:rPr>
            <w:rStyle w:val="PageNumber"/>
            <w:rFonts w:asciiTheme="majorHAnsi" w:hAnsiTheme="majorHAnsi" w:cstheme="majorHAnsi"/>
          </w:rPr>
          <w:instrText xml:space="preserve"> PAGE </w:instrText>
        </w:r>
        <w:r w:rsidRPr="00DF2B0D">
          <w:rPr>
            <w:rStyle w:val="PageNumber"/>
            <w:rFonts w:asciiTheme="majorHAnsi" w:hAnsiTheme="majorHAnsi" w:cstheme="majorHAnsi"/>
          </w:rPr>
          <w:fldChar w:fldCharType="separate"/>
        </w:r>
        <w:r w:rsidRPr="00597241">
          <w:rPr>
            <w:rStyle w:val="PageNumber"/>
            <w:rFonts w:asciiTheme="majorHAnsi" w:hAnsiTheme="majorHAnsi" w:cstheme="majorHAnsi"/>
            <w:noProof/>
          </w:rPr>
          <w:t>1</w:t>
        </w:r>
        <w:r w:rsidRPr="00DF2B0D">
          <w:rPr>
            <w:rStyle w:val="PageNumber"/>
            <w:rFonts w:asciiTheme="majorHAnsi" w:hAnsiTheme="majorHAnsi" w:cstheme="majorHAnsi"/>
          </w:rPr>
          <w:fldChar w:fldCharType="end"/>
        </w:r>
      </w:p>
    </w:sdtContent>
  </w:sdt>
  <w:p w14:paraId="7263810C" w14:textId="77777777" w:rsidR="00857D3C" w:rsidRPr="00DF2B0D" w:rsidRDefault="00000000" w:rsidP="00857D3C">
    <w:pPr>
      <w:pStyle w:val="Footer"/>
      <w:ind w:right="360"/>
      <w:rPr>
        <w:rFonts w:asciiTheme="majorHAnsi" w:hAnsiTheme="majorHAnsi" w:cstheme="majorHAnsi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997"/>
    <w:rsid w:val="000A361A"/>
    <w:rsid w:val="00266581"/>
    <w:rsid w:val="0043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C15C92"/>
  <w15:chartTrackingRefBased/>
  <w15:docId w15:val="{3EDB3E37-5D1A-944B-BD2E-70028E773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997"/>
  </w:style>
  <w:style w:type="paragraph" w:styleId="Heading1">
    <w:name w:val="heading 1"/>
    <w:basedOn w:val="Normal"/>
    <w:next w:val="Normal"/>
    <w:link w:val="Heading1Char"/>
    <w:uiPriority w:val="9"/>
    <w:qFormat/>
    <w:rsid w:val="0043799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799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79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799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437997"/>
    <w:pPr>
      <w:spacing w:after="200"/>
    </w:pPr>
    <w:rPr>
      <w:i/>
      <w:iCs/>
      <w:color w:val="44546A" w:themeColor="text2"/>
      <w:sz w:val="18"/>
      <w:szCs w:val="18"/>
    </w:rPr>
  </w:style>
  <w:style w:type="table" w:styleId="GridTable4-Accent3">
    <w:name w:val="Grid Table 4 Accent 3"/>
    <w:basedOn w:val="TableNormal"/>
    <w:uiPriority w:val="49"/>
    <w:rsid w:val="0043799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Footer">
    <w:name w:val="footer"/>
    <w:basedOn w:val="Normal"/>
    <w:link w:val="FooterChar"/>
    <w:uiPriority w:val="99"/>
    <w:unhideWhenUsed/>
    <w:rsid w:val="0043799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7997"/>
  </w:style>
  <w:style w:type="character" w:styleId="PageNumber">
    <w:name w:val="page number"/>
    <w:basedOn w:val="DefaultParagraphFont"/>
    <w:uiPriority w:val="99"/>
    <w:semiHidden/>
    <w:unhideWhenUsed/>
    <w:rsid w:val="004379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footer" Target="footer2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432</Words>
  <Characters>2464</Characters>
  <Application>Microsoft Office Word</Application>
  <DocSecurity>0</DocSecurity>
  <Lines>20</Lines>
  <Paragraphs>5</Paragraphs>
  <ScaleCrop>false</ScaleCrop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Chorev</dc:creator>
  <cp:keywords/>
  <dc:description/>
  <cp:lastModifiedBy>Michal Chorev</cp:lastModifiedBy>
  <cp:revision>1</cp:revision>
  <dcterms:created xsi:type="dcterms:W3CDTF">2022-09-27T01:36:00Z</dcterms:created>
  <dcterms:modified xsi:type="dcterms:W3CDTF">2022-09-27T01:36:00Z</dcterms:modified>
</cp:coreProperties>
</file>