
<file path=[Content_Types].xml><?xml version="1.0" encoding="utf-8"?>
<Types xmlns="http://schemas.openxmlformats.org/package/2006/content-types">
  <Default Extension="emf" ContentType="image/x-emf"/>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36450E7" w14:textId="77777777" w:rsidR="00B71DA2" w:rsidRDefault="00B71DA2" w:rsidP="00B71DA2">
      <w:pPr>
        <w:rPr>
          <w:rFonts w:ascii="Arial" w:hAnsi="Arial" w:cs="Arial"/>
          <w:b/>
          <w:bCs/>
        </w:rPr>
      </w:pPr>
      <w:r>
        <w:rPr>
          <w:rFonts w:ascii="Arial" w:hAnsi="Arial" w:cs="Arial"/>
          <w:b/>
          <w:bCs/>
        </w:rPr>
        <w:t>SUPPLEMENTARY</w:t>
      </w:r>
    </w:p>
    <w:p w14:paraId="2A808C41" w14:textId="77777777" w:rsidR="00B71DA2" w:rsidRDefault="00B71DA2" w:rsidP="00B71DA2">
      <w:pPr>
        <w:jc w:val="both"/>
        <w:rPr>
          <w:rFonts w:ascii="Arial" w:hAnsi="Arial" w:cs="Arial"/>
        </w:rPr>
      </w:pPr>
      <w:bookmarkStart w:id="0" w:name="_Toc460994260"/>
      <w:bookmarkStart w:id="1" w:name="_Toc492457161"/>
      <w:bookmarkStart w:id="2" w:name="_Toc68664880"/>
      <w:r>
        <w:rPr>
          <w:rFonts w:ascii="Arial" w:hAnsi="Arial" w:cs="Arial"/>
          <w:b/>
          <w:bCs/>
        </w:rPr>
        <w:t xml:space="preserve">Supplementary text 1. </w:t>
      </w:r>
      <w:r>
        <w:rPr>
          <w:rFonts w:ascii="Arial" w:hAnsi="Arial" w:cs="Arial"/>
        </w:rPr>
        <w:t>Inclusion and exclusion criteria</w:t>
      </w:r>
    </w:p>
    <w:p w14:paraId="20916764" w14:textId="77777777" w:rsidR="00B71DA2" w:rsidRPr="00DD7178" w:rsidRDefault="00B71DA2" w:rsidP="00B71DA2">
      <w:pPr>
        <w:jc w:val="both"/>
        <w:rPr>
          <w:rFonts w:ascii="Arial" w:hAnsi="Arial" w:cs="Arial"/>
        </w:rPr>
      </w:pPr>
      <w:r w:rsidRPr="00DD7178">
        <w:rPr>
          <w:rFonts w:ascii="Arial" w:hAnsi="Arial" w:cs="Arial"/>
        </w:rPr>
        <w:t xml:space="preserve">The following eligibility criteria are designed to select patients for whom protocol treatment is considered appropriate.  Patients will be recruited from a population of patients with </w:t>
      </w:r>
      <w:r w:rsidRPr="00DD7178">
        <w:rPr>
          <w:rFonts w:ascii="Arial" w:hAnsi="Arial" w:cs="Arial"/>
          <w:lang w:eastAsia="zh-TW"/>
        </w:rPr>
        <w:t>recurrent of metastatic SGT</w:t>
      </w:r>
      <w:r w:rsidRPr="00DD7178">
        <w:rPr>
          <w:rFonts w:ascii="Arial" w:hAnsi="Arial" w:cs="Arial"/>
        </w:rPr>
        <w:t xml:space="preserve"> referred to Princess Margaret Cancer Centre. </w:t>
      </w:r>
    </w:p>
    <w:p w14:paraId="05382FA3" w14:textId="77777777" w:rsidR="00B71DA2" w:rsidRPr="00DD7178" w:rsidRDefault="00B71DA2" w:rsidP="00B71DA2">
      <w:pPr>
        <w:jc w:val="both"/>
        <w:rPr>
          <w:rFonts w:ascii="Arial" w:hAnsi="Arial" w:cs="Arial"/>
          <w:lang w:eastAsia="zh-TW"/>
        </w:rPr>
      </w:pPr>
      <w:r w:rsidRPr="00DD7178">
        <w:rPr>
          <w:rFonts w:ascii="Arial" w:hAnsi="Arial" w:cs="Arial"/>
          <w:lang w:eastAsia="zh-TW"/>
        </w:rPr>
        <w:t>Enrollment into Phase 1 (molecular profiling phase) is mandatory for enrollment on the study as molecular profiling is a critical element of this study. However, enrollment into Phase 2 is neither required nor guaranteed by enrollment into the profiling phase. Patients must have a performance score of 0 to 1 to be enrolled into either phase of the study.</w:t>
      </w:r>
    </w:p>
    <w:p w14:paraId="57883E8E" w14:textId="77777777" w:rsidR="00B71DA2" w:rsidRPr="00DD7178" w:rsidRDefault="00B71DA2" w:rsidP="00B71DA2">
      <w:pPr>
        <w:rPr>
          <w:rFonts w:ascii="Arial" w:hAnsi="Arial" w:cs="Arial"/>
          <w:lang w:eastAsia="zh-TW"/>
        </w:rPr>
      </w:pPr>
    </w:p>
    <w:p w14:paraId="20D4AC39" w14:textId="77777777" w:rsidR="00B71DA2" w:rsidRPr="00DD7178" w:rsidRDefault="00B71DA2" w:rsidP="00B71DA2">
      <w:pPr>
        <w:rPr>
          <w:rFonts w:ascii="Arial" w:hAnsi="Arial" w:cs="Arial"/>
        </w:rPr>
      </w:pPr>
      <w:r w:rsidRPr="00DD7178">
        <w:rPr>
          <w:rFonts w:ascii="Arial" w:hAnsi="Arial" w:cs="Arial"/>
        </w:rPr>
        <w:t>All relevant medical and non-medical conditions should be considered when deciding whether this protocol is suitable for a particular patient.</w:t>
      </w:r>
    </w:p>
    <w:p w14:paraId="19DFC9FF" w14:textId="77777777" w:rsidR="00B71DA2" w:rsidRPr="00DD7178" w:rsidRDefault="00B71DA2" w:rsidP="00B71DA2">
      <w:pPr>
        <w:rPr>
          <w:rFonts w:ascii="Arial" w:hAnsi="Arial" w:cs="Arial"/>
        </w:rPr>
      </w:pPr>
    </w:p>
    <w:p w14:paraId="3954F376" w14:textId="77777777" w:rsidR="00B71DA2" w:rsidRPr="00735AEB" w:rsidRDefault="00B71DA2" w:rsidP="00B71DA2">
      <w:pPr>
        <w:pStyle w:val="Heading2"/>
        <w:numPr>
          <w:ilvl w:val="0"/>
          <w:numId w:val="0"/>
        </w:numPr>
        <w:ind w:left="720" w:hanging="720"/>
        <w:jc w:val="both"/>
        <w:rPr>
          <w:rFonts w:cs="Arial"/>
          <w:bCs/>
          <w:sz w:val="22"/>
          <w:szCs w:val="22"/>
          <w:u w:val="single"/>
        </w:rPr>
      </w:pPr>
      <w:bookmarkStart w:id="3" w:name="_Toc245961793"/>
      <w:bookmarkStart w:id="4" w:name="_Toc429670192"/>
      <w:bookmarkStart w:id="5" w:name="_Toc78027868"/>
      <w:r w:rsidRPr="00735AEB">
        <w:rPr>
          <w:rFonts w:cs="Arial"/>
          <w:bCs/>
          <w:sz w:val="22"/>
          <w:szCs w:val="22"/>
          <w:u w:val="single"/>
        </w:rPr>
        <w:t xml:space="preserve">Inclusion </w:t>
      </w:r>
      <w:bookmarkEnd w:id="0"/>
      <w:bookmarkEnd w:id="1"/>
      <w:bookmarkEnd w:id="2"/>
      <w:bookmarkEnd w:id="3"/>
      <w:r w:rsidRPr="00735AEB">
        <w:rPr>
          <w:rFonts w:cs="Arial"/>
          <w:bCs/>
          <w:sz w:val="22"/>
          <w:szCs w:val="22"/>
          <w:u w:val="single"/>
        </w:rPr>
        <w:t>criteria</w:t>
      </w:r>
      <w:bookmarkEnd w:id="4"/>
      <w:bookmarkEnd w:id="5"/>
    </w:p>
    <w:p w14:paraId="0B0CB5B6" w14:textId="77777777" w:rsidR="00B71DA2" w:rsidRPr="00DD7178" w:rsidRDefault="00B71DA2" w:rsidP="00B71DA2">
      <w:pPr>
        <w:jc w:val="both"/>
        <w:rPr>
          <w:rFonts w:ascii="Arial" w:hAnsi="Arial" w:cs="Arial"/>
        </w:rPr>
      </w:pPr>
    </w:p>
    <w:p w14:paraId="01A3B14E" w14:textId="77777777" w:rsidR="00B71DA2" w:rsidRPr="00DD7178" w:rsidRDefault="00B71DA2" w:rsidP="00B71DA2">
      <w:pPr>
        <w:jc w:val="both"/>
        <w:rPr>
          <w:rFonts w:ascii="Arial" w:hAnsi="Arial" w:cs="Arial"/>
          <w:lang w:eastAsia="zh-TW"/>
        </w:rPr>
      </w:pPr>
      <w:r w:rsidRPr="00DD7178">
        <w:rPr>
          <w:rFonts w:ascii="Arial" w:hAnsi="Arial" w:cs="Arial"/>
        </w:rPr>
        <w:t>Each patient must meet all of the following criteria to be enrolled in this study:</w:t>
      </w:r>
    </w:p>
    <w:p w14:paraId="7FD5BAEC" w14:textId="77777777" w:rsidR="00B71DA2" w:rsidRPr="00DD7178" w:rsidRDefault="00B71DA2" w:rsidP="00B71DA2">
      <w:pPr>
        <w:jc w:val="both"/>
        <w:rPr>
          <w:rFonts w:ascii="Arial" w:hAnsi="Arial" w:cs="Arial"/>
          <w:u w:val="single"/>
          <w:lang w:val="en-CA" w:eastAsia="zh-TW"/>
        </w:rPr>
      </w:pPr>
      <w:r w:rsidRPr="00DD7178">
        <w:rPr>
          <w:rFonts w:ascii="Arial" w:hAnsi="Arial" w:cs="Arial"/>
          <w:u w:val="single"/>
          <w:lang w:val="en-CA" w:eastAsia="zh-TW"/>
        </w:rPr>
        <w:t>Enrollment in the profiling phase (Phase 1) requires:</w:t>
      </w:r>
    </w:p>
    <w:p w14:paraId="4570FBC7" w14:textId="77777777" w:rsidR="00B71DA2" w:rsidRPr="00DD7178" w:rsidRDefault="00B71DA2" w:rsidP="00B71DA2">
      <w:pPr>
        <w:widowControl w:val="0"/>
        <w:numPr>
          <w:ilvl w:val="0"/>
          <w:numId w:val="2"/>
        </w:numPr>
        <w:spacing w:after="0" w:line="240" w:lineRule="auto"/>
        <w:jc w:val="both"/>
        <w:rPr>
          <w:rFonts w:ascii="Arial" w:hAnsi="Arial" w:cs="Arial"/>
          <w:lang w:eastAsia="zh-TW"/>
        </w:rPr>
      </w:pPr>
      <w:r w:rsidRPr="00DD7178">
        <w:rPr>
          <w:rFonts w:ascii="Arial" w:hAnsi="Arial" w:cs="Arial"/>
          <w:lang w:eastAsia="zh-TW"/>
        </w:rPr>
        <w:t>Patients must have available archival tumor tissue (Frozen or FFPE) or fresh tumor specimen from histological tissue for molecular profiling.</w:t>
      </w:r>
    </w:p>
    <w:p w14:paraId="1A77D30B" w14:textId="77777777" w:rsidR="00B71DA2" w:rsidRPr="00DD7178" w:rsidRDefault="00B71DA2" w:rsidP="00B71DA2">
      <w:pPr>
        <w:widowControl w:val="0"/>
        <w:numPr>
          <w:ilvl w:val="0"/>
          <w:numId w:val="2"/>
        </w:numPr>
        <w:spacing w:after="0" w:line="240" w:lineRule="auto"/>
        <w:jc w:val="both"/>
        <w:rPr>
          <w:rFonts w:ascii="Arial" w:hAnsi="Arial" w:cs="Arial"/>
          <w:lang w:eastAsia="zh-TW"/>
        </w:rPr>
      </w:pPr>
      <w:r w:rsidRPr="00DD7178">
        <w:rPr>
          <w:rFonts w:ascii="Arial" w:hAnsi="Arial" w:cs="Arial"/>
          <w:lang w:eastAsia="zh-TW"/>
        </w:rPr>
        <w:t>Histological or cytological proof of malignant salivary gland tumor.</w:t>
      </w:r>
    </w:p>
    <w:p w14:paraId="01E806FF" w14:textId="77777777" w:rsidR="00B71DA2" w:rsidRPr="00DD7178" w:rsidRDefault="00B71DA2" w:rsidP="00B71DA2">
      <w:pPr>
        <w:widowControl w:val="0"/>
        <w:numPr>
          <w:ilvl w:val="0"/>
          <w:numId w:val="2"/>
        </w:numPr>
        <w:spacing w:after="0" w:line="240" w:lineRule="auto"/>
        <w:jc w:val="both"/>
        <w:rPr>
          <w:rFonts w:ascii="Arial" w:hAnsi="Arial" w:cs="Arial"/>
          <w:lang w:eastAsia="zh-TW"/>
        </w:rPr>
      </w:pPr>
      <w:r w:rsidRPr="00DD7178">
        <w:rPr>
          <w:rFonts w:ascii="Arial" w:hAnsi="Arial" w:cs="Arial"/>
          <w:lang w:eastAsia="zh-TW"/>
        </w:rPr>
        <w:t>ECOG performance score 0-1.</w:t>
      </w:r>
    </w:p>
    <w:p w14:paraId="3D610861" w14:textId="77777777" w:rsidR="00B71DA2" w:rsidRPr="00DD7178" w:rsidRDefault="00B71DA2" w:rsidP="00B71DA2">
      <w:pPr>
        <w:widowControl w:val="0"/>
        <w:numPr>
          <w:ilvl w:val="0"/>
          <w:numId w:val="2"/>
        </w:numPr>
        <w:spacing w:after="0" w:line="240" w:lineRule="auto"/>
        <w:jc w:val="both"/>
        <w:rPr>
          <w:rFonts w:ascii="Arial" w:hAnsi="Arial" w:cs="Arial"/>
          <w:lang w:eastAsia="zh-TW"/>
        </w:rPr>
      </w:pPr>
      <w:r w:rsidRPr="00DD7178">
        <w:rPr>
          <w:rFonts w:ascii="Arial" w:hAnsi="Arial" w:cs="Arial"/>
          <w:lang w:eastAsia="zh-TW"/>
        </w:rPr>
        <w:t>Documented evidence of recurrent or metastatic SGT.</w:t>
      </w:r>
    </w:p>
    <w:p w14:paraId="4E8B3D5E" w14:textId="77777777" w:rsidR="00B71DA2" w:rsidRPr="00735AEB" w:rsidRDefault="00B71DA2" w:rsidP="00B71DA2">
      <w:pPr>
        <w:jc w:val="both"/>
        <w:rPr>
          <w:rFonts w:ascii="Arial" w:hAnsi="Arial" w:cs="Arial"/>
          <w:u w:val="single"/>
          <w:lang w:eastAsia="zh-TW"/>
        </w:rPr>
      </w:pPr>
    </w:p>
    <w:p w14:paraId="4EBE1E9B" w14:textId="77777777" w:rsidR="00B71DA2" w:rsidRPr="00DD7178" w:rsidRDefault="00B71DA2" w:rsidP="00B71DA2">
      <w:pPr>
        <w:jc w:val="both"/>
        <w:rPr>
          <w:rFonts w:ascii="Arial" w:hAnsi="Arial" w:cs="Arial"/>
          <w:u w:val="single"/>
          <w:lang w:val="en-CA" w:eastAsia="zh-TW"/>
        </w:rPr>
      </w:pPr>
      <w:r w:rsidRPr="00DD7178">
        <w:rPr>
          <w:rFonts w:ascii="Arial" w:hAnsi="Arial" w:cs="Arial"/>
          <w:u w:val="single"/>
          <w:lang w:val="en-CA" w:eastAsia="zh-TW"/>
        </w:rPr>
        <w:t>Enrollment in the treatment phase (Phase 2) requires:</w:t>
      </w:r>
    </w:p>
    <w:p w14:paraId="6EA909E1" w14:textId="77777777" w:rsidR="00B71DA2" w:rsidRPr="00DD7178" w:rsidRDefault="00B71DA2" w:rsidP="00B71DA2">
      <w:pPr>
        <w:jc w:val="both"/>
        <w:rPr>
          <w:rFonts w:ascii="Arial" w:hAnsi="Arial" w:cs="Arial"/>
          <w:lang w:val="en-CA"/>
        </w:rPr>
      </w:pPr>
      <w:r w:rsidRPr="00DD7178">
        <w:rPr>
          <w:rFonts w:ascii="Arial" w:hAnsi="Arial" w:cs="Arial"/>
          <w:lang w:val="en-CA"/>
        </w:rPr>
        <w:t>NOTE:</w:t>
      </w:r>
    </w:p>
    <w:p w14:paraId="65ECFA51" w14:textId="77777777" w:rsidR="00B71DA2" w:rsidRPr="00DD7178" w:rsidRDefault="00B71DA2" w:rsidP="00B71DA2">
      <w:pPr>
        <w:pStyle w:val="ListParagraph"/>
        <w:widowControl w:val="0"/>
        <w:numPr>
          <w:ilvl w:val="0"/>
          <w:numId w:val="7"/>
        </w:numPr>
        <w:spacing w:after="0" w:line="240" w:lineRule="auto"/>
        <w:jc w:val="both"/>
        <w:rPr>
          <w:rFonts w:ascii="Arial" w:hAnsi="Arial" w:cs="Arial"/>
          <w:lang w:val="en-CA" w:eastAsia="zh-TW"/>
        </w:rPr>
      </w:pPr>
      <w:r w:rsidRPr="00DD7178">
        <w:rPr>
          <w:rFonts w:ascii="Arial" w:hAnsi="Arial" w:cs="Arial"/>
          <w:lang w:val="en-CA" w:eastAsia="zh-TW"/>
        </w:rPr>
        <w:t xml:space="preserve">If the matched treatment is in the context of another phase I trial, the eligibility criteria of the enrolled trial will be used instead of the criteria from this trial. </w:t>
      </w:r>
    </w:p>
    <w:p w14:paraId="4F4BDFC0" w14:textId="77777777" w:rsidR="00B71DA2" w:rsidRPr="00DD7178" w:rsidRDefault="00B71DA2" w:rsidP="00B71DA2">
      <w:pPr>
        <w:pStyle w:val="ListParagraph"/>
        <w:widowControl w:val="0"/>
        <w:numPr>
          <w:ilvl w:val="0"/>
          <w:numId w:val="7"/>
        </w:numPr>
        <w:spacing w:after="0" w:line="240" w:lineRule="auto"/>
        <w:jc w:val="both"/>
        <w:rPr>
          <w:rFonts w:ascii="Arial" w:hAnsi="Arial" w:cs="Arial"/>
          <w:lang w:val="en-CA" w:eastAsia="zh-TW"/>
        </w:rPr>
      </w:pPr>
      <w:r w:rsidRPr="00DD7178">
        <w:rPr>
          <w:rFonts w:ascii="Arial" w:hAnsi="Arial" w:cs="Arial"/>
          <w:lang w:val="en-CA" w:eastAsia="zh-TW"/>
        </w:rPr>
        <w:t>If matched treatment is provided outside a clinical trial, the eligibility requirement and treatment decision will be as per the discretion of the treating physician.</w:t>
      </w:r>
    </w:p>
    <w:p w14:paraId="2CD398ED" w14:textId="77777777" w:rsidR="00B71DA2" w:rsidRPr="00DD7178" w:rsidRDefault="00B71DA2" w:rsidP="00B71DA2">
      <w:pPr>
        <w:pStyle w:val="ListParagraph"/>
        <w:jc w:val="both"/>
        <w:rPr>
          <w:rFonts w:ascii="Arial" w:hAnsi="Arial" w:cs="Arial"/>
          <w:lang w:val="en-CA" w:eastAsia="zh-TW"/>
        </w:rPr>
      </w:pPr>
    </w:p>
    <w:p w14:paraId="4C9E7D36" w14:textId="77777777" w:rsidR="00B71DA2" w:rsidRPr="00735AEB" w:rsidRDefault="00B71DA2" w:rsidP="00B71DA2">
      <w:pPr>
        <w:pStyle w:val="Heading2"/>
        <w:numPr>
          <w:ilvl w:val="0"/>
          <w:numId w:val="0"/>
        </w:numPr>
        <w:ind w:left="720" w:hanging="720"/>
        <w:jc w:val="both"/>
        <w:rPr>
          <w:rFonts w:cs="Arial"/>
          <w:bCs/>
          <w:sz w:val="22"/>
          <w:szCs w:val="22"/>
          <w:u w:val="single"/>
        </w:rPr>
      </w:pPr>
      <w:bookmarkStart w:id="6" w:name="_Toc245961798"/>
      <w:bookmarkStart w:id="7" w:name="_Toc429670193"/>
      <w:bookmarkStart w:id="8" w:name="_Toc78027869"/>
      <w:r w:rsidRPr="00735AEB">
        <w:rPr>
          <w:rFonts w:cs="Arial"/>
          <w:bCs/>
          <w:sz w:val="22"/>
          <w:szCs w:val="22"/>
          <w:u w:val="single"/>
        </w:rPr>
        <w:t xml:space="preserve">Exclusion </w:t>
      </w:r>
      <w:bookmarkEnd w:id="6"/>
      <w:r w:rsidRPr="00735AEB">
        <w:rPr>
          <w:rFonts w:cs="Arial"/>
          <w:bCs/>
          <w:sz w:val="22"/>
          <w:szCs w:val="22"/>
          <w:u w:val="single"/>
        </w:rPr>
        <w:t>criteria</w:t>
      </w:r>
      <w:bookmarkEnd w:id="7"/>
      <w:bookmarkEnd w:id="8"/>
    </w:p>
    <w:p w14:paraId="77365489" w14:textId="77777777" w:rsidR="00B71DA2" w:rsidRPr="00DD7178" w:rsidRDefault="00B71DA2" w:rsidP="00B71DA2">
      <w:pPr>
        <w:jc w:val="both"/>
        <w:rPr>
          <w:rFonts w:ascii="Arial" w:hAnsi="Arial" w:cs="Arial"/>
        </w:rPr>
      </w:pPr>
    </w:p>
    <w:p w14:paraId="7A55F664" w14:textId="77777777" w:rsidR="00B71DA2" w:rsidRPr="00DD7178" w:rsidRDefault="00B71DA2" w:rsidP="00B71DA2">
      <w:pPr>
        <w:jc w:val="both"/>
        <w:rPr>
          <w:rFonts w:ascii="Arial" w:hAnsi="Arial" w:cs="Arial"/>
          <w:u w:val="single"/>
          <w:lang w:val="en-CA" w:eastAsia="zh-TW"/>
        </w:rPr>
      </w:pPr>
      <w:r w:rsidRPr="00DD7178">
        <w:rPr>
          <w:rFonts w:ascii="Arial" w:hAnsi="Arial" w:cs="Arial"/>
          <w:u w:val="single"/>
          <w:lang w:val="en-CA" w:eastAsia="zh-TW"/>
        </w:rPr>
        <w:t>Exclusion criteria for molecular profiling (Phase 1)</w:t>
      </w:r>
    </w:p>
    <w:p w14:paraId="4EDA4673" w14:textId="77777777" w:rsidR="00B71DA2" w:rsidRPr="00DD7178" w:rsidRDefault="00B71DA2" w:rsidP="00B71DA2">
      <w:pPr>
        <w:widowControl w:val="0"/>
        <w:numPr>
          <w:ilvl w:val="0"/>
          <w:numId w:val="3"/>
        </w:numPr>
        <w:spacing w:after="0" w:line="240" w:lineRule="auto"/>
        <w:jc w:val="both"/>
        <w:rPr>
          <w:rFonts w:ascii="Arial" w:hAnsi="Arial" w:cs="Arial"/>
          <w:lang w:eastAsia="zh-TW"/>
        </w:rPr>
      </w:pPr>
      <w:r w:rsidRPr="00DD7178">
        <w:rPr>
          <w:rFonts w:ascii="Arial" w:hAnsi="Arial" w:cs="Arial"/>
          <w:lang w:eastAsia="zh-TW"/>
        </w:rPr>
        <w:t>Patient refuses to consent to the use of his/her primary or metastatic SGT tissue for molecular profiling.</w:t>
      </w:r>
    </w:p>
    <w:p w14:paraId="26CD87D0" w14:textId="77777777" w:rsidR="00B71DA2" w:rsidRPr="00DD7178" w:rsidRDefault="00B71DA2" w:rsidP="00B71DA2">
      <w:pPr>
        <w:widowControl w:val="0"/>
        <w:numPr>
          <w:ilvl w:val="0"/>
          <w:numId w:val="3"/>
        </w:numPr>
        <w:spacing w:after="0" w:line="240" w:lineRule="auto"/>
        <w:jc w:val="both"/>
        <w:rPr>
          <w:rFonts w:ascii="Arial" w:hAnsi="Arial" w:cs="Arial"/>
          <w:lang w:eastAsia="zh-TW"/>
        </w:rPr>
      </w:pPr>
      <w:r w:rsidRPr="00DD7178">
        <w:rPr>
          <w:rFonts w:ascii="Arial" w:hAnsi="Arial" w:cs="Arial"/>
          <w:lang w:eastAsia="zh-TW"/>
        </w:rPr>
        <w:t>The amount of tumor sample is inadequate for standard molecular profiling as assessed by P</w:t>
      </w:r>
      <w:r>
        <w:rPr>
          <w:rFonts w:ascii="Arial" w:hAnsi="Arial" w:cs="Arial"/>
          <w:lang w:eastAsia="zh-TW"/>
        </w:rPr>
        <w:t>rincess Margaret Cancer Centre</w:t>
      </w:r>
      <w:r w:rsidRPr="00DD7178">
        <w:rPr>
          <w:rFonts w:ascii="Arial" w:hAnsi="Arial" w:cs="Arial"/>
          <w:lang w:eastAsia="zh-TW"/>
        </w:rPr>
        <w:t xml:space="preserve"> pathologist.</w:t>
      </w:r>
    </w:p>
    <w:p w14:paraId="35E00ED4" w14:textId="77777777" w:rsidR="00B71DA2" w:rsidRPr="00DD7178" w:rsidRDefault="00B71DA2" w:rsidP="00B71DA2">
      <w:pPr>
        <w:widowControl w:val="0"/>
        <w:numPr>
          <w:ilvl w:val="0"/>
          <w:numId w:val="3"/>
        </w:numPr>
        <w:spacing w:after="0" w:line="240" w:lineRule="auto"/>
        <w:jc w:val="both"/>
        <w:rPr>
          <w:rFonts w:ascii="Arial" w:hAnsi="Arial" w:cs="Arial"/>
          <w:lang w:eastAsia="zh-TW"/>
        </w:rPr>
      </w:pPr>
      <w:r w:rsidRPr="00DD7178">
        <w:rPr>
          <w:rFonts w:ascii="Arial" w:hAnsi="Arial" w:cs="Arial"/>
          <w:lang w:eastAsia="zh-TW"/>
        </w:rPr>
        <w:t>Patient’s life expectancy less than three months.</w:t>
      </w:r>
    </w:p>
    <w:p w14:paraId="6FA5B3CE" w14:textId="77777777" w:rsidR="00B71DA2" w:rsidRPr="00DD7178" w:rsidRDefault="00B71DA2" w:rsidP="00B71DA2">
      <w:pPr>
        <w:jc w:val="both"/>
        <w:rPr>
          <w:rFonts w:ascii="Arial" w:hAnsi="Arial" w:cs="Arial"/>
          <w:u w:val="single"/>
          <w:lang w:val="en-CA" w:eastAsia="zh-TW"/>
        </w:rPr>
      </w:pPr>
    </w:p>
    <w:p w14:paraId="42EFC90B" w14:textId="77777777" w:rsidR="00B71DA2" w:rsidRPr="00DD7178" w:rsidRDefault="00B71DA2" w:rsidP="00B71DA2">
      <w:pPr>
        <w:jc w:val="both"/>
        <w:rPr>
          <w:rFonts w:ascii="Arial" w:hAnsi="Arial" w:cs="Arial"/>
          <w:u w:val="single"/>
          <w:lang w:val="en-CA" w:eastAsia="zh-TW"/>
        </w:rPr>
      </w:pPr>
      <w:r w:rsidRPr="00DD7178">
        <w:rPr>
          <w:rFonts w:ascii="Arial" w:hAnsi="Arial" w:cs="Arial"/>
          <w:u w:val="single"/>
          <w:lang w:val="en-CA" w:eastAsia="zh-TW"/>
        </w:rPr>
        <w:lastRenderedPageBreak/>
        <w:t>Exclusion criteria for treatment phase (Phase 2)</w:t>
      </w:r>
    </w:p>
    <w:p w14:paraId="0400715C" w14:textId="77777777" w:rsidR="00B71DA2" w:rsidRPr="00DD7178" w:rsidRDefault="00B71DA2" w:rsidP="00B71DA2">
      <w:pPr>
        <w:widowControl w:val="0"/>
        <w:numPr>
          <w:ilvl w:val="0"/>
          <w:numId w:val="4"/>
        </w:numPr>
        <w:spacing w:after="0" w:line="240" w:lineRule="auto"/>
        <w:jc w:val="both"/>
        <w:rPr>
          <w:rFonts w:ascii="Arial" w:hAnsi="Arial" w:cs="Arial"/>
          <w:lang w:eastAsia="zh-TW"/>
        </w:rPr>
      </w:pPr>
      <w:r w:rsidRPr="00DD7178">
        <w:rPr>
          <w:rFonts w:ascii="Arial" w:hAnsi="Arial" w:cs="Arial"/>
          <w:lang w:eastAsia="zh-TW"/>
        </w:rPr>
        <w:t xml:space="preserve">Patients who had stopped the previous systemic treatment but showed no clinical or radiological evidence of disease progression. </w:t>
      </w:r>
    </w:p>
    <w:p w14:paraId="2009790B" w14:textId="77777777" w:rsidR="00B71DA2" w:rsidRPr="00DD7178" w:rsidRDefault="00B71DA2" w:rsidP="00B71DA2">
      <w:pPr>
        <w:widowControl w:val="0"/>
        <w:numPr>
          <w:ilvl w:val="0"/>
          <w:numId w:val="4"/>
        </w:numPr>
        <w:spacing w:after="0" w:line="240" w:lineRule="auto"/>
        <w:jc w:val="both"/>
        <w:rPr>
          <w:rFonts w:ascii="Arial" w:hAnsi="Arial" w:cs="Arial"/>
          <w:lang w:eastAsia="zh-TW"/>
        </w:rPr>
      </w:pPr>
      <w:r w:rsidRPr="00DD7178">
        <w:rPr>
          <w:rFonts w:ascii="Arial" w:hAnsi="Arial" w:cs="Arial"/>
          <w:lang w:eastAsia="zh-TW"/>
        </w:rPr>
        <w:t>Patients who have received the same drug treatment prior to the enrollment in to treatment phase (Phase 2).</w:t>
      </w:r>
    </w:p>
    <w:p w14:paraId="26754B54" w14:textId="77777777" w:rsidR="00B71DA2" w:rsidRPr="00DD7178" w:rsidRDefault="00B71DA2" w:rsidP="00B71DA2">
      <w:pPr>
        <w:jc w:val="both"/>
        <w:rPr>
          <w:rFonts w:ascii="Arial" w:hAnsi="Arial" w:cs="Arial"/>
        </w:rPr>
      </w:pPr>
      <w:bookmarkStart w:id="9" w:name="_Toc463539332"/>
    </w:p>
    <w:p w14:paraId="7CD78F0F" w14:textId="77777777" w:rsidR="00B71DA2" w:rsidRDefault="00B71DA2" w:rsidP="00B71DA2">
      <w:pPr>
        <w:pStyle w:val="Heading2"/>
        <w:numPr>
          <w:ilvl w:val="0"/>
          <w:numId w:val="0"/>
        </w:numPr>
        <w:ind w:left="720" w:hanging="720"/>
        <w:jc w:val="both"/>
        <w:rPr>
          <w:rFonts w:cs="Arial"/>
          <w:bCs/>
          <w:sz w:val="22"/>
          <w:szCs w:val="22"/>
          <w:u w:val="single"/>
        </w:rPr>
      </w:pPr>
      <w:bookmarkStart w:id="10" w:name="_Toc78027870"/>
      <w:r w:rsidRPr="00735AEB">
        <w:rPr>
          <w:rFonts w:cs="Arial"/>
          <w:bCs/>
          <w:sz w:val="22"/>
          <w:szCs w:val="22"/>
          <w:u w:val="single"/>
        </w:rPr>
        <w:t>Contraception Requirements</w:t>
      </w:r>
      <w:bookmarkEnd w:id="9"/>
      <w:bookmarkEnd w:id="10"/>
    </w:p>
    <w:p w14:paraId="74981F78" w14:textId="77777777" w:rsidR="00B71DA2" w:rsidRPr="00735AEB" w:rsidRDefault="00B71DA2" w:rsidP="00B71DA2"/>
    <w:p w14:paraId="0AFC2387" w14:textId="77777777" w:rsidR="00B71DA2" w:rsidRPr="00DD7178" w:rsidRDefault="00B71DA2" w:rsidP="00B71DA2">
      <w:pPr>
        <w:ind w:right="240"/>
        <w:jc w:val="both"/>
        <w:rPr>
          <w:rFonts w:ascii="Arial" w:hAnsi="Arial" w:cs="Arial"/>
        </w:rPr>
      </w:pPr>
      <w:r w:rsidRPr="00DD7178">
        <w:rPr>
          <w:rFonts w:ascii="Arial" w:hAnsi="Arial" w:cs="Arial"/>
        </w:rPr>
        <w:t xml:space="preserve">Patients should not become pregnant or father a child while on this study because the study treatments in this study can affect an unborn baby. Women should not breastfeed a baby while on this study. It is important that patients understand the need to use birth control while on this study. Female patients of childbearing potential must agree to use two methods of contraception (one highly effective and one effective) and have a negative serum pregnancy test at Screening, and male patients must use an effective barrier method of contraception if sexually active with a female of childbearing potential. </w:t>
      </w:r>
    </w:p>
    <w:p w14:paraId="05EB98EF" w14:textId="77777777" w:rsidR="00B71DA2" w:rsidRPr="00DD7178" w:rsidRDefault="00B71DA2" w:rsidP="00B71DA2">
      <w:pPr>
        <w:ind w:right="240"/>
        <w:jc w:val="both"/>
        <w:rPr>
          <w:rFonts w:ascii="Arial" w:hAnsi="Arial" w:cs="Arial"/>
        </w:rPr>
      </w:pPr>
    </w:p>
    <w:p w14:paraId="3A56C6B7" w14:textId="77777777" w:rsidR="00B71DA2" w:rsidRPr="00DD7178" w:rsidRDefault="00B71DA2" w:rsidP="00B71DA2">
      <w:pPr>
        <w:ind w:right="240"/>
        <w:jc w:val="both"/>
        <w:rPr>
          <w:rFonts w:ascii="Arial" w:hAnsi="Arial" w:cs="Arial"/>
        </w:rPr>
      </w:pPr>
      <w:r w:rsidRPr="00DD7178">
        <w:rPr>
          <w:rFonts w:ascii="Arial" w:hAnsi="Arial" w:cs="Arial"/>
        </w:rPr>
        <w:t xml:space="preserve">Highly effective methods include: </w:t>
      </w:r>
    </w:p>
    <w:p w14:paraId="2E1235AB" w14:textId="77777777" w:rsidR="00B71DA2" w:rsidRPr="00DD7178" w:rsidRDefault="00B71DA2" w:rsidP="00B71DA2">
      <w:pPr>
        <w:pStyle w:val="ListParagraph"/>
        <w:widowControl w:val="0"/>
        <w:numPr>
          <w:ilvl w:val="0"/>
          <w:numId w:val="6"/>
        </w:numPr>
        <w:spacing w:after="0" w:line="240" w:lineRule="auto"/>
        <w:jc w:val="both"/>
        <w:rPr>
          <w:rFonts w:ascii="Arial" w:hAnsi="Arial" w:cs="Arial"/>
        </w:rPr>
      </w:pPr>
      <w:r w:rsidRPr="00DD7178">
        <w:rPr>
          <w:rFonts w:ascii="Arial" w:hAnsi="Arial" w:cs="Arial"/>
        </w:rPr>
        <w:t xml:space="preserve">Hormonal contraceptives (e.g., combined oral contraceptives, patch, vaginal ring, injectables, and implants) </w:t>
      </w:r>
    </w:p>
    <w:p w14:paraId="0BA1BD23" w14:textId="77777777" w:rsidR="00B71DA2" w:rsidRPr="00DD7178" w:rsidRDefault="00B71DA2" w:rsidP="00B71DA2">
      <w:pPr>
        <w:pStyle w:val="ListParagraph"/>
        <w:widowControl w:val="0"/>
        <w:numPr>
          <w:ilvl w:val="0"/>
          <w:numId w:val="6"/>
        </w:numPr>
        <w:spacing w:after="0" w:line="240" w:lineRule="auto"/>
        <w:jc w:val="both"/>
        <w:rPr>
          <w:rFonts w:ascii="Arial" w:hAnsi="Arial" w:cs="Arial"/>
        </w:rPr>
      </w:pPr>
      <w:r w:rsidRPr="00DD7178">
        <w:rPr>
          <w:rFonts w:ascii="Arial" w:hAnsi="Arial" w:cs="Arial"/>
        </w:rPr>
        <w:t>Intrauterine device or intrauterine system</w:t>
      </w:r>
    </w:p>
    <w:p w14:paraId="56E19D4A" w14:textId="77777777" w:rsidR="00B71DA2" w:rsidRPr="00DD7178" w:rsidRDefault="00B71DA2" w:rsidP="00B71DA2">
      <w:pPr>
        <w:pStyle w:val="ListParagraph"/>
        <w:widowControl w:val="0"/>
        <w:numPr>
          <w:ilvl w:val="0"/>
          <w:numId w:val="6"/>
        </w:numPr>
        <w:spacing w:after="0" w:line="240" w:lineRule="auto"/>
        <w:jc w:val="both"/>
        <w:rPr>
          <w:rFonts w:ascii="Arial" w:hAnsi="Arial" w:cs="Arial"/>
        </w:rPr>
      </w:pPr>
      <w:r w:rsidRPr="00DD7178">
        <w:rPr>
          <w:rFonts w:ascii="Arial" w:hAnsi="Arial" w:cs="Arial"/>
        </w:rPr>
        <w:t>Vasectomy or tubal ligation</w:t>
      </w:r>
    </w:p>
    <w:p w14:paraId="285BF4DA" w14:textId="77777777" w:rsidR="00B71DA2" w:rsidRPr="00DD7178" w:rsidRDefault="00B71DA2" w:rsidP="00B71DA2">
      <w:pPr>
        <w:pStyle w:val="ListParagraph"/>
        <w:widowControl w:val="0"/>
        <w:numPr>
          <w:ilvl w:val="0"/>
          <w:numId w:val="6"/>
        </w:numPr>
        <w:spacing w:after="0" w:line="240" w:lineRule="auto"/>
        <w:jc w:val="both"/>
        <w:rPr>
          <w:rFonts w:ascii="Arial" w:hAnsi="Arial" w:cs="Arial"/>
        </w:rPr>
      </w:pPr>
      <w:r w:rsidRPr="00DD7178">
        <w:rPr>
          <w:rFonts w:ascii="Arial" w:hAnsi="Arial" w:cs="Arial"/>
        </w:rPr>
        <w:t xml:space="preserve">Effective methods include: </w:t>
      </w:r>
    </w:p>
    <w:p w14:paraId="6ACD2848" w14:textId="77777777" w:rsidR="00B71DA2" w:rsidRPr="00DD7178" w:rsidRDefault="00B71DA2" w:rsidP="00B71DA2">
      <w:pPr>
        <w:pStyle w:val="ListParagraph"/>
        <w:widowControl w:val="0"/>
        <w:numPr>
          <w:ilvl w:val="0"/>
          <w:numId w:val="6"/>
        </w:numPr>
        <w:spacing w:after="0" w:line="240" w:lineRule="auto"/>
        <w:jc w:val="both"/>
        <w:rPr>
          <w:rFonts w:ascii="Arial" w:hAnsi="Arial" w:cs="Arial"/>
        </w:rPr>
      </w:pPr>
      <w:r w:rsidRPr="00DD7178">
        <w:rPr>
          <w:rFonts w:ascii="Arial" w:hAnsi="Arial" w:cs="Arial"/>
        </w:rPr>
        <w:t>Barrier methods of contraception (e.g., male condom, female condom, cervical cap, diaphragm, contraceptive sponge).</w:t>
      </w:r>
    </w:p>
    <w:p w14:paraId="5B8F513C" w14:textId="77777777" w:rsidR="00B71DA2" w:rsidRPr="00DD7178" w:rsidRDefault="00B71DA2" w:rsidP="00B71DA2">
      <w:pPr>
        <w:pStyle w:val="ListParagraph"/>
        <w:jc w:val="both"/>
        <w:rPr>
          <w:rFonts w:ascii="Arial" w:hAnsi="Arial" w:cs="Arial"/>
        </w:rPr>
      </w:pPr>
    </w:p>
    <w:p w14:paraId="242C4709" w14:textId="77777777" w:rsidR="00B71DA2" w:rsidRPr="00DD7178" w:rsidRDefault="00B71DA2" w:rsidP="00B71DA2">
      <w:pPr>
        <w:ind w:right="240"/>
        <w:jc w:val="both"/>
        <w:rPr>
          <w:rFonts w:ascii="Arial" w:hAnsi="Arial" w:cs="Arial"/>
        </w:rPr>
      </w:pPr>
      <w:r w:rsidRPr="00DD7178">
        <w:rPr>
          <w:rFonts w:ascii="Arial" w:hAnsi="Arial" w:cs="Arial"/>
        </w:rPr>
        <w:t>Notes:</w:t>
      </w:r>
    </w:p>
    <w:p w14:paraId="51ADEEBF" w14:textId="77777777" w:rsidR="00B71DA2" w:rsidRPr="00DD7178" w:rsidRDefault="00B71DA2" w:rsidP="00B71DA2">
      <w:pPr>
        <w:widowControl w:val="0"/>
        <w:numPr>
          <w:ilvl w:val="0"/>
          <w:numId w:val="5"/>
        </w:numPr>
        <w:spacing w:after="0" w:line="240" w:lineRule="auto"/>
        <w:jc w:val="both"/>
        <w:rPr>
          <w:rFonts w:ascii="Arial" w:hAnsi="Arial" w:cs="Arial"/>
          <w:i/>
        </w:rPr>
      </w:pPr>
      <w:r w:rsidRPr="00DD7178">
        <w:rPr>
          <w:rFonts w:ascii="Arial" w:hAnsi="Arial" w:cs="Arial"/>
          <w:i/>
        </w:rPr>
        <w:t>No barrier method by itself achieves a highly effective standard of contraception</w:t>
      </w:r>
    </w:p>
    <w:p w14:paraId="18AD045C" w14:textId="77777777" w:rsidR="00B71DA2" w:rsidRPr="00DD7178" w:rsidRDefault="00B71DA2" w:rsidP="00B71DA2">
      <w:pPr>
        <w:widowControl w:val="0"/>
        <w:numPr>
          <w:ilvl w:val="0"/>
          <w:numId w:val="5"/>
        </w:numPr>
        <w:spacing w:after="0" w:line="240" w:lineRule="auto"/>
        <w:jc w:val="both"/>
        <w:rPr>
          <w:rFonts w:ascii="Arial" w:hAnsi="Arial" w:cs="Arial"/>
          <w:i/>
        </w:rPr>
      </w:pPr>
      <w:r w:rsidRPr="00DD7178">
        <w:rPr>
          <w:rFonts w:ascii="Arial" w:hAnsi="Arial" w:cs="Arial"/>
          <w:i/>
        </w:rPr>
        <w:t>The proper use of diaphragm or cervical cap includes use of spermicide and is considered one barrier method.</w:t>
      </w:r>
    </w:p>
    <w:p w14:paraId="408CF146" w14:textId="77777777" w:rsidR="00B71DA2" w:rsidRPr="00DD7178" w:rsidRDefault="00B71DA2" w:rsidP="00B71DA2">
      <w:pPr>
        <w:widowControl w:val="0"/>
        <w:numPr>
          <w:ilvl w:val="0"/>
          <w:numId w:val="5"/>
        </w:numPr>
        <w:spacing w:after="0" w:line="240" w:lineRule="auto"/>
        <w:jc w:val="both"/>
        <w:rPr>
          <w:rFonts w:ascii="Arial" w:hAnsi="Arial" w:cs="Arial"/>
          <w:i/>
        </w:rPr>
      </w:pPr>
      <w:r w:rsidRPr="00DD7178">
        <w:rPr>
          <w:rFonts w:ascii="Arial" w:hAnsi="Arial" w:cs="Arial"/>
          <w:i/>
        </w:rPr>
        <w:t>The cervical cap and contraceptive sponge are less effective in parous women.</w:t>
      </w:r>
    </w:p>
    <w:p w14:paraId="7A10D894" w14:textId="77777777" w:rsidR="00B71DA2" w:rsidRPr="00DD7178" w:rsidRDefault="00B71DA2" w:rsidP="00B71DA2">
      <w:pPr>
        <w:widowControl w:val="0"/>
        <w:numPr>
          <w:ilvl w:val="0"/>
          <w:numId w:val="5"/>
        </w:numPr>
        <w:spacing w:after="0" w:line="240" w:lineRule="auto"/>
        <w:jc w:val="both"/>
        <w:rPr>
          <w:rFonts w:ascii="Arial" w:hAnsi="Arial" w:cs="Arial"/>
          <w:i/>
        </w:rPr>
      </w:pPr>
      <w:r w:rsidRPr="00DD7178">
        <w:rPr>
          <w:rFonts w:ascii="Arial" w:hAnsi="Arial" w:cs="Arial"/>
          <w:i/>
        </w:rPr>
        <w:t>The use of spermicide alone is not considered a suitable barrier method for contraception.</w:t>
      </w:r>
    </w:p>
    <w:p w14:paraId="735190E9" w14:textId="77777777" w:rsidR="00B71DA2" w:rsidRPr="00DD7178" w:rsidRDefault="00B71DA2" w:rsidP="00B71DA2">
      <w:pPr>
        <w:widowControl w:val="0"/>
        <w:numPr>
          <w:ilvl w:val="0"/>
          <w:numId w:val="5"/>
        </w:numPr>
        <w:spacing w:after="0" w:line="240" w:lineRule="auto"/>
        <w:jc w:val="both"/>
        <w:rPr>
          <w:rFonts w:ascii="Arial" w:hAnsi="Arial" w:cs="Arial"/>
          <w:i/>
        </w:rPr>
      </w:pPr>
      <w:r w:rsidRPr="00DD7178">
        <w:rPr>
          <w:rFonts w:ascii="Arial" w:hAnsi="Arial" w:cs="Arial"/>
          <w:i/>
        </w:rPr>
        <w:t>When used consistently and correctly, “double barrier” methods of contraception (e.g., male condom with diaphragm, male condom with cervical cap) can be used as an effective alternative to the highly effective contraception methods described above.</w:t>
      </w:r>
    </w:p>
    <w:p w14:paraId="1B313142" w14:textId="77777777" w:rsidR="00B71DA2" w:rsidRPr="00DD7178" w:rsidRDefault="00B71DA2" w:rsidP="00B71DA2">
      <w:pPr>
        <w:widowControl w:val="0"/>
        <w:numPr>
          <w:ilvl w:val="0"/>
          <w:numId w:val="5"/>
        </w:numPr>
        <w:spacing w:after="0" w:line="240" w:lineRule="auto"/>
        <w:jc w:val="both"/>
        <w:rPr>
          <w:rFonts w:ascii="Arial" w:hAnsi="Arial" w:cs="Arial"/>
          <w:i/>
        </w:rPr>
      </w:pPr>
      <w:r w:rsidRPr="00DD7178">
        <w:rPr>
          <w:rFonts w:ascii="Arial" w:hAnsi="Arial" w:cs="Arial"/>
          <w:i/>
        </w:rPr>
        <w:t>Male and female condoms should not be used together as they can tear or become damaged.</w:t>
      </w:r>
    </w:p>
    <w:p w14:paraId="493B7922" w14:textId="77777777" w:rsidR="00B71DA2" w:rsidRPr="00DD7178" w:rsidRDefault="00B71DA2" w:rsidP="00B71DA2">
      <w:pPr>
        <w:ind w:left="1080"/>
        <w:jc w:val="both"/>
        <w:rPr>
          <w:rFonts w:ascii="Arial" w:hAnsi="Arial" w:cs="Arial"/>
          <w:i/>
        </w:rPr>
      </w:pPr>
    </w:p>
    <w:p w14:paraId="09A2E41F" w14:textId="77777777" w:rsidR="00B71DA2" w:rsidRPr="00DD7178" w:rsidRDefault="00B71DA2" w:rsidP="00B71DA2">
      <w:pPr>
        <w:ind w:right="240"/>
        <w:jc w:val="both"/>
        <w:rPr>
          <w:rFonts w:ascii="Arial" w:hAnsi="Arial" w:cs="Arial"/>
        </w:rPr>
      </w:pPr>
      <w:r w:rsidRPr="00DD7178">
        <w:rPr>
          <w:rFonts w:ascii="Arial" w:hAnsi="Arial" w:cs="Arial"/>
        </w:rPr>
        <w:t>Alternatively, the following fulfill the contraception requirements:</w:t>
      </w:r>
    </w:p>
    <w:p w14:paraId="491639C6" w14:textId="77777777" w:rsidR="00B71DA2" w:rsidRPr="00DD7178" w:rsidRDefault="00B71DA2" w:rsidP="00B71DA2">
      <w:pPr>
        <w:jc w:val="both"/>
        <w:rPr>
          <w:rFonts w:ascii="Arial" w:hAnsi="Arial" w:cs="Arial"/>
        </w:rPr>
      </w:pPr>
      <w:r w:rsidRPr="00DD7178">
        <w:rPr>
          <w:rFonts w:ascii="Arial" w:hAnsi="Arial" w:cs="Arial"/>
        </w:rPr>
        <w:t>A sexual partner who is surgically sterilized or post-menopausal.</w:t>
      </w:r>
    </w:p>
    <w:p w14:paraId="74B349D4" w14:textId="77777777" w:rsidR="00B71DA2" w:rsidRPr="00DD7178" w:rsidRDefault="00B71DA2" w:rsidP="00B71DA2">
      <w:pPr>
        <w:jc w:val="both"/>
        <w:rPr>
          <w:rFonts w:ascii="Arial" w:hAnsi="Arial" w:cs="Arial"/>
        </w:rPr>
      </w:pPr>
      <w:r w:rsidRPr="00DD7178">
        <w:rPr>
          <w:rFonts w:ascii="Arial" w:hAnsi="Arial" w:cs="Arial"/>
        </w:rPr>
        <w:t xml:space="preserve">Total (true) abstinence (when this is in line with the preferred and usual lifestyle of the patient), is an acceptable method of contraception. NOTE: Periodic abstinence (e.g., calendar, ovulation, </w:t>
      </w:r>
      <w:r w:rsidRPr="00DD7178">
        <w:rPr>
          <w:rFonts w:ascii="Arial" w:hAnsi="Arial" w:cs="Arial"/>
        </w:rPr>
        <w:lastRenderedPageBreak/>
        <w:t>symptothermal, post-ovulation methods) and withdrawal are not acceptable methods of contraception. For both male and female patients, effective methods of contraception must be used throughout the study and for 3 months following the last dose of study treatment.</w:t>
      </w:r>
    </w:p>
    <w:p w14:paraId="1D242F3F" w14:textId="77777777" w:rsidR="00B71DA2" w:rsidRDefault="00B71DA2" w:rsidP="00B71DA2">
      <w:pPr>
        <w:rPr>
          <w:rFonts w:ascii="Arial" w:hAnsi="Arial" w:cs="Arial"/>
          <w:b/>
          <w:bCs/>
        </w:rPr>
      </w:pPr>
    </w:p>
    <w:p w14:paraId="103546A7" w14:textId="77777777" w:rsidR="00B71DA2" w:rsidRDefault="00B71DA2" w:rsidP="00B71DA2">
      <w:pPr>
        <w:rPr>
          <w:rFonts w:ascii="Arial" w:hAnsi="Arial" w:cs="Arial"/>
          <w:b/>
          <w:bCs/>
        </w:rPr>
      </w:pPr>
    </w:p>
    <w:p w14:paraId="66E42213" w14:textId="77777777" w:rsidR="00B71DA2" w:rsidRDefault="00B71DA2" w:rsidP="00B71DA2">
      <w:pPr>
        <w:rPr>
          <w:rFonts w:ascii="Arial" w:hAnsi="Arial" w:cs="Arial"/>
          <w:b/>
          <w:bCs/>
        </w:rPr>
      </w:pPr>
      <w:r>
        <w:rPr>
          <w:rFonts w:ascii="Arial" w:hAnsi="Arial" w:cs="Arial"/>
          <w:b/>
          <w:bCs/>
        </w:rPr>
        <w:t>Supplementary text 2. Targeted panels used at Princess Margaret Cancer Centre</w:t>
      </w:r>
    </w:p>
    <w:p w14:paraId="58FC0F96" w14:textId="77777777" w:rsidR="00B71DA2" w:rsidRDefault="00B71DA2" w:rsidP="00B71DA2">
      <w:pPr>
        <w:jc w:val="both"/>
        <w:rPr>
          <w:rFonts w:ascii="Arial" w:hAnsi="Arial" w:cs="Arial"/>
        </w:rPr>
      </w:pPr>
      <w:r w:rsidRPr="006114E2">
        <w:rPr>
          <w:rFonts w:ascii="Arial" w:hAnsi="Arial" w:cs="Arial"/>
        </w:rPr>
        <w:t xml:space="preserve">The Sequenom Solid Tumor Panel at </w:t>
      </w:r>
      <w:r w:rsidRPr="00190287">
        <w:rPr>
          <w:rFonts w:ascii="Arial" w:hAnsi="Arial" w:cs="Arial"/>
        </w:rPr>
        <w:t xml:space="preserve">Princess Margaret Cancer Centre </w:t>
      </w:r>
      <w:r w:rsidRPr="006114E2">
        <w:rPr>
          <w:rFonts w:ascii="Arial" w:hAnsi="Arial" w:cs="Arial"/>
        </w:rPr>
        <w:t xml:space="preserve">includes </w:t>
      </w:r>
      <w:r w:rsidRPr="00C87E41">
        <w:rPr>
          <w:rFonts w:ascii="Arial" w:hAnsi="Arial" w:cs="Arial"/>
        </w:rPr>
        <w:t xml:space="preserve">single nucleotide polymorphisms </w:t>
      </w:r>
      <w:r w:rsidRPr="006114E2">
        <w:rPr>
          <w:rFonts w:ascii="Arial" w:hAnsi="Arial" w:cs="Arial"/>
        </w:rPr>
        <w:t>genotyping of 23 genes for 279</w:t>
      </w:r>
      <w:r>
        <w:rPr>
          <w:rFonts w:ascii="Arial" w:hAnsi="Arial" w:cs="Arial"/>
        </w:rPr>
        <w:t xml:space="preserve"> </w:t>
      </w:r>
      <w:r w:rsidRPr="006114E2">
        <w:rPr>
          <w:rFonts w:ascii="Arial" w:hAnsi="Arial" w:cs="Arial"/>
        </w:rPr>
        <w:t>mutations (hotspots, substitutions and insertions/deletions)</w:t>
      </w:r>
      <w:r>
        <w:rPr>
          <w:rFonts w:ascii="Arial" w:hAnsi="Arial" w:cs="Arial"/>
        </w:rPr>
        <w:t xml:space="preserve">. </w:t>
      </w:r>
      <w:r w:rsidRPr="006114E2">
        <w:rPr>
          <w:rFonts w:ascii="Arial" w:hAnsi="Arial" w:cs="Arial"/>
        </w:rPr>
        <w:t>The Ilumina MiSeq TruSeq</w:t>
      </w:r>
      <w:r>
        <w:rPr>
          <w:rFonts w:ascii="Arial" w:hAnsi="Arial" w:cs="Arial"/>
        </w:rPr>
        <w:t xml:space="preserve"> </w:t>
      </w:r>
      <w:r w:rsidRPr="006114E2">
        <w:rPr>
          <w:rFonts w:ascii="Arial" w:hAnsi="Arial" w:cs="Arial"/>
        </w:rPr>
        <w:t>Amplicon Cancer Panel at PM includes targeted sequencing of 48 genes and 212 amplicons.</w:t>
      </w:r>
      <w:r>
        <w:rPr>
          <w:rFonts w:ascii="Arial" w:hAnsi="Arial" w:cs="Arial"/>
        </w:rPr>
        <w:t xml:space="preserve"> </w:t>
      </w:r>
      <w:r w:rsidRPr="006114E2">
        <w:rPr>
          <w:rFonts w:ascii="Arial" w:hAnsi="Arial" w:cs="Arial"/>
        </w:rPr>
        <w:t>The Hi5 panel at PM is a custom hybridization capture ngs panel of 555 cancer-related genes [UHN Hi5 panel (SureSelect: Agilent, Santa Clara, CA, U.S.A.)] sequenced on the NextSeq platform (Illumina, San Diego, CA, U.S.A.). The Oncomine panel at PM is a commercial 161- gene amplicon dna/rna panel (Oncomine Comprehensive Assay v3: ThermoFisher Scientific, Waltham, MA, U.S.A.) sequenced on the IonS5XL platform (ThermoFisher Scientific</w:t>
      </w:r>
      <w:r>
        <w:rPr>
          <w:rFonts w:ascii="Arial" w:hAnsi="Arial" w:cs="Arial"/>
        </w:rPr>
        <w:t>).</w:t>
      </w:r>
    </w:p>
    <w:p w14:paraId="58EEE1C8" w14:textId="77777777" w:rsidR="00B71DA2" w:rsidRPr="0076449D" w:rsidRDefault="00B71DA2" w:rsidP="00B71DA2">
      <w:pPr>
        <w:jc w:val="both"/>
        <w:rPr>
          <w:rFonts w:ascii="Arial" w:hAnsi="Arial" w:cs="Arial"/>
        </w:rPr>
      </w:pPr>
      <w:r>
        <w:rPr>
          <w:rFonts w:ascii="Arial" w:hAnsi="Arial" w:cs="Arial"/>
          <w:b/>
          <w:bCs/>
        </w:rPr>
        <w:t>Supplementary table 1: Treatment emergent adverse events occurring in ≥ 10% of the trial participants.</w:t>
      </w:r>
    </w:p>
    <w:p w14:paraId="5F588BE6" w14:textId="77777777" w:rsidR="00B71DA2" w:rsidRDefault="00B71DA2" w:rsidP="00B71DA2">
      <w:pPr>
        <w:rPr>
          <w:rFonts w:ascii="Arial" w:hAnsi="Arial" w:cs="Arial"/>
          <w:b/>
          <w:bCs/>
        </w:rPr>
      </w:pPr>
      <w:r>
        <w:rPr>
          <w:rFonts w:ascii="Arial" w:hAnsi="Arial" w:cs="Arial"/>
          <w:b/>
          <w:bCs/>
          <w:noProof/>
        </w:rPr>
        <w:object w:dxaOrig="10227" w:dyaOrig="13330" w14:anchorId="593DD01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7in;height:633.75pt;mso-width-percent:0;mso-height-percent:0;mso-width-percent:0;mso-height-percent:0" o:ole="">
            <v:imagedata r:id="rId5" o:title=""/>
          </v:shape>
          <o:OLEObject Type="Embed" ProgID="Excel.Sheet.12" ShapeID="_x0000_i1025" DrawAspect="Content" ObjectID="_1726561140" r:id="rId6"/>
        </w:object>
      </w:r>
    </w:p>
    <w:p w14:paraId="1148BCC5" w14:textId="77777777" w:rsidR="00000F57" w:rsidRDefault="00B71DA2"/>
    <w:sectPr w:rsidR="00000F5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C0600BE"/>
    <w:multiLevelType w:val="multilevel"/>
    <w:tmpl w:val="DC949950"/>
    <w:styleLink w:val="NumberingList"/>
    <w:lvl w:ilvl="0">
      <w:start w:val="1"/>
      <w:numFmt w:val="decimal"/>
      <w:pStyle w:val="Heading1"/>
      <w:lvlText w:val="%1."/>
      <w:lvlJc w:val="left"/>
      <w:pPr>
        <w:ind w:left="360" w:hanging="360"/>
      </w:pPr>
      <w:rPr>
        <w:rFonts w:ascii="Times New Roman" w:hAnsi="Times New Roman" w:hint="default"/>
        <w:b/>
        <w:color w:val="000000"/>
        <w:sz w:val="24"/>
      </w:rPr>
    </w:lvl>
    <w:lvl w:ilvl="1">
      <w:start w:val="1"/>
      <w:numFmt w:val="decimal"/>
      <w:pStyle w:val="Heading2"/>
      <w:lvlText w:val="%1.%2"/>
      <w:lvlJc w:val="left"/>
      <w:pPr>
        <w:ind w:left="720" w:hanging="720"/>
      </w:pPr>
      <w:rPr>
        <w:rFonts w:ascii="Times New Roman" w:hAnsi="Times New Roman" w:hint="default"/>
        <w:b/>
        <w:i w:val="0"/>
        <w:color w:val="000000"/>
        <w:sz w:val="24"/>
        <w:u w:val="none"/>
      </w:rPr>
    </w:lvl>
    <w:lvl w:ilvl="2">
      <w:start w:val="1"/>
      <w:numFmt w:val="decimal"/>
      <w:pStyle w:val="Level3Heading"/>
      <w:lvlText w:val="%1.%2.%3"/>
      <w:lvlJc w:val="left"/>
      <w:pPr>
        <w:ind w:left="720" w:hanging="720"/>
      </w:pPr>
      <w:rPr>
        <w:rFonts w:ascii="Times New Roman" w:hAnsi="Times New Roman" w:hint="default"/>
        <w:b w:val="0"/>
        <w:i w:val="0"/>
        <w:color w:val="000000"/>
        <w:sz w:val="24"/>
        <w:u w:val="none"/>
      </w:rPr>
    </w:lvl>
    <w:lvl w:ilvl="3">
      <w:start w:val="1"/>
      <w:numFmt w:val="decimal"/>
      <w:pStyle w:val="Level4Heading"/>
      <w:lvlText w:val="%1.%2.%3.%4"/>
      <w:lvlJc w:val="left"/>
      <w:pPr>
        <w:ind w:left="1080" w:hanging="1080"/>
      </w:pPr>
      <w:rPr>
        <w:rFonts w:ascii="Times New Roman" w:hAnsi="Times New Roman" w:hint="default"/>
        <w:b w:val="0"/>
        <w:i w:val="0"/>
        <w:color w:val="000000"/>
        <w:sz w:val="24"/>
        <w:u w:val="none"/>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 w15:restartNumberingAfterBreak="0">
    <w:nsid w:val="378C311E"/>
    <w:multiLevelType w:val="hybridMultilevel"/>
    <w:tmpl w:val="0700D40A"/>
    <w:lvl w:ilvl="0" w:tplc="0409000F">
      <w:start w:val="1"/>
      <w:numFmt w:val="decimal"/>
      <w:lvlText w:val="%1."/>
      <w:lvlJc w:val="left"/>
      <w:pPr>
        <w:ind w:left="81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40B76D37"/>
    <w:multiLevelType w:val="hybridMultilevel"/>
    <w:tmpl w:val="47F87332"/>
    <w:lvl w:ilvl="0" w:tplc="0409000F">
      <w:start w:val="1"/>
      <w:numFmt w:val="decimal"/>
      <w:lvlText w:val="%1."/>
      <w:lvlJc w:val="left"/>
      <w:pPr>
        <w:ind w:left="81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5C807570"/>
    <w:multiLevelType w:val="hybridMultilevel"/>
    <w:tmpl w:val="5C907B82"/>
    <w:lvl w:ilvl="0" w:tplc="0409000F">
      <w:start w:val="1"/>
      <w:numFmt w:val="decimal"/>
      <w:lvlText w:val="%1."/>
      <w:lvlJc w:val="left"/>
      <w:pPr>
        <w:ind w:left="81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61EA0F0B"/>
    <w:multiLevelType w:val="multilevel"/>
    <w:tmpl w:val="9CECA716"/>
    <w:lvl w:ilvl="0">
      <w:start w:val="1"/>
      <w:numFmt w:val="bullet"/>
      <w:lvlText w:val="o"/>
      <w:lvlJc w:val="left"/>
      <w:pPr>
        <w:tabs>
          <w:tab w:val="num" w:pos="1080"/>
        </w:tabs>
        <w:ind w:left="1080" w:hanging="360"/>
      </w:pPr>
      <w:rPr>
        <w:rFonts w:ascii="Courier New" w:hAnsi="Courier New" w:cs="Courier New" w:hint="default"/>
        <w:sz w:val="24"/>
      </w:rPr>
    </w:lvl>
    <w:lvl w:ilvl="1">
      <w:start w:val="1"/>
      <w:numFmt w:val="bullet"/>
      <w:lvlText w:val=""/>
      <w:lvlJc w:val="left"/>
      <w:pPr>
        <w:tabs>
          <w:tab w:val="num" w:pos="1440"/>
        </w:tabs>
        <w:ind w:left="1440" w:hanging="360"/>
      </w:pPr>
      <w:rPr>
        <w:rFonts w:ascii="Symbol" w:hAnsi="Symbol" w:hint="default"/>
      </w:rPr>
    </w:lvl>
    <w:lvl w:ilvl="2">
      <w:start w:val="1"/>
      <w:numFmt w:val="bullet"/>
      <w:lvlText w:val=""/>
      <w:lvlJc w:val="left"/>
      <w:pPr>
        <w:ind w:left="1080" w:firstLine="0"/>
      </w:pPr>
      <w:rPr>
        <w:rFonts w:ascii="Symbol" w:hAnsi="Symbol" w:hint="default"/>
      </w:rPr>
    </w:lvl>
    <w:lvl w:ilvl="3">
      <w:start w:val="1"/>
      <w:numFmt w:val="bullet"/>
      <w:lvlText w:val=""/>
      <w:lvlJc w:val="left"/>
      <w:pPr>
        <w:ind w:left="1080" w:firstLine="0"/>
      </w:pPr>
      <w:rPr>
        <w:rFonts w:ascii="Symbol" w:hAnsi="Symbol" w:hint="default"/>
      </w:rPr>
    </w:lvl>
    <w:lvl w:ilvl="4">
      <w:start w:val="1"/>
      <w:numFmt w:val="bullet"/>
      <w:lvlText w:val=""/>
      <w:lvlJc w:val="left"/>
      <w:pPr>
        <w:ind w:left="1080" w:firstLine="0"/>
      </w:pPr>
      <w:rPr>
        <w:rFonts w:ascii="Symbol" w:hAnsi="Symbol" w:hint="default"/>
      </w:rPr>
    </w:lvl>
    <w:lvl w:ilvl="5">
      <w:start w:val="1"/>
      <w:numFmt w:val="bullet"/>
      <w:lvlText w:val=""/>
      <w:lvlJc w:val="left"/>
      <w:pPr>
        <w:ind w:left="1080" w:firstLine="0"/>
      </w:pPr>
      <w:rPr>
        <w:rFonts w:ascii="Symbol" w:hAnsi="Symbol" w:hint="default"/>
      </w:rPr>
    </w:lvl>
    <w:lvl w:ilvl="6">
      <w:start w:val="1"/>
      <w:numFmt w:val="bullet"/>
      <w:lvlText w:val=""/>
      <w:lvlJc w:val="left"/>
      <w:pPr>
        <w:ind w:left="1080" w:firstLine="0"/>
      </w:pPr>
      <w:rPr>
        <w:rFonts w:ascii="Symbol" w:hAnsi="Symbol" w:hint="default"/>
      </w:rPr>
    </w:lvl>
    <w:lvl w:ilvl="7">
      <w:start w:val="1"/>
      <w:numFmt w:val="bullet"/>
      <w:lvlText w:val=""/>
      <w:lvlJc w:val="left"/>
      <w:pPr>
        <w:ind w:left="1080" w:firstLine="0"/>
      </w:pPr>
      <w:rPr>
        <w:rFonts w:ascii="Symbol" w:hAnsi="Symbol" w:hint="default"/>
      </w:rPr>
    </w:lvl>
    <w:lvl w:ilvl="8">
      <w:start w:val="1"/>
      <w:numFmt w:val="bullet"/>
      <w:lvlText w:val=""/>
      <w:lvlJc w:val="left"/>
      <w:pPr>
        <w:ind w:left="1080" w:firstLine="0"/>
      </w:pPr>
      <w:rPr>
        <w:rFonts w:ascii="Symbol" w:hAnsi="Symbol" w:hint="default"/>
      </w:rPr>
    </w:lvl>
  </w:abstractNum>
  <w:abstractNum w:abstractNumId="5" w15:restartNumberingAfterBreak="0">
    <w:nsid w:val="69AC4856"/>
    <w:multiLevelType w:val="hybridMultilevel"/>
    <w:tmpl w:val="D0BE9F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B630701"/>
    <w:multiLevelType w:val="hybridMultilevel"/>
    <w:tmpl w:val="BA34EB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lvlOverride w:ilvl="0">
      <w:lvl w:ilvl="0">
        <w:start w:val="1"/>
        <w:numFmt w:val="decimal"/>
        <w:pStyle w:val="Heading1"/>
        <w:lvlText w:val="%1."/>
        <w:lvlJc w:val="left"/>
        <w:pPr>
          <w:ind w:left="360" w:hanging="360"/>
        </w:pPr>
        <w:rPr>
          <w:rFonts w:ascii="Times New Roman" w:hAnsi="Times New Roman" w:hint="default"/>
          <w:b/>
          <w:color w:val="000000"/>
          <w:sz w:val="24"/>
        </w:rPr>
      </w:lvl>
    </w:lvlOverride>
    <w:lvlOverride w:ilvl="1">
      <w:lvl w:ilvl="1">
        <w:start w:val="1"/>
        <w:numFmt w:val="decimal"/>
        <w:pStyle w:val="Heading2"/>
        <w:lvlText w:val="%1.%2"/>
        <w:lvlJc w:val="left"/>
        <w:pPr>
          <w:ind w:left="720" w:hanging="720"/>
        </w:pPr>
        <w:rPr>
          <w:rFonts w:ascii="Times New Roman" w:hAnsi="Times New Roman" w:hint="default"/>
          <w:b/>
          <w:i w:val="0"/>
          <w:color w:val="000000"/>
          <w:sz w:val="24"/>
          <w:u w:val="none"/>
        </w:rPr>
      </w:lvl>
    </w:lvlOverride>
    <w:lvlOverride w:ilvl="2">
      <w:lvl w:ilvl="2">
        <w:start w:val="1"/>
        <w:numFmt w:val="decimal"/>
        <w:pStyle w:val="Level3Heading"/>
        <w:lvlText w:val="%1.%2.%3"/>
        <w:lvlJc w:val="left"/>
        <w:pPr>
          <w:ind w:left="720" w:hanging="720"/>
        </w:pPr>
        <w:rPr>
          <w:rFonts w:ascii="Times New Roman" w:hAnsi="Times New Roman" w:hint="default"/>
          <w:b w:val="0"/>
          <w:i w:val="0"/>
          <w:color w:val="000000"/>
          <w:sz w:val="24"/>
          <w:u w:val="none"/>
        </w:rPr>
      </w:lvl>
    </w:lvlOverride>
    <w:lvlOverride w:ilvl="3">
      <w:lvl w:ilvl="3">
        <w:start w:val="1"/>
        <w:numFmt w:val="decimal"/>
        <w:pStyle w:val="Level4Heading"/>
        <w:lvlText w:val="%1.%2.%3.%4"/>
        <w:lvlJc w:val="left"/>
        <w:pPr>
          <w:ind w:left="1080" w:hanging="1080"/>
        </w:pPr>
        <w:rPr>
          <w:rFonts w:ascii="Times New Roman" w:hAnsi="Times New Roman" w:hint="default"/>
          <w:b w:val="0"/>
          <w:i w:val="0"/>
          <w:color w:val="000000"/>
          <w:sz w:val="24"/>
          <w:u w:val="none"/>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2">
    <w:abstractNumId w:val="2"/>
  </w:num>
  <w:num w:numId="3">
    <w:abstractNumId w:val="1"/>
  </w:num>
  <w:num w:numId="4">
    <w:abstractNumId w:val="3"/>
  </w:num>
  <w:num w:numId="5">
    <w:abstractNumId w:val="4"/>
  </w:num>
  <w:num w:numId="6">
    <w:abstractNumId w:val="5"/>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1DA2"/>
    <w:rsid w:val="0007695B"/>
    <w:rsid w:val="005615C6"/>
    <w:rsid w:val="005E078B"/>
    <w:rsid w:val="00781D71"/>
    <w:rsid w:val="007D4061"/>
    <w:rsid w:val="008B4EED"/>
    <w:rsid w:val="00B03778"/>
    <w:rsid w:val="00B71DA2"/>
    <w:rsid w:val="00CD1A17"/>
    <w:rsid w:val="00EE3FE5"/>
    <w:rsid w:val="00EF52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5AF64E"/>
  <w15:chartTrackingRefBased/>
  <w15:docId w15:val="{FDBE75E7-B601-4173-9149-38819C8A66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71DA2"/>
  </w:style>
  <w:style w:type="paragraph" w:styleId="Heading1">
    <w:name w:val="heading 1"/>
    <w:aliases w:val="Level 1 Heading"/>
    <w:basedOn w:val="Normal"/>
    <w:next w:val="Normal"/>
    <w:link w:val="Heading1Char"/>
    <w:uiPriority w:val="9"/>
    <w:qFormat/>
    <w:rsid w:val="00B71DA2"/>
    <w:pPr>
      <w:keepNext/>
      <w:keepLines/>
      <w:widowControl w:val="0"/>
      <w:numPr>
        <w:numId w:val="1"/>
      </w:numPr>
      <w:spacing w:after="0" w:line="240" w:lineRule="auto"/>
      <w:outlineLvl w:val="0"/>
    </w:pPr>
    <w:rPr>
      <w:rFonts w:ascii="Arial" w:eastAsia="Times New Roman" w:hAnsi="Arial" w:cs="Times New Roman"/>
      <w:b/>
      <w:caps/>
      <w:snapToGrid w:val="0"/>
      <w:color w:val="000000" w:themeColor="text1"/>
      <w:sz w:val="24"/>
      <w:szCs w:val="24"/>
    </w:rPr>
  </w:style>
  <w:style w:type="paragraph" w:styleId="Heading2">
    <w:name w:val="heading 2"/>
    <w:aliases w:val="Level 2 Heading,Heading 2 Char1,Heading 2 Char Char,Level 2"/>
    <w:basedOn w:val="Normal"/>
    <w:next w:val="Normal"/>
    <w:link w:val="Heading2Char"/>
    <w:uiPriority w:val="9"/>
    <w:qFormat/>
    <w:rsid w:val="00B71DA2"/>
    <w:pPr>
      <w:keepNext/>
      <w:keepLines/>
      <w:widowControl w:val="0"/>
      <w:numPr>
        <w:ilvl w:val="1"/>
        <w:numId w:val="1"/>
      </w:numPr>
      <w:spacing w:after="0" w:line="240" w:lineRule="auto"/>
      <w:outlineLvl w:val="1"/>
    </w:pPr>
    <w:rPr>
      <w:rFonts w:ascii="Arial" w:eastAsia="Times New Roman" w:hAnsi="Arial" w:cs="Times New Roman"/>
      <w:b/>
      <w:snapToGrid w:val="0"/>
      <w:color w:val="000000" w:themeColor="text1"/>
      <w:sz w:val="24"/>
      <w:szCs w:val="24"/>
    </w:rPr>
  </w:style>
  <w:style w:type="paragraph" w:styleId="Heading3">
    <w:name w:val="heading 3"/>
    <w:basedOn w:val="Normal"/>
    <w:next w:val="Normal"/>
    <w:link w:val="Heading3Char"/>
    <w:uiPriority w:val="9"/>
    <w:semiHidden/>
    <w:unhideWhenUsed/>
    <w:qFormat/>
    <w:rsid w:val="00B71DA2"/>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B71DA2"/>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71DA2"/>
    <w:rPr>
      <w:rFonts w:ascii="Arial" w:eastAsia="Times New Roman" w:hAnsi="Arial" w:cs="Times New Roman"/>
      <w:b/>
      <w:caps/>
      <w:snapToGrid w:val="0"/>
      <w:color w:val="000000" w:themeColor="text1"/>
      <w:sz w:val="24"/>
      <w:szCs w:val="24"/>
    </w:rPr>
  </w:style>
  <w:style w:type="character" w:customStyle="1" w:styleId="Heading2Char">
    <w:name w:val="Heading 2 Char"/>
    <w:aliases w:val="Level 2 Heading Char,Heading 2 Char1 Char,Heading 2 Char Char Char,Level 2 Char"/>
    <w:basedOn w:val="DefaultParagraphFont"/>
    <w:link w:val="Heading2"/>
    <w:uiPriority w:val="9"/>
    <w:rsid w:val="00B71DA2"/>
    <w:rPr>
      <w:rFonts w:ascii="Arial" w:eastAsia="Times New Roman" w:hAnsi="Arial" w:cs="Times New Roman"/>
      <w:b/>
      <w:snapToGrid w:val="0"/>
      <w:color w:val="000000" w:themeColor="text1"/>
      <w:sz w:val="24"/>
      <w:szCs w:val="24"/>
    </w:rPr>
  </w:style>
  <w:style w:type="paragraph" w:customStyle="1" w:styleId="Level3Heading">
    <w:name w:val="Level 3 Heading"/>
    <w:basedOn w:val="Heading3"/>
    <w:next w:val="Normal"/>
    <w:qFormat/>
    <w:rsid w:val="00B71DA2"/>
    <w:pPr>
      <w:widowControl w:val="0"/>
      <w:numPr>
        <w:ilvl w:val="2"/>
        <w:numId w:val="1"/>
      </w:numPr>
      <w:tabs>
        <w:tab w:val="num" w:pos="360"/>
      </w:tabs>
      <w:spacing w:before="0" w:line="240" w:lineRule="auto"/>
      <w:ind w:left="0" w:firstLine="0"/>
      <w:outlineLvl w:val="9"/>
    </w:pPr>
    <w:rPr>
      <w:rFonts w:ascii="Arial" w:eastAsia="Times New Roman" w:hAnsi="Arial" w:cs="Times New Roman"/>
      <w:b/>
      <w:snapToGrid w:val="0"/>
      <w:color w:val="000000"/>
    </w:rPr>
  </w:style>
  <w:style w:type="paragraph" w:customStyle="1" w:styleId="Level4Heading">
    <w:name w:val="Level 4 Heading"/>
    <w:basedOn w:val="Heading4"/>
    <w:next w:val="Normal"/>
    <w:qFormat/>
    <w:rsid w:val="00B71DA2"/>
    <w:pPr>
      <w:widowControl w:val="0"/>
      <w:numPr>
        <w:ilvl w:val="3"/>
        <w:numId w:val="1"/>
      </w:numPr>
      <w:tabs>
        <w:tab w:val="num" w:pos="360"/>
      </w:tabs>
      <w:spacing w:before="0" w:line="240" w:lineRule="auto"/>
      <w:ind w:left="0" w:firstLine="0"/>
      <w:outlineLvl w:val="9"/>
    </w:pPr>
    <w:rPr>
      <w:rFonts w:ascii="Arial" w:eastAsia="Times New Roman" w:hAnsi="Arial" w:cs="Times New Roman"/>
      <w:i w:val="0"/>
      <w:iCs w:val="0"/>
      <w:snapToGrid w:val="0"/>
      <w:color w:val="000000"/>
      <w:sz w:val="24"/>
      <w:szCs w:val="24"/>
    </w:rPr>
  </w:style>
  <w:style w:type="numbering" w:customStyle="1" w:styleId="NumberingList">
    <w:name w:val="Numbering List"/>
    <w:uiPriority w:val="99"/>
    <w:rsid w:val="00B71DA2"/>
    <w:pPr>
      <w:numPr>
        <w:numId w:val="1"/>
      </w:numPr>
    </w:pPr>
  </w:style>
  <w:style w:type="paragraph" w:styleId="ListParagraph">
    <w:name w:val="List Paragraph"/>
    <w:basedOn w:val="Normal"/>
    <w:uiPriority w:val="34"/>
    <w:qFormat/>
    <w:rsid w:val="00B71DA2"/>
    <w:pPr>
      <w:ind w:left="720"/>
      <w:contextualSpacing/>
    </w:pPr>
  </w:style>
  <w:style w:type="character" w:customStyle="1" w:styleId="Heading3Char">
    <w:name w:val="Heading 3 Char"/>
    <w:basedOn w:val="DefaultParagraphFont"/>
    <w:link w:val="Heading3"/>
    <w:uiPriority w:val="9"/>
    <w:semiHidden/>
    <w:rsid w:val="00B71DA2"/>
    <w:rPr>
      <w:rFonts w:asciiTheme="majorHAnsi" w:eastAsiaTheme="majorEastAsia" w:hAnsiTheme="majorHAnsi" w:cstheme="majorBidi"/>
      <w:color w:val="1F3763" w:themeColor="accent1" w:themeShade="7F"/>
      <w:sz w:val="24"/>
      <w:szCs w:val="24"/>
    </w:rPr>
  </w:style>
  <w:style w:type="character" w:customStyle="1" w:styleId="Heading4Char">
    <w:name w:val="Heading 4 Char"/>
    <w:basedOn w:val="DefaultParagraphFont"/>
    <w:link w:val="Heading4"/>
    <w:uiPriority w:val="9"/>
    <w:semiHidden/>
    <w:rsid w:val="00B71DA2"/>
    <w:rPr>
      <w:rFonts w:asciiTheme="majorHAnsi" w:eastAsiaTheme="majorEastAsia" w:hAnsiTheme="majorHAnsi" w:cstheme="majorBidi"/>
      <w:i/>
      <w:iCs/>
      <w:color w:val="2F5496"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package" Target="embeddings/Microsoft_Excel_Worksheet.xlsx"/><Relationship Id="rId5" Type="http://schemas.openxmlformats.org/officeDocument/2006/relationships/image" Target="media/image1.em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835</Words>
  <Characters>4761</Characters>
  <Application>Microsoft Office Word</Application>
  <DocSecurity>0</DocSecurity>
  <Lines>39</Lines>
  <Paragraphs>11</Paragraphs>
  <ScaleCrop>false</ScaleCrop>
  <Company>Springer Nature</Company>
  <LinksUpToDate>false</LinksUpToDate>
  <CharactersWithSpaces>5585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2022-10-06T06:02:00Z</dcterms:created>
  <dcterms:modified xsi:type="dcterms:W3CDTF">2022-10-06T06:02:00Z</dcterms:modified>
</cp:coreProperties>
</file>