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778" w:rsidRDefault="00060778" w:rsidP="00060778">
      <w:pPr>
        <w:tabs>
          <w:tab w:val="left" w:pos="8640"/>
        </w:tabs>
        <w:spacing w:line="480" w:lineRule="auto"/>
        <w:rPr>
          <w:rFonts w:ascii="Times New Roman" w:hAnsi="Times New Roman"/>
          <w:b/>
        </w:rPr>
      </w:pPr>
      <w:r>
        <w:rPr>
          <w:rFonts w:ascii="Times New Roman" w:hAnsi="Times New Roman"/>
          <w:b/>
        </w:rPr>
        <w:t>LEGEND SUPPLEMENTARY FIGURES</w:t>
      </w:r>
    </w:p>
    <w:p w:rsidR="00060778" w:rsidRDefault="00060778" w:rsidP="00060778">
      <w:pPr>
        <w:tabs>
          <w:tab w:val="left" w:pos="8640"/>
        </w:tabs>
        <w:spacing w:line="480" w:lineRule="auto"/>
        <w:rPr>
          <w:rFonts w:ascii="Times New Roman" w:hAnsi="Times New Roman"/>
          <w:b/>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S1. </w:t>
      </w:r>
      <w:r>
        <w:rPr>
          <w:rFonts w:ascii="Times New Roman" w:hAnsi="Times New Roman"/>
          <w:sz w:val="20"/>
        </w:rPr>
        <w:t xml:space="preserve">Venn diagram of shared OTUs among rat groups in CTX chemotherapy, treatment with 3L </w:t>
      </w:r>
      <w:r>
        <w:rPr>
          <w:rFonts w:ascii="Times New Roman" w:hAnsi="Times New Roman"/>
          <w:i/>
          <w:sz w:val="20"/>
        </w:rPr>
        <w:t>Lactobacilli</w:t>
      </w:r>
      <w:r>
        <w:rPr>
          <w:rFonts w:ascii="Times New Roman" w:hAnsi="Times New Roman"/>
          <w:sz w:val="20"/>
        </w:rPr>
        <w:t xml:space="preserve"> and gut immune system changes. Various colors represent various groups: 1) normal (control healthy, CK), 2) ill (immune-damaged, IM), 3) chemotherapy + 3L-low dose (L), 4) chemotherapy + 3L-middle dose (M) and 5) chemotherapy + 3L-high dose (H). The number and percentage of shared microbes in each sample or group are represented by the interior of each circle. The set of OTU microbes commonly found in the counterpart samples or groups (CK, H, M, L, IM) is represented by the overlapping area or intersection of circles. The number of OTUs found in a single rat sample/group is represented by the single-layer zone (R(v3.1.1), BGI Co., Ltd).    </w:t>
      </w:r>
    </w:p>
    <w:p w:rsidR="00060778" w:rsidRDefault="00060778" w:rsidP="00060778">
      <w:pPr>
        <w:tabs>
          <w:tab w:val="left" w:pos="8640"/>
        </w:tabs>
        <w:spacing w:line="480" w:lineRule="auto"/>
        <w:rPr>
          <w:rFonts w:ascii="Times New Roman" w:hAnsi="Times New Roman"/>
          <w:b/>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S2. </w:t>
      </w:r>
      <w:r>
        <w:rPr>
          <w:rFonts w:ascii="Times New Roman" w:hAnsi="Times New Roman"/>
          <w:sz w:val="20"/>
        </w:rPr>
        <w:t xml:space="preserve">Differences of Amplicon Sequence Variants/Operational Taxonomic Units composition in fifteen samples corresponding to five groups of rats in relation to CTX chemotherapy + 3L </w:t>
      </w:r>
      <w:r>
        <w:rPr>
          <w:rFonts w:ascii="Times New Roman" w:hAnsi="Times New Roman"/>
          <w:i/>
          <w:sz w:val="20"/>
        </w:rPr>
        <w:t>Lactobacillus</w:t>
      </w:r>
      <w:r>
        <w:rPr>
          <w:rFonts w:ascii="Times New Roman" w:hAnsi="Times New Roman"/>
          <w:sz w:val="20"/>
        </w:rPr>
        <w:t>.</w:t>
      </w:r>
      <w:r>
        <w:rPr>
          <w:rFonts w:ascii="Times New Roman" w:hAnsi="Times New Roman"/>
          <w:b/>
          <w:sz w:val="20"/>
        </w:rPr>
        <w:t xml:space="preserve"> </w:t>
      </w:r>
      <w:r>
        <w:rPr>
          <w:rFonts w:ascii="Times New Roman" w:hAnsi="Times New Roman"/>
          <w:sz w:val="20"/>
        </w:rPr>
        <w:t>CK: normal (control healthy), IM: immune-damaged (CTX-treated, ill), L: chemotherapy + 3L-low dose, M: chemotherapy + 3L-middle dose, H: chemotherapy + 3L-high dose.</w:t>
      </w:r>
      <w:r>
        <w:rPr>
          <w:rFonts w:ascii="Times New Roman" w:hAnsi="Times New Roman"/>
          <w:b/>
        </w:rPr>
        <w:t xml:space="preserve"> </w:t>
      </w:r>
      <w:r>
        <w:rPr>
          <w:rFonts w:ascii="Times New Roman" w:hAnsi="Times New Roman"/>
          <w:sz w:val="20"/>
        </w:rPr>
        <w:t>CK: C101, C103, C105; IM: IM015, IM021, IM024; L: L102, L103, L104; M: M201, M202, M203; H: H105, H204, H205. The number of OTUs at each taxonomic level is shown directly (color code). The terms “Phylum”, “Class”, “Order”, “Family”, “Genus”, and “Species” denote the number of OTUs that can be classified into the taxonomic levels of Phylum, Class, Order, Family, Genus, and Species. “Unclassified OTUs” are those that cannot be assigned to any known taxon (R(v3.1.1), BGI Co., Ltd).</w:t>
      </w:r>
    </w:p>
    <w:p w:rsidR="00060778" w:rsidRDefault="00060778" w:rsidP="00060778">
      <w:pPr>
        <w:tabs>
          <w:tab w:val="left" w:pos="8640"/>
        </w:tabs>
        <w:spacing w:line="480" w:lineRule="auto"/>
        <w:rPr>
          <w:rFonts w:ascii="Times New Roman" w:hAnsi="Times New Roman"/>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S3. </w:t>
      </w:r>
      <w:r>
        <w:rPr>
          <w:rFonts w:ascii="Times New Roman" w:hAnsi="Times New Roman"/>
          <w:sz w:val="20"/>
        </w:rPr>
        <w:t xml:space="preserve">Unweighted pair-group method with arithmetic means (UPGMA) clustering analysis of rat groups related to CTX (chemotherapy) and 3L bioproduct (additive </w:t>
      </w:r>
      <w:r>
        <w:rPr>
          <w:rFonts w:ascii="Times New Roman" w:hAnsi="Times New Roman"/>
          <w:i/>
          <w:sz w:val="20"/>
        </w:rPr>
        <w:t>Lactobacillus</w:t>
      </w:r>
      <w:r>
        <w:rPr>
          <w:rFonts w:ascii="Times New Roman" w:hAnsi="Times New Roman"/>
          <w:sz w:val="20"/>
        </w:rPr>
        <w:t xml:space="preserve"> tritherapy). Fifteen individual samples/CK: C101, C103, C105; IM: IM015, IM021, IM024; L: L102, L103, L104; M: M201, M202, M203; H: H105, H204, H205. Five rat groups/CK: control healthy conditions; IM: immune-attacked, ill, chemo, cyclophosphamide CTX-treated; L: 3L-low dose; M: 3L-middle dose; H: 3L-high dose. The samples are clustered based on their similarity, and the shorter the branch length between the samples, the more similar the two samples. A) UPGMA cluster based on Bray-Curtis dissimilarity index. B) UPGMA cluster based on Jaccard similarity index. In A &amp; B, CK and </w:t>
      </w:r>
      <w:r>
        <w:rPr>
          <w:rFonts w:ascii="Times New Roman" w:hAnsi="Times New Roman"/>
          <w:i/>
          <w:sz w:val="20"/>
        </w:rPr>
        <w:t>Lactobacillus</w:t>
      </w:r>
      <w:r>
        <w:rPr>
          <w:rFonts w:ascii="Times New Roman" w:hAnsi="Times New Roman"/>
          <w:sz w:val="20"/>
        </w:rPr>
        <w:t xml:space="preserve"> (H) samples clustered together. Between CK and H, the branch length is extremely short. CK and H-dose samples are strickingly similar (see *; R(v3.1.1), BGI Co., Ltd).</w:t>
      </w:r>
    </w:p>
    <w:p w:rsidR="00060778" w:rsidRDefault="00060778" w:rsidP="00060778">
      <w:pPr>
        <w:tabs>
          <w:tab w:val="left" w:pos="8640"/>
        </w:tabs>
        <w:spacing w:line="480" w:lineRule="auto"/>
        <w:rPr>
          <w:rFonts w:ascii="Times New Roman" w:hAnsi="Times New Roman"/>
          <w:b/>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S4. </w:t>
      </w:r>
      <w:r>
        <w:rPr>
          <w:rFonts w:ascii="Times New Roman" w:hAnsi="Times New Roman"/>
          <w:sz w:val="20"/>
        </w:rPr>
        <w:t xml:space="preserve">Rank abundance curve (OTU richness) of each rat group related to chemotherapy and </w:t>
      </w:r>
      <w:r>
        <w:rPr>
          <w:rFonts w:ascii="Times New Roman" w:hAnsi="Times New Roman"/>
          <w:i/>
          <w:sz w:val="20"/>
        </w:rPr>
        <w:t>Lactobacillus</w:t>
      </w:r>
      <w:r>
        <w:rPr>
          <w:rFonts w:ascii="Times New Roman" w:hAnsi="Times New Roman"/>
          <w:sz w:val="20"/>
        </w:rPr>
        <w:t xml:space="preserve">. The abscissa represents the OTU number, and the ordinate represents the OTU richness in one group (as converted by Log2 algorithm). Each </w:t>
      </w:r>
      <w:r>
        <w:rPr>
          <w:rFonts w:ascii="Times New Roman" w:hAnsi="Times New Roman"/>
          <w:sz w:val="20"/>
        </w:rPr>
        <w:lastRenderedPageBreak/>
        <w:t xml:space="preserve">line represents a sample’s or group’s OTU abundance distribution (CK-H). The length of the line on the abscissa represents the number of OTUs in the sample or group, which represents the microbial community’s richness. The curve can visually indicate the number of highly abundant and rare OTUs in each microbial community sample. Each sample’s OTUs are arranged in descending order based on their abundance. CK and </w:t>
      </w:r>
      <w:r>
        <w:rPr>
          <w:rFonts w:ascii="Times New Roman" w:hAnsi="Times New Roman"/>
          <w:i/>
          <w:sz w:val="20"/>
        </w:rPr>
        <w:t>Lactobacillus</w:t>
      </w:r>
      <w:r>
        <w:rPr>
          <w:rFonts w:ascii="Times New Roman" w:hAnsi="Times New Roman"/>
          <w:sz w:val="20"/>
        </w:rPr>
        <w:t xml:space="preserve"> rank abundance curves show similar relative microbial species abundance and diversity, which is an important component of a healthy microbiome. 2/3 CTX treatment alone rats also clustered within this group. Two M and two L clustered together. 3L (</w:t>
      </w:r>
      <w:r>
        <w:rPr>
          <w:rFonts w:ascii="Times New Roman" w:hAnsi="Times New Roman"/>
          <w:i/>
          <w:sz w:val="20"/>
        </w:rPr>
        <w:t>Lactobacillus</w:t>
      </w:r>
      <w:r>
        <w:rPr>
          <w:rFonts w:ascii="Times New Roman" w:hAnsi="Times New Roman"/>
          <w:sz w:val="20"/>
        </w:rPr>
        <w:t xml:space="preserve">): </w:t>
      </w:r>
      <w:r>
        <w:rPr>
          <w:rFonts w:ascii="Times New Roman" w:hAnsi="Times New Roman"/>
          <w:i/>
          <w:sz w:val="20"/>
        </w:rPr>
        <w:t>L. acidophilus</w:t>
      </w:r>
      <w:r>
        <w:rPr>
          <w:rFonts w:ascii="Times New Roman" w:hAnsi="Times New Roman"/>
          <w:sz w:val="20"/>
        </w:rPr>
        <w:t xml:space="preserve"> </w:t>
      </w:r>
      <w:r>
        <w:rPr>
          <w:rFonts w:ascii="Times New Roman" w:hAnsi="Times New Roman"/>
          <w:i/>
          <w:sz w:val="20"/>
        </w:rPr>
        <w:t>SD65</w:t>
      </w:r>
      <w:r>
        <w:rPr>
          <w:rFonts w:ascii="Times New Roman" w:hAnsi="Times New Roman"/>
          <w:sz w:val="20"/>
        </w:rPr>
        <w:t xml:space="preserve">, </w:t>
      </w:r>
      <w:r>
        <w:rPr>
          <w:rFonts w:ascii="Times New Roman" w:hAnsi="Times New Roman"/>
          <w:i/>
          <w:sz w:val="20"/>
        </w:rPr>
        <w:t>L. casei SD07, L. plantarum SD02</w:t>
      </w:r>
      <w:r>
        <w:rPr>
          <w:rFonts w:ascii="Times New Roman" w:hAnsi="Times New Roman"/>
          <w:sz w:val="20"/>
        </w:rPr>
        <w:t xml:space="preserve">. L: 3L-low dose (1.25 mg/kg), M: 3L-middle dose (2.50 mg/kg), H: 3L-high dose (5.0 mg/kg). IM: Immune-attacked (CTX treatment). CK: Control (no CTX, no 3L).   </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b/>
        </w:rPr>
      </w:pPr>
      <w:r>
        <w:rPr>
          <w:rFonts w:ascii="Times New Roman" w:hAnsi="Times New Roman"/>
          <w:b/>
          <w:sz w:val="20"/>
        </w:rPr>
        <w:t xml:space="preserve">Figure S5. </w:t>
      </w:r>
      <w:r>
        <w:rPr>
          <w:rFonts w:ascii="Times New Roman" w:hAnsi="Times New Roman"/>
          <w:sz w:val="20"/>
        </w:rPr>
        <w:t>Specaccum species accumulation curve</w:t>
      </w:r>
      <w:r>
        <w:rPr>
          <w:rFonts w:ascii="Times New Roman" w:hAnsi="Times New Roman"/>
          <w:b/>
          <w:sz w:val="20"/>
        </w:rPr>
        <w:t xml:space="preserve"> </w:t>
      </w:r>
      <w:r>
        <w:rPr>
          <w:rFonts w:ascii="Times New Roman" w:hAnsi="Times New Roman"/>
          <w:sz w:val="20"/>
        </w:rPr>
        <w:t>of fifteen samples from rat groups with chemo + 3L. The abscissa represents the sample number, the ordinate represents the number of microbial species detected, and the blue shade reflects the confidence interval of the curve. The results based on fifteen samples do not reflect an increasing rate of new detected species along with the increase of sample number. The bars reflect standard deviation (sd). Except for three dots (+ and ‡: means differences), the curve tends to flatten out, which means that species in this set up do not increase significantly with the increase of sample size and that the sampling is sufficient (R(v3.1.1), BGI Co., Ltd).</w:t>
      </w:r>
      <w:r>
        <w:rPr>
          <w:rFonts w:ascii="Times New Roman" w:hAnsi="Times New Roman"/>
          <w:b/>
        </w:rPr>
        <w:t xml:space="preserve"> </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S6. </w:t>
      </w:r>
      <w:r>
        <w:rPr>
          <w:rFonts w:ascii="Times New Roman" w:hAnsi="Times New Roman"/>
          <w:sz w:val="20"/>
        </w:rPr>
        <w:t xml:space="preserve">Alpha-diversity analysis of five rat groups in relation with chemotherapy and </w:t>
      </w:r>
      <w:r>
        <w:rPr>
          <w:rFonts w:ascii="Times New Roman" w:hAnsi="Times New Roman"/>
          <w:i/>
          <w:sz w:val="20"/>
        </w:rPr>
        <w:t>Lactobacillus</w:t>
      </w:r>
      <w:r>
        <w:rPr>
          <w:rFonts w:ascii="Times New Roman" w:hAnsi="Times New Roman"/>
          <w:sz w:val="20"/>
        </w:rPr>
        <w:t xml:space="preserve">. Different box plots based on Chao1, Simpson, Shannon, Pielou_e, Observed_species and Goods_ coverage indices (p = 0.16-0.76; R(v3.1.1), BGI Co., Ltd). The median is represented by the line inside the box, while the whiskers represent the lowest and highest values within the 1.5 interquartile range (IQR). Outliers are represented by dots. p = probability values obtained in the ANOVA tests (alpha = 0.05) performed to each alpha-diversity index. No significant differences are found within the alpha diversity indices, except for Goods_ coverage (see *). * shows statistical differences between H and the other groups (P ≤ 0.05). CK: control healthy conditions; IM: immune-attacked, ill, cyclophosphamide CTX-treated; L: 3L-low dose; M: 3L-middle dose; H: 3L-high dose. </w:t>
      </w:r>
    </w:p>
    <w:p w:rsidR="00060778" w:rsidRDefault="00060778" w:rsidP="00060778">
      <w:pPr>
        <w:pStyle w:val="a3"/>
        <w:tabs>
          <w:tab w:val="left" w:pos="8640"/>
        </w:tabs>
        <w:spacing w:before="0" w:beforeAutospacing="0" w:after="0" w:afterAutospacing="0" w:line="480" w:lineRule="auto"/>
        <w:rPr>
          <w:rFonts w:ascii="Times New Roman" w:eastAsia="Times" w:hAnsi="Times New Roman"/>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Figure S7.</w:t>
      </w:r>
      <w:r>
        <w:rPr>
          <w:rFonts w:ascii="Times New Roman" w:hAnsi="Times New Roman"/>
          <w:sz w:val="20"/>
        </w:rPr>
        <w:t xml:space="preserve"> Fungal species clustering based on the abundance of each species (heatmap) in rat individual samples in relation to CTX chemotherapy, + 3L-treatment and improved gut microbiome strength. Comparative analysis of three different individual samples (or replicates) in each group (CK: C101, C103, C105; IM: IM015, IM021, IM024; L: L102, L103, L104; M: M201, M202, M203; H: H105, H204, H205). A) Hierarchical clustering based on both groups and taxa (variables: columns and rows). The relative abundance of specific fungal genera is used to link individual samples (map both clustered). B) Hierarchical clustering on taxa (variable: rows). The sample ordering method is regardless of fungi relative abundance (map taxa clustered). The genus-heatmap of individuals in rat groups depicts a total of twenty differentially regulated fungi in relation to CTX chemo (IM) and 3L treatment. * shows low levels of </w:t>
      </w:r>
      <w:r>
        <w:rPr>
          <w:rFonts w:ascii="Times New Roman" w:hAnsi="Times New Roman"/>
          <w:i/>
          <w:sz w:val="20"/>
        </w:rPr>
        <w:t>Pichia</w:t>
      </w:r>
      <w:r>
        <w:rPr>
          <w:rFonts w:ascii="Times New Roman" w:hAnsi="Times New Roman"/>
          <w:sz w:val="20"/>
        </w:rPr>
        <w:t xml:space="preserve"> in most of L samples and abundance of </w:t>
      </w:r>
      <w:r>
        <w:rPr>
          <w:rFonts w:ascii="Times New Roman" w:hAnsi="Times New Roman"/>
          <w:i/>
          <w:sz w:val="20"/>
        </w:rPr>
        <w:t>Fusarium</w:t>
      </w:r>
      <w:r>
        <w:rPr>
          <w:rFonts w:ascii="Times New Roman" w:hAnsi="Times New Roman"/>
          <w:sz w:val="20"/>
        </w:rPr>
        <w:t xml:space="preserve"> in control and H-dose individuals (C101, C103, C105, H105, H204, and H205). Color gradients represent the amounts of individual fungal genera. The color gradation from red firebrick to navy-blue represents a decrease in the abundance of fungal genus (R(v3.1.1), BGI Co., Ltd).</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S8. </w:t>
      </w:r>
      <w:r>
        <w:rPr>
          <w:rFonts w:ascii="Times New Roman" w:hAnsi="Times New Roman"/>
          <w:sz w:val="20"/>
        </w:rPr>
        <w:t>Distribution of fungal taxa in rat individual samples in relation to CTX chemotherapy, 3L, and gut microbiome at the phylum, order, class, family, and genus level. A) Phylum-level. B) Class-level, C) Order-level, D) Family-level and E) Genus-level. Fifteen samples/CK: C101, C103, C105; IM: IM015, IM021, IM024; L: L102, L103, L104; M: M201, M202, M203; H: H105, H204, H205. Five groups/CK: control healthy conditions; IM: immune-attacked, ill, chemo, cyclophosphamide CTX-treated; L: 3L-low dose; M: 3L-middle dose; H: 3L-high dose. The relative abundance of each fungal taxon in a given individual sample is directly displayed (color code). The top 20 most abundant fungal taxa in rat individual fecal samples were used to draw the histogram at phylum-to-genus level. The curve shows that the rat mycobiome is down-regulated after chemotherapy, but it is up-reguled during high- (and middle-) dose 3L (A-E, R(v3.1.1), BGI Co., Ltd).</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Figure S9.</w:t>
      </w:r>
      <w:r>
        <w:rPr>
          <w:rFonts w:ascii="Times New Roman" w:hAnsi="Times New Roman"/>
          <w:sz w:val="20"/>
        </w:rPr>
        <w:t xml:space="preserve"> MetagenomeSeq of enriched microbes in control healthy versus immune-damaged conditions. Comparative analysis of fungal abundance in metagenomes from rats in the control (CK) and IM groups. MetagenomeSeq detects the highest number of taxa in complete fungal dataset. Trichosporonales (Basidiomycota) are differentially abundant fungi between two groups (CK and IM) of multiple samples (R(v3.1.1), BGI Co., Ltd).</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S10. </w:t>
      </w:r>
      <w:r>
        <w:rPr>
          <w:rFonts w:ascii="Times New Roman" w:hAnsi="Times New Roman"/>
          <w:sz w:val="20"/>
        </w:rPr>
        <w:t>LefSe analysis, linear discriminant analysis with nonparametric Kruskal-Wallis and Wilcoxon rank sum tests. Identification of key fungal biomarkers (i.e. key mycobiome members) in various samples or groups of rats following chemotherapy and the addition of 3L bioproduct. Only statistically significant differences between sample groups (identified as “class”) are shown by LefSe. A) Classification unit relative abundance distribution with significant differences between groups. CK: control healthy conditions; IM: immune-attacked, ill, chemo, cyclophosphamide CTX-treated; L: 3L-low dose; M: 3L-middle dose; H: 3L-high dose. Between the CK-H and IM-L-M, LefSe identifies a wide range of significantly different classification units (Fungi, Ascomycota, Sordariomycetes, Hypocreales, Nectriaceae, Fusarium between CK-H and IM-L-M classes) represented by solid and dashed lines. The length of the histogram represents the Linear Discriminant Analysis score. The relative abundance of the mean and median in each unit packet reflects the size of the differences between groups (see Fusarium</w:t>
      </w:r>
      <w:r>
        <w:rPr>
          <w:rFonts w:ascii="Times New Roman" w:hAnsi="Times New Roman"/>
          <w:color w:val="FF0000"/>
          <w:sz w:val="20"/>
        </w:rPr>
        <w:t>*</w:t>
      </w:r>
      <w:r>
        <w:rPr>
          <w:rFonts w:ascii="Times New Roman" w:hAnsi="Times New Roman"/>
          <w:sz w:val="20"/>
        </w:rPr>
        <w:t xml:space="preserve">). B) Classification tree-based intergroup differential classification unit display chart (1e-04, 1e-05). Hierarchical relationships of all taxa in the sample set from phylum to genus (i.e. from the inner circle to the outer circle). The node size corresponds to the taxon’s average relative abundance. The letter “a” denotes the name of the classification unit whith a significant difference between groups. </w:t>
      </w:r>
      <w:r>
        <w:rPr>
          <w:rFonts w:ascii="Times New Roman" w:hAnsi="Times New Roman"/>
          <w:i/>
          <w:sz w:val="20"/>
        </w:rPr>
        <w:t>Fusarium</w:t>
      </w:r>
      <w:r>
        <w:rPr>
          <w:rFonts w:ascii="Times New Roman" w:hAnsi="Times New Roman"/>
          <w:sz w:val="20"/>
        </w:rPr>
        <w:t xml:space="preserve"> is more abundant in the green-colored sample or group (CK; see </w:t>
      </w:r>
      <w:r>
        <w:rPr>
          <w:rFonts w:ascii="Times New Roman" w:hAnsi="Times New Roman"/>
          <w:color w:val="FF0000"/>
          <w:sz w:val="20"/>
        </w:rPr>
        <w:t>*</w:t>
      </w:r>
      <w:r>
        <w:rPr>
          <w:rFonts w:ascii="Times New Roman" w:hAnsi="Times New Roman"/>
          <w:sz w:val="20"/>
        </w:rPr>
        <w:t xml:space="preserve">, R(v3.1.1), BGI Co., Ltd).    </w:t>
      </w:r>
    </w:p>
    <w:p w:rsidR="00060778" w:rsidRDefault="00060778" w:rsidP="00060778">
      <w:pPr>
        <w:tabs>
          <w:tab w:val="left" w:pos="8640"/>
        </w:tabs>
        <w:spacing w:line="480" w:lineRule="auto"/>
        <w:rPr>
          <w:rFonts w:ascii="Times New Roman" w:hAnsi="Times New Roman"/>
          <w:b/>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Figure S11.</w:t>
      </w:r>
      <w:r>
        <w:rPr>
          <w:rFonts w:ascii="Times New Roman" w:hAnsi="Times New Roman"/>
          <w:sz w:val="20"/>
        </w:rPr>
        <w:t xml:space="preserve"> Interaction network based on group and fungal microbial species composition in relation to CTX chemotherapy and 3L </w:t>
      </w:r>
      <w:r>
        <w:rPr>
          <w:rFonts w:ascii="Times New Roman" w:hAnsi="Times New Roman"/>
          <w:i/>
          <w:sz w:val="20"/>
        </w:rPr>
        <w:t>Lactobacillus</w:t>
      </w:r>
      <w:r>
        <w:rPr>
          <w:rFonts w:ascii="Times New Roman" w:hAnsi="Times New Roman"/>
          <w:sz w:val="20"/>
        </w:rPr>
        <w:t xml:space="preserve"> bioproduct treatment in rats. A) Network based on rat groups. CK: control healthy conditions; IM: immune-attacked, ill, chemo, cyclophosphamide CTX-treated; L: 3L-low dose; M: 3L-middle dose; H: 3L-high dose. The CK samples network (in yellow) interacts with the H network (in green). IM samples (in blue) fall farther apart and do not form a network. B) Network based on fungal phylum. The network of CK-H samples corresponds to the network of Ascomycota (see </w:t>
      </w:r>
      <w:r>
        <w:rPr>
          <w:rFonts w:ascii="Times New Roman" w:hAnsi="Times New Roman"/>
          <w:color w:val="FF0000"/>
          <w:sz w:val="20"/>
        </w:rPr>
        <w:t>*</w:t>
      </w:r>
      <w:r>
        <w:rPr>
          <w:rFonts w:ascii="Times New Roman" w:hAnsi="Times New Roman"/>
          <w:sz w:val="20"/>
        </w:rPr>
        <w:t>, R(v3.1.1), BGI Co., Ltd).</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Figure S12.</w:t>
      </w:r>
      <w:r>
        <w:rPr>
          <w:rFonts w:ascii="Times New Roman" w:hAnsi="Times New Roman"/>
          <w:sz w:val="20"/>
        </w:rPr>
        <w:t xml:space="preserve"> Predicted abundance map for the secondary functional pathway in MetCyc. The functional pathway’s abundance (measured in KO per million) is shown in the abscissa. To the right is the pathway from the first level of the KEGG classification, which this pathway belongs to. The average abundance across all samples is displayed here. A) Relative abundance of reactions. B) Reaction counts.</w:t>
      </w:r>
    </w:p>
    <w:p w:rsidR="00060778" w:rsidRDefault="00060778" w:rsidP="00060778">
      <w:pPr>
        <w:tabs>
          <w:tab w:val="left" w:pos="8640"/>
        </w:tabs>
        <w:spacing w:line="480" w:lineRule="auto"/>
        <w:rPr>
          <w:rFonts w:ascii="Times New Roman" w:hAnsi="Times New Roman"/>
          <w:sz w:val="20"/>
        </w:rPr>
      </w:pPr>
    </w:p>
    <w:p w:rsidR="00060778" w:rsidRDefault="00060778" w:rsidP="00060778">
      <w:pPr>
        <w:tabs>
          <w:tab w:val="left" w:pos="8640"/>
        </w:tabs>
        <w:spacing w:line="480" w:lineRule="auto"/>
        <w:rPr>
          <w:rFonts w:ascii="Times New Roman" w:hAnsi="Times New Roman"/>
          <w:sz w:val="20"/>
        </w:rPr>
      </w:pPr>
      <w:r>
        <w:rPr>
          <w:rFonts w:ascii="Times New Roman" w:hAnsi="Times New Roman"/>
          <w:b/>
          <w:sz w:val="20"/>
        </w:rPr>
        <w:t xml:space="preserve">Figure S13. </w:t>
      </w:r>
      <w:r>
        <w:rPr>
          <w:rFonts w:ascii="Times New Roman" w:hAnsi="Times New Roman"/>
          <w:sz w:val="20"/>
        </w:rPr>
        <w:t>Map of the species distribution of additional differential MetaCyc metabolic pathways in rat groups in relation to chemotherapy and addition of 3L bioproduct to gut, and immune strengthening.</w:t>
      </w:r>
      <w:r>
        <w:rPr>
          <w:rFonts w:ascii="Times New Roman" w:hAnsi="Times New Roman"/>
          <w:b/>
          <w:sz w:val="20"/>
        </w:rPr>
        <w:t xml:space="preserve"> </w:t>
      </w:r>
      <w:r>
        <w:rPr>
          <w:rFonts w:ascii="Times New Roman" w:hAnsi="Times New Roman"/>
          <w:sz w:val="20"/>
        </w:rPr>
        <w:t xml:space="preserve">Each group had three samples tested. CK: normal (control healthy), IM: immune-damaged (ill), L: chemotherapy + 3L-low dose, M: chemotherapy + 3L-middle dose, H: chemotherapy + 3L-high dose. A) L-methionine salvage cycle III, B) Oleate biosynthesis IV, C) Mycolate biosynthesis, D) Techoic acid (poly-glycerol) biosynthesis, E) Superpathway of L-threonine metabolism, and F) UDP-N-acetyl-D-glucosamine biosynthesis I. The abscissa is made up of various sample labels that are grouped according to various colors. The samples in the groups are arranged in accordance with how similar the data are. The ordinate represents the relative abundance of metabolic pathways. At the same taxonomic level (genus is used by default), the contributions of various taxon species to the metabolic pathway are shown in various colors. </w:t>
      </w:r>
    </w:p>
    <w:p w:rsidR="00D77751" w:rsidRDefault="00D77751">
      <w:bookmarkStart w:id="0" w:name="_GoBack"/>
      <w:bookmarkEnd w:id="0"/>
    </w:p>
    <w:sectPr w:rsidR="00D77751" w:rsidSect="00050D64">
      <w:type w:val="continuous"/>
      <w:pgSz w:w="12240" w:h="15840"/>
      <w:pgMar w:top="851" w:right="851" w:bottom="851" w:left="851" w:header="176" w:footer="176" w:gutter="0"/>
      <w:cols w:space="720"/>
      <w:titlePg/>
      <w:docGrid w:linePitch="360" w:charSpace="6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420"/>
  <w:drawingGridHorizontalSpacing w:val="243"/>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778"/>
    <w:rsid w:val="00050D64"/>
    <w:rsid w:val="00060778"/>
    <w:rsid w:val="00597DFC"/>
    <w:rsid w:val="00D77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4CEB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778"/>
    <w:rPr>
      <w:rFonts w:ascii="Times" w:eastAsia="Times" w:hAnsi="Times" w:cs="Times New Roman"/>
      <w:noProof/>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60778"/>
    <w:pPr>
      <w:spacing w:before="100" w:beforeAutospacing="1" w:after="100" w:afterAutospacing="1"/>
    </w:pPr>
    <w:rPr>
      <w:rFonts w:eastAsia="宋体"/>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778"/>
    <w:rPr>
      <w:rFonts w:ascii="Times" w:eastAsia="Times" w:hAnsi="Times" w:cs="Times New Roman"/>
      <w:noProof/>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60778"/>
    <w:pPr>
      <w:spacing w:before="100" w:beforeAutospacing="1" w:after="100" w:afterAutospacing="1"/>
    </w:pPr>
    <w:rPr>
      <w:rFonts w:eastAsia="宋体"/>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1731</Words>
  <Characters>9873</Characters>
  <Application>Microsoft Macintosh Word</Application>
  <DocSecurity>0</DocSecurity>
  <Lines>82</Lines>
  <Paragraphs>23</Paragraphs>
  <ScaleCrop>false</ScaleCrop>
  <Company/>
  <LinksUpToDate>false</LinksUpToDate>
  <CharactersWithSpaces>11581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Francois Picimbon</dc:creator>
  <cp:keywords/>
  <dc:description/>
  <cp:lastModifiedBy>Jean Francois Picimbon</cp:lastModifiedBy>
  <cp:revision>1</cp:revision>
  <dcterms:created xsi:type="dcterms:W3CDTF">2022-09-29T21:49:00Z</dcterms:created>
  <dcterms:modified xsi:type="dcterms:W3CDTF">2022-09-29T21:50:00Z</dcterms:modified>
</cp:coreProperties>
</file>