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06F69" w14:textId="5021D71C" w:rsidR="001D797F" w:rsidRDefault="001D797F" w:rsidP="001D797F">
      <w:pPr>
        <w:pStyle w:val="Heading1"/>
      </w:pPr>
      <w:r>
        <w:t>Precipitation data of field trial locations</w:t>
      </w:r>
    </w:p>
    <w:p w14:paraId="3D46212B" w14:textId="6722D8F5" w:rsidR="001D797F" w:rsidRPr="001D797F" w:rsidRDefault="00613B13" w:rsidP="0017676F">
      <w:pPr>
        <w:keepNext/>
        <w:jc w:val="center"/>
      </w:pPr>
      <w:r>
        <w:rPr>
          <w:noProof/>
        </w:rPr>
        <w:drawing>
          <wp:inline distT="0" distB="0" distL="0" distR="0" wp14:anchorId="3EEA2D55" wp14:editId="2C351600">
            <wp:extent cx="3220872" cy="2070561"/>
            <wp:effectExtent l="0" t="0" r="0" b="635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6885" cy="2087284"/>
                    </a:xfrm>
                    <a:prstGeom prst="rect">
                      <a:avLst/>
                    </a:prstGeom>
                    <a:noFill/>
                    <a:ln>
                      <a:noFill/>
                    </a:ln>
                  </pic:spPr>
                </pic:pic>
              </a:graphicData>
            </a:graphic>
          </wp:inline>
        </w:drawing>
      </w:r>
      <w:r>
        <w:rPr>
          <w:noProof/>
        </w:rPr>
        <w:drawing>
          <wp:inline distT="0" distB="0" distL="0" distR="0" wp14:anchorId="63DB8FF3" wp14:editId="754F8438">
            <wp:extent cx="3282287" cy="2110042"/>
            <wp:effectExtent l="0" t="0" r="0" b="508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08678" cy="2127008"/>
                    </a:xfrm>
                    <a:prstGeom prst="rect">
                      <a:avLst/>
                    </a:prstGeom>
                    <a:noFill/>
                    <a:ln>
                      <a:noFill/>
                    </a:ln>
                  </pic:spPr>
                </pic:pic>
              </a:graphicData>
            </a:graphic>
          </wp:inline>
        </w:drawing>
      </w:r>
      <w:r>
        <w:rPr>
          <w:noProof/>
        </w:rPr>
        <w:drawing>
          <wp:inline distT="0" distB="0" distL="0" distR="0" wp14:anchorId="7E07FFED" wp14:editId="30515111">
            <wp:extent cx="3446060" cy="2215325"/>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03663" cy="2252355"/>
                    </a:xfrm>
                    <a:prstGeom prst="rect">
                      <a:avLst/>
                    </a:prstGeom>
                    <a:noFill/>
                    <a:ln>
                      <a:noFill/>
                    </a:ln>
                  </pic:spPr>
                </pic:pic>
              </a:graphicData>
            </a:graphic>
          </wp:inline>
        </w:drawing>
      </w:r>
    </w:p>
    <w:p w14:paraId="49B7FE6C" w14:textId="513ECBDF" w:rsidR="001D797F" w:rsidRPr="001821A7" w:rsidRDefault="001D797F" w:rsidP="001D797F">
      <w:pPr>
        <w:pStyle w:val="Caption"/>
        <w:rPr>
          <w:b w:val="0"/>
          <w:bCs w:val="0"/>
        </w:rPr>
      </w:pPr>
      <w:r>
        <w:t>Figure S</w:t>
      </w:r>
      <w:r w:rsidR="00526D92">
        <w:fldChar w:fldCharType="begin"/>
      </w:r>
      <w:r w:rsidR="00526D92">
        <w:instrText xml:space="preserve"> SEQ Figure_S \* ARABIC </w:instrText>
      </w:r>
      <w:r w:rsidR="00526D92">
        <w:fldChar w:fldCharType="separate"/>
      </w:r>
      <w:r w:rsidR="00F878A8">
        <w:rPr>
          <w:noProof/>
        </w:rPr>
        <w:t>1</w:t>
      </w:r>
      <w:r w:rsidR="00526D92">
        <w:rPr>
          <w:noProof/>
        </w:rPr>
        <w:fldChar w:fldCharType="end"/>
      </w:r>
      <w:r w:rsidR="001821A7">
        <w:t xml:space="preserve">: </w:t>
      </w:r>
      <w:r w:rsidR="001821A7">
        <w:rPr>
          <w:b w:val="0"/>
          <w:bCs w:val="0"/>
        </w:rPr>
        <w:t xml:space="preserve">Precipitation surplus or deficit shown for the </w:t>
      </w:r>
      <w:r w:rsidR="005A4DEE">
        <w:rPr>
          <w:b w:val="0"/>
          <w:bCs w:val="0"/>
        </w:rPr>
        <w:t xml:space="preserve">different farm locations (F1-F10) in Kenya, Zambia and Zimbabwe. The precipitation surplus or deficit was calculated as the difference between the daily precipitation and the average </w:t>
      </w:r>
      <w:proofErr w:type="spellStart"/>
      <w:r w:rsidR="005A4DEE">
        <w:rPr>
          <w:b w:val="0"/>
          <w:bCs w:val="0"/>
        </w:rPr>
        <w:t>dekadal</w:t>
      </w:r>
      <w:proofErr w:type="spellEnd"/>
      <w:r w:rsidR="005A4DEE">
        <w:rPr>
          <w:b w:val="0"/>
          <w:bCs w:val="0"/>
        </w:rPr>
        <w:t xml:space="preserve"> actual evapotranspiration </w:t>
      </w:r>
      <w:r w:rsidR="00402C99">
        <w:rPr>
          <w:b w:val="0"/>
          <w:bCs w:val="0"/>
        </w:rPr>
        <w:t xml:space="preserve">that were extracted from the </w:t>
      </w:r>
      <w:proofErr w:type="spellStart"/>
      <w:r w:rsidR="00402C99">
        <w:rPr>
          <w:b w:val="0"/>
          <w:bCs w:val="0"/>
        </w:rPr>
        <w:t>WaPOR</w:t>
      </w:r>
      <w:proofErr w:type="spellEnd"/>
      <w:r w:rsidR="00402C99">
        <w:rPr>
          <w:b w:val="0"/>
          <w:bCs w:val="0"/>
        </w:rPr>
        <w:t xml:space="preserve"> portal </w:t>
      </w:r>
      <w:r w:rsidR="001A1A92">
        <w:rPr>
          <w:b w:val="0"/>
          <w:bCs w:val="0"/>
        </w:rPr>
        <w:fldChar w:fldCharType="begin" w:fldLock="1"/>
      </w:r>
      <w:r w:rsidR="006070F0">
        <w:rPr>
          <w:b w:val="0"/>
          <w:bCs w:val="0"/>
        </w:rPr>
        <w:instrText>ADDIN CSL_CITATION {"citationItems":[{"id":"ITEM-1","itemData":{"ISBN":"978-92-5-132981-8","author":[{"dropping-particle":"","family":"Food and agriculture organization of the united Nations","given":"","non-dropping-particle":"","parse-names":false,"suffix":""}],"id":"ITEM-1","issued":{"date-parts":[["2020"]]},"publisher":"FOOD &amp; AGRICULTURE ORG","title":"WAPOR DATABASE METHODOLOGY : version 2 release, april 2020.","type":"article-journal"},"uris":["http://www.mendeley.com/documents/?uuid=32d384c9-a694-39df-a33c-ad27bb5f6142"]}],"mendeley":{"formattedCitation":"(Food and agriculture organization of the united Nations, 2020)","plainTextFormattedCitation":"(Food and agriculture organization of the united Nations, 2020)","previouslyFormattedCitation":"(Food and agriculture organization of the united Nations, 2020)"},"properties":{"noteIndex":0},"schema":"https://github.com/citation-style-language/schema/raw/master/csl-citation.json"}</w:instrText>
      </w:r>
      <w:r w:rsidR="001A1A92">
        <w:rPr>
          <w:b w:val="0"/>
          <w:bCs w:val="0"/>
        </w:rPr>
        <w:fldChar w:fldCharType="separate"/>
      </w:r>
      <w:r w:rsidR="00322846" w:rsidRPr="00322846">
        <w:rPr>
          <w:b w:val="0"/>
          <w:bCs w:val="0"/>
          <w:noProof/>
        </w:rPr>
        <w:t>(Food and agriculture organization of the united Nations, 2020)</w:t>
      </w:r>
      <w:r w:rsidR="001A1A92">
        <w:rPr>
          <w:b w:val="0"/>
          <w:bCs w:val="0"/>
        </w:rPr>
        <w:fldChar w:fldCharType="end"/>
      </w:r>
      <w:r w:rsidR="001A1A92">
        <w:rPr>
          <w:b w:val="0"/>
          <w:bCs w:val="0"/>
        </w:rPr>
        <w:t xml:space="preserve">. </w:t>
      </w:r>
    </w:p>
    <w:p w14:paraId="26075691" w14:textId="7DBAE616" w:rsidR="006F39E8" w:rsidRDefault="006F39E8" w:rsidP="006F39E8">
      <w:pPr>
        <w:pStyle w:val="Heading1"/>
      </w:pPr>
      <w:r>
        <w:lastRenderedPageBreak/>
        <w:t>Correlation Table</w:t>
      </w:r>
    </w:p>
    <w:p w14:paraId="509AD817" w14:textId="317D1124" w:rsidR="00752E33" w:rsidRDefault="00E543BC" w:rsidP="00752E33">
      <w:pPr>
        <w:keepNext/>
      </w:pPr>
      <w:r>
        <w:rPr>
          <w:noProof/>
        </w:rPr>
        <w:drawing>
          <wp:inline distT="0" distB="0" distL="0" distR="0" wp14:anchorId="6E71B9B6" wp14:editId="341100FF">
            <wp:extent cx="5769500" cy="5769500"/>
            <wp:effectExtent l="0"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9500" cy="5769500"/>
                    </a:xfrm>
                    <a:prstGeom prst="rect">
                      <a:avLst/>
                    </a:prstGeom>
                  </pic:spPr>
                </pic:pic>
              </a:graphicData>
            </a:graphic>
          </wp:inline>
        </w:drawing>
      </w:r>
    </w:p>
    <w:p w14:paraId="395FAB3B" w14:textId="65FBE0FF" w:rsidR="001C2104" w:rsidRDefault="00752E33" w:rsidP="00752E33">
      <w:pPr>
        <w:pStyle w:val="Caption"/>
        <w:rPr>
          <w:b w:val="0"/>
          <w:bCs w:val="0"/>
        </w:rPr>
      </w:pPr>
      <w:r>
        <w:t>Figure S</w:t>
      </w:r>
      <w:r w:rsidR="00526D92">
        <w:fldChar w:fldCharType="begin"/>
      </w:r>
      <w:r w:rsidR="00526D92">
        <w:instrText xml:space="preserve"> SEQ Figure_S \* ARABIC </w:instrText>
      </w:r>
      <w:r w:rsidR="00526D92">
        <w:fldChar w:fldCharType="separate"/>
      </w:r>
      <w:r w:rsidR="00F878A8">
        <w:rPr>
          <w:noProof/>
        </w:rPr>
        <w:t>2</w:t>
      </w:r>
      <w:r w:rsidR="00526D92">
        <w:rPr>
          <w:noProof/>
        </w:rPr>
        <w:fldChar w:fldCharType="end"/>
      </w:r>
      <w:r>
        <w:t>:</w:t>
      </w:r>
      <w:r>
        <w:rPr>
          <w:b w:val="0"/>
          <w:bCs w:val="0"/>
        </w:rPr>
        <w:t xml:space="preserve"> Correlation table</w:t>
      </w:r>
      <w:r w:rsidR="00407514">
        <w:rPr>
          <w:b w:val="0"/>
          <w:bCs w:val="0"/>
        </w:rPr>
        <w:t xml:space="preserve"> of soil and maize variables for the </w:t>
      </w:r>
      <w:r w:rsidR="000B16EC">
        <w:rPr>
          <w:b w:val="0"/>
          <w:bCs w:val="0"/>
        </w:rPr>
        <w:t>plots receiving no Zn fertilizer</w:t>
      </w:r>
      <w:r>
        <w:rPr>
          <w:b w:val="0"/>
          <w:bCs w:val="0"/>
        </w:rPr>
        <w:t xml:space="preserve">. The </w:t>
      </w:r>
      <w:r w:rsidR="007F1F28">
        <w:rPr>
          <w:b w:val="0"/>
          <w:bCs w:val="0"/>
        </w:rPr>
        <w:t xml:space="preserve">numbers refer to the </w:t>
      </w:r>
      <w:proofErr w:type="spellStart"/>
      <w:r w:rsidR="007F1F28">
        <w:rPr>
          <w:b w:val="0"/>
          <w:bCs w:val="0"/>
        </w:rPr>
        <w:t>pearson</w:t>
      </w:r>
      <w:proofErr w:type="spellEnd"/>
      <w:r w:rsidR="007F1F28">
        <w:rPr>
          <w:b w:val="0"/>
          <w:bCs w:val="0"/>
        </w:rPr>
        <w:t xml:space="preserve"> correlation coefficients, and the asterisks show the level of significance (</w:t>
      </w:r>
      <w:r w:rsidR="006E2180">
        <w:rPr>
          <w:b w:val="0"/>
          <w:bCs w:val="0"/>
        </w:rPr>
        <w:t xml:space="preserve">*: p &lt; 0.05, **: p &lt; 0.01, ***: p &lt; </w:t>
      </w:r>
      <w:r w:rsidR="00273A2D">
        <w:rPr>
          <w:b w:val="0"/>
          <w:bCs w:val="0"/>
        </w:rPr>
        <w:t xml:space="preserve">0.001). </w:t>
      </w:r>
    </w:p>
    <w:p w14:paraId="68DD2664" w14:textId="51DD1394" w:rsidR="00FE040F" w:rsidRDefault="00FE040F" w:rsidP="00FE040F"/>
    <w:p w14:paraId="3E6EC5C3" w14:textId="3AA5B25E" w:rsidR="00E35E14" w:rsidRDefault="00E35E14" w:rsidP="00E35E14"/>
    <w:p w14:paraId="01B8828A" w14:textId="1E749910" w:rsidR="00E35E14" w:rsidRDefault="00E35E14" w:rsidP="00E35E14"/>
    <w:p w14:paraId="7A20C5BD" w14:textId="564EED14" w:rsidR="00E35E14" w:rsidRDefault="00E35E14" w:rsidP="00E35E14"/>
    <w:p w14:paraId="2CE9F734" w14:textId="26BD3EB0" w:rsidR="00E35E14" w:rsidRDefault="00E35E14" w:rsidP="00E35E14"/>
    <w:p w14:paraId="451AB3A3" w14:textId="2C6A5BEB" w:rsidR="00E35E14" w:rsidRDefault="00E35E14" w:rsidP="00E35E14"/>
    <w:p w14:paraId="075508D6" w14:textId="6440B1A3" w:rsidR="00E35E14" w:rsidRDefault="00E35E14" w:rsidP="00E35E14"/>
    <w:p w14:paraId="20EBA763" w14:textId="0B814D65" w:rsidR="00E35E14" w:rsidRDefault="00E35E14" w:rsidP="00E35E14"/>
    <w:p w14:paraId="7A82D9A7" w14:textId="08E4E431" w:rsidR="00E35E14" w:rsidRDefault="00E35E14" w:rsidP="00E35E14"/>
    <w:p w14:paraId="5012DD7A" w14:textId="7EC77B91" w:rsidR="00E35E14" w:rsidRDefault="00E35E14" w:rsidP="00E35E14"/>
    <w:p w14:paraId="45DC593E" w14:textId="31588B32" w:rsidR="00E35E14" w:rsidRDefault="00E35E14" w:rsidP="00E35E14"/>
    <w:p w14:paraId="2CE0D7AE" w14:textId="06A8280B" w:rsidR="00E35E14" w:rsidRDefault="0027327F" w:rsidP="0027327F">
      <w:pPr>
        <w:pStyle w:val="Heading1"/>
      </w:pPr>
      <w:r>
        <w:t>Response in biomass</w:t>
      </w:r>
    </w:p>
    <w:p w14:paraId="2A27C7C1" w14:textId="77777777" w:rsidR="00054B40" w:rsidRDefault="00054B40" w:rsidP="0098136F">
      <w:pPr>
        <w:keepNext/>
        <w:jc w:val="center"/>
      </w:pPr>
      <w:r>
        <w:rPr>
          <w:noProof/>
        </w:rPr>
        <w:drawing>
          <wp:inline distT="0" distB="0" distL="0" distR="0" wp14:anchorId="74D06D46" wp14:editId="7AFD0193">
            <wp:extent cx="3291840" cy="2727597"/>
            <wp:effectExtent l="0" t="0" r="3810" b="0"/>
            <wp:docPr id="4" name="Picture 4" descr="Chart, diagram,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diagram, line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98930" cy="2733472"/>
                    </a:xfrm>
                    <a:prstGeom prst="rect">
                      <a:avLst/>
                    </a:prstGeom>
                  </pic:spPr>
                </pic:pic>
              </a:graphicData>
            </a:graphic>
          </wp:inline>
        </w:drawing>
      </w:r>
    </w:p>
    <w:p w14:paraId="48400EF3" w14:textId="2EA72AE0" w:rsidR="0027327F" w:rsidRDefault="00054B40" w:rsidP="00054B40">
      <w:pPr>
        <w:pStyle w:val="Caption"/>
        <w:rPr>
          <w:b w:val="0"/>
        </w:rPr>
      </w:pPr>
      <w:r>
        <w:t xml:space="preserve">Figure S3: </w:t>
      </w:r>
      <w:r w:rsidR="0075731D" w:rsidRPr="003214CD">
        <w:rPr>
          <w:b w:val="0"/>
        </w:rPr>
        <w:t>The cumulative proportion of blocks in all three countries for the response ratio o</w:t>
      </w:r>
      <w:r w:rsidR="0075731D">
        <w:rPr>
          <w:b w:val="0"/>
        </w:rPr>
        <w:t>f biomass (</w:t>
      </w:r>
      <w:r w:rsidR="0075731D">
        <w:rPr>
          <w:b w:val="0"/>
          <w:i/>
          <w:iCs/>
        </w:rPr>
        <w:t>i.e.</w:t>
      </w:r>
      <w:r w:rsidR="0075731D">
        <w:rPr>
          <w:b w:val="0"/>
        </w:rPr>
        <w:t xml:space="preserve"> stover and grains)</w:t>
      </w:r>
      <w:r w:rsidR="0075731D" w:rsidRPr="003214CD">
        <w:rPr>
          <w:b w:val="0"/>
        </w:rPr>
        <w:t>, calculated as the ratio of the full treatment over the -Zn treatment. A response ratio &gt;1 means a positive response of maize to Zn fertilisation. The horizontal lines and accompanying numbers show the cumulative proportion of all blocks with a response ratio of 0.8 (dashed), 1 (solid), and 1.2 (dashed), respectively.</w:t>
      </w:r>
    </w:p>
    <w:p w14:paraId="7A093EBB" w14:textId="77777777" w:rsidR="006F1064" w:rsidRDefault="006F1064" w:rsidP="006F1064"/>
    <w:p w14:paraId="73108D0D" w14:textId="77777777" w:rsidR="006F1064" w:rsidRDefault="006F1064" w:rsidP="006F1064"/>
    <w:p w14:paraId="6643C73A" w14:textId="77777777" w:rsidR="006F1064" w:rsidRDefault="006F1064" w:rsidP="006F1064"/>
    <w:p w14:paraId="736D3422" w14:textId="77777777" w:rsidR="006F1064" w:rsidRDefault="006F1064" w:rsidP="006F1064"/>
    <w:p w14:paraId="28BAAF8D" w14:textId="77777777" w:rsidR="006F1064" w:rsidRDefault="006F1064" w:rsidP="006F1064"/>
    <w:p w14:paraId="5B59A811" w14:textId="77777777" w:rsidR="006F1064" w:rsidRDefault="006F1064" w:rsidP="006F1064"/>
    <w:p w14:paraId="7EF3960E" w14:textId="77777777" w:rsidR="006F1064" w:rsidRDefault="006F1064" w:rsidP="006F1064"/>
    <w:p w14:paraId="1B87D55A" w14:textId="77777777" w:rsidR="006F1064" w:rsidRDefault="006F1064" w:rsidP="006F1064"/>
    <w:p w14:paraId="2A139A56" w14:textId="77777777" w:rsidR="006F1064" w:rsidRDefault="006F1064" w:rsidP="006F1064"/>
    <w:p w14:paraId="2A770DDE" w14:textId="77777777" w:rsidR="006F1064" w:rsidRDefault="006F1064" w:rsidP="006F1064"/>
    <w:p w14:paraId="3FB1E740" w14:textId="77777777" w:rsidR="006F1064" w:rsidRDefault="006F1064" w:rsidP="006F1064"/>
    <w:p w14:paraId="7981982C" w14:textId="77777777" w:rsidR="006F1064" w:rsidRDefault="006F1064" w:rsidP="006F1064"/>
    <w:p w14:paraId="5453436D" w14:textId="77777777" w:rsidR="006F1064" w:rsidRDefault="006F1064" w:rsidP="006F1064"/>
    <w:p w14:paraId="734656D7" w14:textId="77777777" w:rsidR="006F1064" w:rsidRDefault="006F1064" w:rsidP="006F1064"/>
    <w:p w14:paraId="4AAA4527" w14:textId="77777777" w:rsidR="006F1064" w:rsidRDefault="006F1064" w:rsidP="006F1064"/>
    <w:p w14:paraId="0774AEF0" w14:textId="77777777" w:rsidR="006F1064" w:rsidRDefault="006F1064" w:rsidP="006F1064"/>
    <w:p w14:paraId="03EF5048" w14:textId="77777777" w:rsidR="006F1064" w:rsidRDefault="006F1064" w:rsidP="006F1064"/>
    <w:p w14:paraId="66A28565" w14:textId="77777777" w:rsidR="006F1064" w:rsidRPr="006F1064" w:rsidRDefault="006F1064" w:rsidP="006F1064"/>
    <w:p w14:paraId="405A1D78" w14:textId="77777777" w:rsidR="0027327F" w:rsidRPr="0027327F" w:rsidRDefault="0027327F" w:rsidP="0027327F"/>
    <w:p w14:paraId="34E81227" w14:textId="54A5201C" w:rsidR="00A63001" w:rsidRDefault="00A63001" w:rsidP="00A63001">
      <w:pPr>
        <w:pStyle w:val="Heading1"/>
      </w:pPr>
      <w:r>
        <w:lastRenderedPageBreak/>
        <w:t>Internal efficiency of zinc in maize</w:t>
      </w:r>
    </w:p>
    <w:p w14:paraId="5ECD7926" w14:textId="6AB98E90" w:rsidR="00596390" w:rsidRPr="00922E81" w:rsidRDefault="00596390" w:rsidP="00596390">
      <w:pPr>
        <w:pStyle w:val="Caption"/>
        <w:keepNext/>
        <w:rPr>
          <w:b w:val="0"/>
          <w:bCs w:val="0"/>
          <w:vertAlign w:val="superscript"/>
        </w:rPr>
      </w:pPr>
      <w:r>
        <w:t>Table S</w:t>
      </w:r>
      <w:r w:rsidR="00526D92">
        <w:fldChar w:fldCharType="begin"/>
      </w:r>
      <w:r w:rsidR="00526D92">
        <w:instrText xml:space="preserve"> SEQ Table_S \* ARABIC </w:instrText>
      </w:r>
      <w:r w:rsidR="00526D92">
        <w:fldChar w:fldCharType="separate"/>
      </w:r>
      <w:r>
        <w:rPr>
          <w:noProof/>
        </w:rPr>
        <w:t>1</w:t>
      </w:r>
      <w:r w:rsidR="00526D92">
        <w:rPr>
          <w:noProof/>
        </w:rPr>
        <w:fldChar w:fldCharType="end"/>
      </w:r>
      <w:r w:rsidR="002D52D7">
        <w:rPr>
          <w:noProof/>
        </w:rPr>
        <w:t>:</w:t>
      </w:r>
      <w:r w:rsidR="002D52D7">
        <w:rPr>
          <w:b w:val="0"/>
          <w:bCs w:val="0"/>
          <w:noProof/>
        </w:rPr>
        <w:t xml:space="preserve"> The parameters extracted from the data shown in Figure S5 to assess the maximum and minimum internal efficiency of Zn in maize. </w:t>
      </w:r>
      <w:r w:rsidR="00922E81">
        <w:rPr>
          <w:b w:val="0"/>
          <w:bCs w:val="0"/>
          <w:noProof/>
        </w:rPr>
        <w:t xml:space="preserve">The </w:t>
      </w:r>
      <w:r w:rsidR="00922E81">
        <w:rPr>
          <w:b w:val="0"/>
          <w:bCs w:val="0"/>
          <w:i/>
          <w:iCs/>
          <w:noProof/>
        </w:rPr>
        <w:t>a</w:t>
      </w:r>
      <w:r w:rsidR="00922E81">
        <w:rPr>
          <w:b w:val="0"/>
          <w:bCs w:val="0"/>
          <w:noProof/>
        </w:rPr>
        <w:t xml:space="preserve"> and </w:t>
      </w:r>
      <w:r w:rsidR="00922E81">
        <w:rPr>
          <w:b w:val="0"/>
          <w:bCs w:val="0"/>
          <w:i/>
          <w:iCs/>
          <w:noProof/>
        </w:rPr>
        <w:t>d</w:t>
      </w:r>
      <w:r w:rsidR="00922E81">
        <w:rPr>
          <w:b w:val="0"/>
          <w:bCs w:val="0"/>
          <w:noProof/>
        </w:rPr>
        <w:t xml:space="preserve"> parameters represent the minimum and maximum internal efficiency of Zn in maize</w:t>
      </w:r>
      <w:r w:rsidR="00A374D0">
        <w:rPr>
          <w:b w:val="0"/>
          <w:bCs w:val="0"/>
          <w:noProof/>
        </w:rPr>
        <w:t xml:space="preserve"> respectively</w:t>
      </w:r>
      <w:r w:rsidR="00922E81">
        <w:rPr>
          <w:b w:val="0"/>
          <w:bCs w:val="0"/>
          <w:noProof/>
        </w:rPr>
        <w:t xml:space="preserve">, and </w:t>
      </w:r>
      <w:r w:rsidR="00A374D0">
        <w:rPr>
          <w:b w:val="0"/>
          <w:bCs w:val="0"/>
          <w:noProof/>
        </w:rPr>
        <w:t>are shown by</w:t>
      </w:r>
      <w:r w:rsidR="00922E81">
        <w:rPr>
          <w:b w:val="0"/>
          <w:bCs w:val="0"/>
          <w:noProof/>
        </w:rPr>
        <w:t xml:space="preserve"> the slope values of the lines shown in Figure S5. The </w:t>
      </w:r>
      <w:r w:rsidR="00922E81">
        <w:rPr>
          <w:b w:val="0"/>
          <w:bCs w:val="0"/>
          <w:i/>
          <w:iCs/>
          <w:noProof/>
        </w:rPr>
        <w:t>r</w:t>
      </w:r>
      <w:r w:rsidR="00922E81">
        <w:rPr>
          <w:b w:val="0"/>
          <w:bCs w:val="0"/>
          <w:noProof/>
        </w:rPr>
        <w:t xml:space="preserve"> parameter represent the minimal Zn uptake, and </w:t>
      </w:r>
      <w:r w:rsidR="00A374D0">
        <w:rPr>
          <w:b w:val="0"/>
          <w:bCs w:val="0"/>
          <w:noProof/>
        </w:rPr>
        <w:t xml:space="preserve">is shown by the intercept with the x-axis </w:t>
      </w:r>
      <w:r w:rsidR="004C48E0">
        <w:rPr>
          <w:b w:val="0"/>
          <w:bCs w:val="0"/>
          <w:noProof/>
        </w:rPr>
        <w:t xml:space="preserve">of the two lines in Figure S5. </w:t>
      </w:r>
    </w:p>
    <w:tbl>
      <w:tblPr>
        <w:tblStyle w:val="TableGrid"/>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170"/>
        <w:gridCol w:w="1170"/>
        <w:gridCol w:w="1170"/>
      </w:tblGrid>
      <w:tr w:rsidR="00BE32DE" w:rsidRPr="00BE32DE" w14:paraId="3B73FD9E" w14:textId="77777777" w:rsidTr="00243A65">
        <w:trPr>
          <w:trHeight w:val="387"/>
          <w:jc w:val="center"/>
        </w:trPr>
        <w:tc>
          <w:tcPr>
            <w:tcW w:w="1170" w:type="dxa"/>
            <w:shd w:val="clear" w:color="auto" w:fill="DBDBDB" w:themeFill="accent3" w:themeFillTint="66"/>
          </w:tcPr>
          <w:p w14:paraId="25958A7C" w14:textId="77777777" w:rsidR="00BE32DE" w:rsidRPr="00BE32DE" w:rsidRDefault="00BE32DE" w:rsidP="00300186">
            <w:pPr>
              <w:rPr>
                <w:b/>
                <w:bCs/>
                <w:sz w:val="16"/>
                <w:szCs w:val="16"/>
              </w:rPr>
            </w:pPr>
            <w:r w:rsidRPr="00BE32DE">
              <w:rPr>
                <w:b/>
                <w:bCs/>
                <w:sz w:val="16"/>
                <w:szCs w:val="16"/>
              </w:rPr>
              <w:t>a (kg g</w:t>
            </w:r>
            <w:r w:rsidRPr="00BE32DE">
              <w:rPr>
                <w:b/>
                <w:bCs/>
                <w:sz w:val="16"/>
                <w:szCs w:val="16"/>
                <w:vertAlign w:val="superscript"/>
              </w:rPr>
              <w:t>-1</w:t>
            </w:r>
            <w:r w:rsidRPr="00BE32DE">
              <w:rPr>
                <w:b/>
                <w:bCs/>
                <w:sz w:val="16"/>
                <w:szCs w:val="16"/>
              </w:rPr>
              <w:t>)</w:t>
            </w:r>
          </w:p>
        </w:tc>
        <w:tc>
          <w:tcPr>
            <w:tcW w:w="1170" w:type="dxa"/>
            <w:shd w:val="clear" w:color="auto" w:fill="DBDBDB" w:themeFill="accent3" w:themeFillTint="66"/>
          </w:tcPr>
          <w:p w14:paraId="74EE75E9" w14:textId="77777777" w:rsidR="00BE32DE" w:rsidRPr="00BE32DE" w:rsidRDefault="00BE32DE" w:rsidP="00300186">
            <w:pPr>
              <w:rPr>
                <w:b/>
                <w:bCs/>
                <w:sz w:val="16"/>
                <w:szCs w:val="16"/>
              </w:rPr>
            </w:pPr>
            <w:r w:rsidRPr="00BE32DE">
              <w:rPr>
                <w:b/>
                <w:bCs/>
                <w:sz w:val="16"/>
                <w:szCs w:val="16"/>
              </w:rPr>
              <w:t>d (kg g</w:t>
            </w:r>
            <w:r w:rsidRPr="00BE32DE">
              <w:rPr>
                <w:b/>
                <w:bCs/>
                <w:sz w:val="16"/>
                <w:szCs w:val="16"/>
                <w:vertAlign w:val="superscript"/>
              </w:rPr>
              <w:t>-1</w:t>
            </w:r>
            <w:r w:rsidRPr="00BE32DE">
              <w:rPr>
                <w:b/>
                <w:bCs/>
                <w:sz w:val="16"/>
                <w:szCs w:val="16"/>
              </w:rPr>
              <w:t>)</w:t>
            </w:r>
          </w:p>
        </w:tc>
        <w:tc>
          <w:tcPr>
            <w:tcW w:w="1170" w:type="dxa"/>
            <w:shd w:val="clear" w:color="auto" w:fill="DBDBDB" w:themeFill="accent3" w:themeFillTint="66"/>
          </w:tcPr>
          <w:p w14:paraId="7B2E54B1" w14:textId="77777777" w:rsidR="00BE32DE" w:rsidRPr="00BE32DE" w:rsidRDefault="00BE32DE" w:rsidP="00300186">
            <w:pPr>
              <w:rPr>
                <w:b/>
                <w:bCs/>
                <w:sz w:val="16"/>
                <w:szCs w:val="16"/>
              </w:rPr>
            </w:pPr>
            <w:r w:rsidRPr="00BE32DE">
              <w:rPr>
                <w:b/>
                <w:bCs/>
                <w:sz w:val="16"/>
                <w:szCs w:val="16"/>
              </w:rPr>
              <w:t>r (g ha</w:t>
            </w:r>
            <w:r w:rsidRPr="00BE32DE">
              <w:rPr>
                <w:b/>
                <w:bCs/>
                <w:sz w:val="16"/>
                <w:szCs w:val="16"/>
                <w:vertAlign w:val="superscript"/>
              </w:rPr>
              <w:t>-1</w:t>
            </w:r>
            <w:r w:rsidRPr="00BE32DE">
              <w:rPr>
                <w:b/>
                <w:bCs/>
                <w:sz w:val="16"/>
                <w:szCs w:val="16"/>
              </w:rPr>
              <w:t>)</w:t>
            </w:r>
          </w:p>
        </w:tc>
      </w:tr>
      <w:tr w:rsidR="00BE32DE" w:rsidRPr="00BE32DE" w14:paraId="122C2592" w14:textId="77777777" w:rsidTr="00243A65">
        <w:trPr>
          <w:trHeight w:val="373"/>
          <w:jc w:val="center"/>
        </w:trPr>
        <w:tc>
          <w:tcPr>
            <w:tcW w:w="1170" w:type="dxa"/>
          </w:tcPr>
          <w:p w14:paraId="6BD55EDA" w14:textId="77777777" w:rsidR="00BE32DE" w:rsidRPr="00BE32DE" w:rsidRDefault="00BE32DE" w:rsidP="00300186">
            <w:pPr>
              <w:rPr>
                <w:sz w:val="16"/>
                <w:szCs w:val="16"/>
              </w:rPr>
            </w:pPr>
            <w:r w:rsidRPr="00BE32DE">
              <w:rPr>
                <w:sz w:val="16"/>
                <w:szCs w:val="16"/>
              </w:rPr>
              <w:t>8</w:t>
            </w:r>
          </w:p>
        </w:tc>
        <w:tc>
          <w:tcPr>
            <w:tcW w:w="1170" w:type="dxa"/>
          </w:tcPr>
          <w:p w14:paraId="73A4C3D5" w14:textId="77777777" w:rsidR="00BE32DE" w:rsidRPr="00BE32DE" w:rsidRDefault="00BE32DE" w:rsidP="00300186">
            <w:pPr>
              <w:rPr>
                <w:sz w:val="16"/>
                <w:szCs w:val="16"/>
              </w:rPr>
            </w:pPr>
            <w:r w:rsidRPr="00BE32DE">
              <w:rPr>
                <w:sz w:val="16"/>
                <w:szCs w:val="16"/>
              </w:rPr>
              <w:t>71</w:t>
            </w:r>
          </w:p>
        </w:tc>
        <w:tc>
          <w:tcPr>
            <w:tcW w:w="1170" w:type="dxa"/>
          </w:tcPr>
          <w:p w14:paraId="12F9BF4A" w14:textId="77777777" w:rsidR="00BE32DE" w:rsidRPr="00BE32DE" w:rsidRDefault="00BE32DE" w:rsidP="00300186">
            <w:pPr>
              <w:rPr>
                <w:sz w:val="16"/>
                <w:szCs w:val="16"/>
              </w:rPr>
            </w:pPr>
            <w:r w:rsidRPr="00BE32DE">
              <w:rPr>
                <w:sz w:val="16"/>
                <w:szCs w:val="16"/>
              </w:rPr>
              <w:t>6.1</w:t>
            </w:r>
          </w:p>
        </w:tc>
      </w:tr>
    </w:tbl>
    <w:p w14:paraId="5DCDAF9B" w14:textId="77777777" w:rsidR="00791882" w:rsidRPr="00791882" w:rsidRDefault="00791882" w:rsidP="00791882"/>
    <w:p w14:paraId="448176EB" w14:textId="77777777" w:rsidR="00596390" w:rsidRDefault="00791882" w:rsidP="00596390">
      <w:pPr>
        <w:keepNext/>
        <w:jc w:val="center"/>
      </w:pPr>
      <w:r>
        <w:rPr>
          <w:noProof/>
          <w:lang w:val="en-US"/>
        </w:rPr>
        <w:drawing>
          <wp:inline distT="0" distB="0" distL="0" distR="0" wp14:anchorId="275A141E" wp14:editId="45C29399">
            <wp:extent cx="3093058" cy="2562819"/>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3104789" cy="2572539"/>
                    </a:xfrm>
                    <a:prstGeom prst="rect">
                      <a:avLst/>
                    </a:prstGeom>
                  </pic:spPr>
                </pic:pic>
              </a:graphicData>
            </a:graphic>
          </wp:inline>
        </w:drawing>
      </w:r>
    </w:p>
    <w:p w14:paraId="01D169ED" w14:textId="4E425061" w:rsidR="00A63001" w:rsidRDefault="00596390" w:rsidP="00C27E6C">
      <w:pPr>
        <w:pStyle w:val="Caption"/>
        <w:rPr>
          <w:b w:val="0"/>
          <w:bCs w:val="0"/>
        </w:rPr>
      </w:pPr>
      <w:r>
        <w:t>Figure S</w:t>
      </w:r>
      <w:r w:rsidR="0098136F">
        <w:t>4</w:t>
      </w:r>
      <w:r>
        <w:t>:</w:t>
      </w:r>
      <w:r>
        <w:rPr>
          <w:b w:val="0"/>
          <w:bCs w:val="0"/>
        </w:rPr>
        <w:t xml:space="preserve"> </w:t>
      </w:r>
      <w:r w:rsidR="006070F0">
        <w:rPr>
          <w:b w:val="0"/>
          <w:bCs w:val="0"/>
        </w:rPr>
        <w:t>The relation between maize grain yield and Zn uptake measured</w:t>
      </w:r>
      <w:r w:rsidR="00420A87">
        <w:rPr>
          <w:b w:val="0"/>
          <w:bCs w:val="0"/>
        </w:rPr>
        <w:t xml:space="preserve"> in various field trials in sub-Saharan Africa. The datapoints were taken from the study by </w:t>
      </w:r>
      <w:r w:rsidR="00667E25">
        <w:rPr>
          <w:b w:val="0"/>
          <w:bCs w:val="0"/>
        </w:rPr>
        <w:fldChar w:fldCharType="begin" w:fldLock="1"/>
      </w:r>
      <w:r w:rsidR="00420A87">
        <w:rPr>
          <w:b w:val="0"/>
          <w:bCs w:val="0"/>
        </w:rPr>
        <w:instrText>ADDIN CSL_CITATION {"citationItems":[{"id":"ITEM-1","itemData":{"DOI":"10.2134/agronj14.0466","ISSN":"14350645","abstract":"Maize (Zea mays L.) is the staple food in southern Africa, but low soil fertility and lack of effective fertilization strategies for variable soil conditions hamper efficient use of nutrient resources. The objective of this study was to establish the influence of soil fertility heterogeneity on maize yield response to manure, liming, and inorganic fertilizers. Three sites, selected to represent three soil fertility domains based on soil organic carbon (SOC) between 3.5 to 8.9 g SOC kg&lt;sup&gt;-1&lt;/sup&gt; soil, were used during two cropping seasons. Nitrogen, P, K, and S were applied alone (NPKS) or in combinations involving lime, cattle manure, and micronutrients. Grain and stover were analyzed for nutrient uptake, and agronomic efficiencies were computed for N and P. Across sites, maize grain yields increased with increasing SOC. In Year 2, lime was the most important component for increasing maize yields in low SOC soil. For the medium and high SOC soils, treatments with NPKS + manure resulted in the best efficiencies. Although soil pH was low in these fields as well, lime which was applied only in Year 1, did not improve yields either year. Maize yields and nutrient uptake were strongly affected by SOC content, with yields for a site with 3.5 g SOC kg&lt;sup&gt;-1&lt;/sup&gt; soil significantly lower than the two sites that had &gt;5.3 g SOC kg&lt;sup&gt;-1&lt;/sup&gt;soil. We conclude that farmers must strategically target their limited nutrients resources to fields that are not yet degraded and maintain soil fertility to guarantee returns to fertilizer investments.","author":[{"dropping-particle":"","family":"Kurwakumire","given":"Natasha","non-dropping-particle":"","parse-names":false,"suffix":""},{"dropping-particle":"","family":"Chikowo","given":"Regis","non-dropping-particle":"","parse-names":false,"suffix":""},{"dropping-particle":"","family":"Zingore","given":"Shamie","non-dropping-particle":"","parse-names":false,"suffix":""},{"dropping-particle":"","family":"Mtambanengwe","given":"Florence","non-dropping-particle":"","parse-names":false,"suffix":""},{"dropping-particle":"","family":"Mapfumo","given":"Paul","non-dropping-particle":"","parse-names":false,"suffix":""},{"dropping-particle":"","family":"Snapp","given":"Sieglinde","non-dropping-particle":"","parse-names":false,"suffix":""},{"dropping-particle":"","family":"Johnston","given":"Adrian","non-dropping-particle":"","parse-names":false,"suffix":""}],"container-title":"Agronomy Journal","id":"ITEM-1","issue":"3","issued":{"date-parts":[["2015"]]},"page":"1068-1076","title":"Nutrient management strategies on heterogeneously fertile granitic-derived soils in subhumid Zimbabwe","type":"article-journal","volume":"107"},"uris":["http://www.mendeley.com/documents/?uuid=d4ed5955-8b6f-43b7-a20e-4758daf78445"]}],"mendeley":{"formattedCitation":"(Kurwakumire et al., 2015)","manualFormatting":"Kurwakumire et al. (2015)","plainTextFormattedCitation":"(Kurwakumire et al., 2015)","previouslyFormattedCitation":"(Kurwakumire et al., 2015)"},"properties":{"noteIndex":0},"schema":"https://github.com/citation-style-language/schema/raw/master/csl-citation.json"}</w:instrText>
      </w:r>
      <w:r w:rsidR="00667E25">
        <w:rPr>
          <w:b w:val="0"/>
          <w:bCs w:val="0"/>
        </w:rPr>
        <w:fldChar w:fldCharType="separate"/>
      </w:r>
      <w:r w:rsidR="00667E25" w:rsidRPr="00667E25">
        <w:rPr>
          <w:b w:val="0"/>
          <w:bCs w:val="0"/>
          <w:noProof/>
        </w:rPr>
        <w:t xml:space="preserve">Kurwakumire et al. </w:t>
      </w:r>
      <w:r w:rsidR="00420A87">
        <w:rPr>
          <w:b w:val="0"/>
          <w:bCs w:val="0"/>
          <w:noProof/>
        </w:rPr>
        <w:t>(</w:t>
      </w:r>
      <w:r w:rsidR="00667E25" w:rsidRPr="00667E25">
        <w:rPr>
          <w:b w:val="0"/>
          <w:bCs w:val="0"/>
          <w:noProof/>
        </w:rPr>
        <w:t>2015)</w:t>
      </w:r>
      <w:r w:rsidR="00667E25">
        <w:rPr>
          <w:b w:val="0"/>
          <w:bCs w:val="0"/>
        </w:rPr>
        <w:fldChar w:fldCharType="end"/>
      </w:r>
      <w:r w:rsidR="00420A87">
        <w:rPr>
          <w:b w:val="0"/>
          <w:bCs w:val="0"/>
        </w:rPr>
        <w:t xml:space="preserve"> who did field trials in Zimbabwe </w:t>
      </w:r>
      <w:r w:rsidR="00C55EEC">
        <w:rPr>
          <w:b w:val="0"/>
          <w:bCs w:val="0"/>
        </w:rPr>
        <w:t>in which maize was grown on three sites with NPKS</w:t>
      </w:r>
      <w:r w:rsidR="0041390A">
        <w:rPr>
          <w:b w:val="0"/>
          <w:bCs w:val="0"/>
        </w:rPr>
        <w:t xml:space="preserve"> alone</w:t>
      </w:r>
      <w:r w:rsidR="00C55EEC">
        <w:rPr>
          <w:b w:val="0"/>
          <w:bCs w:val="0"/>
        </w:rPr>
        <w:t xml:space="preserve"> </w:t>
      </w:r>
      <w:r w:rsidR="0041390A">
        <w:rPr>
          <w:b w:val="0"/>
          <w:bCs w:val="0"/>
        </w:rPr>
        <w:t xml:space="preserve">or in combination with lime, manure and micronutrients. </w:t>
      </w:r>
      <w:r w:rsidR="00C52B33">
        <w:rPr>
          <w:b w:val="0"/>
          <w:bCs w:val="0"/>
        </w:rPr>
        <w:t xml:space="preserve">In addition, data was taken from the </w:t>
      </w:r>
      <w:r w:rsidR="00C50E55">
        <w:rPr>
          <w:b w:val="0"/>
          <w:bCs w:val="0"/>
        </w:rPr>
        <w:t xml:space="preserve">nutrient omission </w:t>
      </w:r>
      <w:r w:rsidR="00C52B33">
        <w:rPr>
          <w:b w:val="0"/>
          <w:bCs w:val="0"/>
        </w:rPr>
        <w:t>TAMASA trials, and more specifically from the trials in Nigeria which have been conducted in 2015</w:t>
      </w:r>
      <w:r w:rsidR="005C55C8">
        <w:rPr>
          <w:b w:val="0"/>
          <w:bCs w:val="0"/>
        </w:rPr>
        <w:t xml:space="preserve">, </w:t>
      </w:r>
      <w:r w:rsidR="000D21E1">
        <w:rPr>
          <w:b w:val="0"/>
          <w:bCs w:val="0"/>
        </w:rPr>
        <w:t>in which maize was grown with various fertilization treatments and</w:t>
      </w:r>
      <w:r w:rsidR="00C52B33">
        <w:rPr>
          <w:b w:val="0"/>
          <w:bCs w:val="0"/>
        </w:rPr>
        <w:t xml:space="preserve"> for which aboveground Zn measurements </w:t>
      </w:r>
      <w:r w:rsidR="005C55C8">
        <w:rPr>
          <w:b w:val="0"/>
          <w:bCs w:val="0"/>
        </w:rPr>
        <w:t xml:space="preserve">were done </w:t>
      </w:r>
      <w:r w:rsidR="005C55C8">
        <w:rPr>
          <w:b w:val="0"/>
          <w:bCs w:val="0"/>
        </w:rPr>
        <w:fldChar w:fldCharType="begin" w:fldLock="1"/>
      </w:r>
      <w:r w:rsidR="00526D92">
        <w:rPr>
          <w:b w:val="0"/>
          <w:bCs w:val="0"/>
        </w:rPr>
        <w:instrText>ADDIN CSL_CITATION {"citationItems":[{"id":"ITEM-1","itemData":{"DOI":"10.1016/j.agsy.2020.102790","ISSN":"0308521X","abstract":"In sub-Saharan Africa, there is considerable spatial and temporal variability in relations between nutrient application and crop yield, due to varying inherent soil nutrients supply, soil moisture, crop management and germplasm. This variability affects fertilizer use efficiency and crop productivity. Therefore, development of decision systems that support formulation and delivery of site-specific fertilizer recommendations is important for increased crop yield and environmental protection. Nutrient Expert (NE) is a computer-based decision support system, which enables extension advisers to generate field- or area-specific fertilizer recommendations based on yield response to fertilizer and nutrient use efficiency. We calibrated NE for major maize agroecological zones in Nigeria, Ethiopia and Tanzania, with data generated from 735 on-farm nutrient omission trials conducted between 2015 and 2017. Between 2016 and 2018, 368 NE performance trials were conducted across the three countries in which recommendations generated with NE were evaluated relative to soil-test based recommendations, the current blanket fertilizer recommendations and a control with no fertilizer applied. Although maize yield response to fertilizer differed with geographic location; on average, maize yield response to nitrogen (N), phosphorus (P) and potassium (K) were respectively 2.4, 1.6 and 0.2 t ha−1 in Nigeria, 2.3, 0.9 and 0.2 t ha−1 in Ethiopia, and 1.5, 0.8 and 0.2 t ha−1 in Tanzania. Secondary and micronutrients increased maize yield only in specific areas in each country. Agronomic use efficiencies of N were 18, 22 and 13 kg grain kg−1 N, on average, in Nigeria, Ethiopia and Tanzania, respectively. In Nigeria, NE recommended lower amounts of P by 9 and 11 kg ha−1 and K by 24 and 38 kg ha−1 than soil-test based and regional fertilizer recommendations, respectively. Yet maize yield (4 t ha−1) was similar among the three methods. Agronomic use efficiencies of P and K (300 and 250 kg kg−1, respectively) were higher with NE than with the blanket recommendation (150 and 70 kg kg−1). In Ethiopia, NE and soil-test based respectively recommended lower amounts of P by 8 and 19 kg ha−1 than the blanket recommendations, but maize yield (6 t ha−1) was similar among the three methods. Overall, fertilizer recommendations generated with NE maintained high maize yield, but at a lower fertilizer input cost than conventional methods. NE was effective as a simple and cost-effective decision sup…","author":[{"dropping-particle":"","family":"Rurinda","given":"Jairos","non-dropping-particle":"","parse-names":false,"suffix":""},{"dropping-particle":"","family":"Zingore","given":"Shamie","non-dropping-particle":"","parse-names":false,"suffix":""},{"dropping-particle":"","family":"Jibrin","given":"Jibrin M.","non-dropping-particle":"","parse-names":false,"suffix":""},{"dropping-particle":"","family":"Balemi","given":"Tesfaye","non-dropping-particle":"","parse-names":false,"suffix":""},{"dropping-particle":"","family":"Masuki","given":"Kenneth","non-dropping-particle":"","parse-names":false,"suffix":""},{"dropping-particle":"","family":"Andersson","given":"Jens A.","non-dropping-particle":"","parse-names":false,"suffix":""},{"dropping-particle":"","family":"Pampolino","given":"Mirasol F.","non-dropping-particle":"","parse-names":false,"suffix":""},{"dropping-particle":"","family":"Mohammed","given":"Ibrahim","non-dropping-particle":"","parse-names":false,"suffix":""},{"dropping-particle":"","family":"Mutegi","given":"James","non-dropping-particle":"","parse-names":false,"suffix":""},{"dropping-particle":"","family":"Kamara","given":"Alpha Y.","non-dropping-particle":"","parse-names":false,"suffix":""},{"dropping-particle":"","family":"Vanlauwe","given":"Bernard","non-dropping-particle":"","parse-names":false,"suffix":""},{"dropping-particle":"","family":"Craufurd","given":"Peter Q.","non-dropping-particle":"","parse-names":false,"suffix":""}],"container-title":"Agricultural Systems","id":"ITEM-1","issue":"January","issued":{"date-parts":[["2020"]]},"page":"102790","publisher":"Elsevier","title":"Science-based decision support for formulating crop fertilizer recommendations in sub-Saharan Africa","type":"article-journal","volume":"180"},"uris":["http://www.mendeley.com/documents/?uuid=ad3476f9-c648-4b6d-b55b-4870932c3928"]}],"mendeley":{"formattedCitation":"(Rurinda et al., 2020)","plainTextFormattedCitation":"(Rurinda et al., 2020)","previouslyFormattedCitation":"(Rurinda et al., 2020)"},"properties":{"noteIndex":0},"schema":"https://github.com/citation-style-language/schema/raw/master/csl-citation.json"}</w:instrText>
      </w:r>
      <w:r w:rsidR="005C55C8">
        <w:rPr>
          <w:b w:val="0"/>
          <w:bCs w:val="0"/>
        </w:rPr>
        <w:fldChar w:fldCharType="separate"/>
      </w:r>
      <w:r w:rsidR="00993B1B" w:rsidRPr="00993B1B">
        <w:rPr>
          <w:b w:val="0"/>
          <w:bCs w:val="0"/>
          <w:noProof/>
        </w:rPr>
        <w:t>(Rurinda et al., 2020)</w:t>
      </w:r>
      <w:r w:rsidR="005C55C8">
        <w:rPr>
          <w:b w:val="0"/>
          <w:bCs w:val="0"/>
        </w:rPr>
        <w:fldChar w:fldCharType="end"/>
      </w:r>
      <w:r w:rsidR="000D21E1">
        <w:rPr>
          <w:b w:val="0"/>
          <w:bCs w:val="0"/>
        </w:rPr>
        <w:t xml:space="preserve">. The TAMASA data was downloaded from </w:t>
      </w:r>
      <w:hyperlink r:id="rId14" w:history="1">
        <w:r w:rsidR="0055744B" w:rsidRPr="00517A24">
          <w:rPr>
            <w:rStyle w:val="Hyperlink"/>
            <w:b w:val="0"/>
            <w:bCs w:val="0"/>
          </w:rPr>
          <w:t>https://data.cimmyt.org/</w:t>
        </w:r>
      </w:hyperlink>
      <w:r w:rsidR="0055744B">
        <w:rPr>
          <w:b w:val="0"/>
          <w:bCs w:val="0"/>
        </w:rPr>
        <w:t xml:space="preserve"> </w:t>
      </w:r>
      <w:r w:rsidR="00C27E6C">
        <w:rPr>
          <w:b w:val="0"/>
          <w:bCs w:val="0"/>
        </w:rPr>
        <w:t>(November 2021).</w:t>
      </w:r>
      <w:r w:rsidR="00657095">
        <w:rPr>
          <w:b w:val="0"/>
          <w:bCs w:val="0"/>
        </w:rPr>
        <w:t xml:space="preserve"> These data from literature was combined with the data from this study. For all datasets, all available fertilizer treatments were included.</w:t>
      </w:r>
      <w:r w:rsidR="00C27E6C">
        <w:rPr>
          <w:b w:val="0"/>
          <w:bCs w:val="0"/>
        </w:rPr>
        <w:t xml:space="preserve"> The lines represent the maximum and minimum </w:t>
      </w:r>
      <w:r w:rsidR="00EB676E">
        <w:rPr>
          <w:b w:val="0"/>
          <w:bCs w:val="0"/>
        </w:rPr>
        <w:t>international efficiency (IE, Mg grains g</w:t>
      </w:r>
      <w:r w:rsidR="00EB676E">
        <w:rPr>
          <w:b w:val="0"/>
          <w:bCs w:val="0"/>
          <w:vertAlign w:val="superscript"/>
        </w:rPr>
        <w:t>-1</w:t>
      </w:r>
      <w:r w:rsidR="00EB676E">
        <w:rPr>
          <w:b w:val="0"/>
          <w:bCs w:val="0"/>
        </w:rPr>
        <w:t xml:space="preserve"> Zn) with the parameters from Table S1. These parameters were derived based on the data in this figure, excluding the upper and lower 2.5 % of the datapoints </w:t>
      </w:r>
      <w:r w:rsidR="002D52D7">
        <w:rPr>
          <w:b w:val="0"/>
          <w:bCs w:val="0"/>
        </w:rPr>
        <w:t xml:space="preserve">based on their internal efficiency. </w:t>
      </w:r>
    </w:p>
    <w:p w14:paraId="51071FF7" w14:textId="658B0712" w:rsidR="004C48E0" w:rsidRDefault="004C48E0" w:rsidP="004C48E0">
      <w:r>
        <w:br w:type="page"/>
      </w:r>
    </w:p>
    <w:p w14:paraId="4112C6E8" w14:textId="3460B367" w:rsidR="00536EC8" w:rsidRPr="00536EC8" w:rsidRDefault="00536EC8" w:rsidP="00536EC8">
      <w:pPr>
        <w:pStyle w:val="Heading1"/>
      </w:pPr>
      <w:r>
        <w:lastRenderedPageBreak/>
        <w:t>TAMASA and AFSIS trials data</w:t>
      </w:r>
    </w:p>
    <w:p w14:paraId="3645F576" w14:textId="77777777" w:rsidR="009008EC" w:rsidRPr="009008EC" w:rsidRDefault="009008EC" w:rsidP="009008EC"/>
    <w:p w14:paraId="62C66105" w14:textId="77777777" w:rsidR="000E02B2" w:rsidRDefault="00A03CFD" w:rsidP="00DB1BD2">
      <w:pPr>
        <w:keepNext/>
        <w:jc w:val="center"/>
      </w:pPr>
      <w:r>
        <w:rPr>
          <w:noProof/>
        </w:rPr>
        <w:drawing>
          <wp:inline distT="0" distB="0" distL="0" distR="0" wp14:anchorId="29B1259D" wp14:editId="5DA60765">
            <wp:extent cx="3514477" cy="2912073"/>
            <wp:effectExtent l="0" t="0" r="0" b="3175"/>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3522940" cy="2919085"/>
                    </a:xfrm>
                    <a:prstGeom prst="rect">
                      <a:avLst/>
                    </a:prstGeom>
                  </pic:spPr>
                </pic:pic>
              </a:graphicData>
            </a:graphic>
          </wp:inline>
        </w:drawing>
      </w:r>
    </w:p>
    <w:p w14:paraId="0F987E43" w14:textId="6415045F" w:rsidR="00FE040F" w:rsidRPr="00F45FA2" w:rsidRDefault="000E02B2" w:rsidP="000E02B2">
      <w:pPr>
        <w:pStyle w:val="Caption"/>
        <w:rPr>
          <w:b w:val="0"/>
          <w:bCs w:val="0"/>
        </w:rPr>
      </w:pPr>
      <w:r>
        <w:t>Figure S</w:t>
      </w:r>
      <w:r w:rsidR="0098136F">
        <w:t>5</w:t>
      </w:r>
      <w:r w:rsidR="00F45FA2">
        <w:rPr>
          <w:noProof/>
        </w:rPr>
        <w:t>:</w:t>
      </w:r>
      <w:r w:rsidR="00F45FA2">
        <w:rPr>
          <w:b w:val="0"/>
          <w:bCs w:val="0"/>
          <w:noProof/>
        </w:rPr>
        <w:t xml:space="preserve"> </w:t>
      </w:r>
      <w:r w:rsidR="00BB4896">
        <w:rPr>
          <w:b w:val="0"/>
          <w:bCs w:val="0"/>
          <w:noProof/>
        </w:rPr>
        <w:t xml:space="preserve">Large-scale </w:t>
      </w:r>
      <w:r w:rsidR="00C70FA3">
        <w:rPr>
          <w:b w:val="0"/>
          <w:bCs w:val="0"/>
          <w:noProof/>
        </w:rPr>
        <w:t>nutrient omission field trials have been done recently in various sub-Saharan African countries</w:t>
      </w:r>
      <w:r w:rsidR="00EF589D">
        <w:rPr>
          <w:b w:val="0"/>
          <w:bCs w:val="0"/>
          <w:noProof/>
        </w:rPr>
        <w:t xml:space="preserve"> with maize as a test crop.</w:t>
      </w:r>
      <w:r w:rsidR="000B0C18">
        <w:rPr>
          <w:b w:val="0"/>
          <w:bCs w:val="0"/>
          <w:noProof/>
        </w:rPr>
        <w:t xml:space="preserve"> The results of these trials have been reported in literature</w:t>
      </w:r>
      <w:r w:rsidR="0081720F">
        <w:rPr>
          <w:b w:val="0"/>
          <w:bCs w:val="0"/>
          <w:noProof/>
        </w:rPr>
        <w:t xml:space="preserve"> </w:t>
      </w:r>
      <w:r w:rsidR="00010EEE">
        <w:rPr>
          <w:b w:val="0"/>
          <w:bCs w:val="0"/>
          <w:noProof/>
        </w:rPr>
        <w:fldChar w:fldCharType="begin" w:fldLock="1"/>
      </w:r>
      <w:r w:rsidR="00526D92">
        <w:rPr>
          <w:b w:val="0"/>
          <w:bCs w:val="0"/>
          <w:noProof/>
        </w:rPr>
        <w:instrText>ADDIN CSL_CITATION {"citationItems":[{"id":"ITEM-1","itemData":{"DOI":"10.1016/j.agee.2016.05.012","ISSN":"01678809","abstract":"Improved understanding of soil fertility factors limiting crop productivity is important to develop appropriate soil and nutrient management recommendations in sub-Saharan Africa. Diagnostic trials were implemented in Kenya, Malawi, Mali, Nigeria and Tanzania, as part of the African Soils Information Service (AfSIS) project, to identify soil fertility constraints to crop production across various cropping systems and soil fertility conditions. In each country, one to three sites of 10 km × 10 km were included with each site having 12-31 field trials. The treatments tested included a control, an NPK treatment, three treatments in which the N, P and K nutrients were omitted one at a time from the NPK treatment, and three treatments in which secondary and micronutrients (Ca, Mg, S, Zn and B) simply referred here as multi-nutrients, manure and lime were added to the NPK. The field trials were conducted for 1-2 seasons; the test crop was maize except in Mali where sorghum was used. Nitrogen was limiting in all sites and generally the most limiting nutrient except in Sidindi (Kenya) and Kontela (Mali) where P was the most limiting. The general pattern in Kiberashi (Tanzania) shows none of the nutrients were limiting. K is mainly limiting in only one site (Mbinga) although incidences of K limitation were seen in almost all sites. Addition of multi-nutrients and manure further improved the yields of NPK in most sites. Cluster analyses revealed that maize crop in 11% of fields were highly responsive to nitrogen application, 25% (i.e., 21% poor and 4% fertile) 'non-responsive' to any nutrient or soil amendment, 28% being 'low responsive' and 36% of 'intermediate response'. This study indicates that constraints to crop production vary considerably even within a site, and that addressing limitations in secondary and micronutrients, and increasing soil carbon can improve response to fertilizers. For sustainable crop production intensification in smallholder farming systems in SSA, there is need to develop management strategies to improve efficiency of fertilizer use and of other inputs, recognizing the site-specific nutrient response patterns at various spatial scales.","author":[{"dropping-particle":"","family":"Kihara","given":"Job","non-dropping-particle":"","parse-names":false,"suffix":""},{"dropping-particle":"","family":"Nziguheba","given":"Generose","non-dropping-particle":"","parse-names":false,"suffix":""},{"dropping-particle":"","family":"Zingore","given":"Shamie","non-dropping-particle":"","parse-names":false,"suffix":""},{"dropping-particle":"","family":"Coulibaly","given":"Adama","non-dropping-particle":"","parse-names":false,"suffix":""},{"dropping-particle":"","family":"Esilaba","given":"Anthony","non-dropping-particle":"","parse-names":false,"suffix":""},{"dropping-particle":"","family":"Kabambe","given":"Vernon","non-dropping-particle":"","parse-names":false,"suffix":""},{"dropping-particle":"","family":"Njoroge","given":"Samuel","non-dropping-particle":"","parse-names":false,"suffix":""},{"dropping-particle":"","family":"Palm","given":"Cheryl","non-dropping-particle":"","parse-names":false,"suffix":""},{"dropping-particle":"","family":"Huising","given":"Jeroen","non-dropping-particle":"","parse-names":false,"suffix":""}],"container-title":"Agriculture, Ecosystems and Environment","id":"ITEM-1","issued":{"date-parts":[["2016","8","1"]]},"page":"1-12","publisher":"Elsevier B.V.","title":"Understanding variability in crop response to fertilizer and amendments in sub-Saharan Africa","type":"article-journal","volume":"229"},"uris":["http://www.mendeley.com/documents/?uuid=78a75112-c060-4e64-8ece-9a80f27323aa"]},{"id":"ITEM-2","itemData":{"DOI":"10.1007/s13593-017-0431-0","ISBN":"1359301704","ISSN":"17730155","abstract":"Secondary and micronutrients are important in enhancing crop productivity; yet, they are hardly studied in sub-Sahara Africa. In this region, the main focus has been on macronutrients but there is emerging though scattered evidence of crop productivity limitations by the secondary and micronutrients. Elsewhere, widespread deficiencies of these nutrients are associated with stagnation of yields. Here, we undertake a meta-analysis using 40 articles reporting crop response to secondary and micronutrients to (1) determine the productivity increase of crops and nutrient use efficiency associated with these nutrients, and (2) provide synthesis of responses to secondary nutrients and micronutrients in sub-Sahara Africa. This study used 757 yield data rows (530 from publications and 227 from Africa Soil Information Service) from field trials carried out in SSA between 1969 and 2013 in 14 countries. Data from publications constituted response to S (49.4%), Zn (23.0%), S and micronutrient combinations (11.5%), and &lt;10% each for Cu, Mo, Fe, and B. Data from Africa Soil Information Service were all for S and micronutrient combinations. Of the two sources, most yield data are for maize (73.6%), followed by sorghum (6.7%) and wheat (6.1%) while rice, cowpea, faba bean, tef, and soybean each accounted for less than 5%. The major points are the following: (1) application of S and micronutrients increased maize yield by 0.84 t ha−1 (i.e., 25%) over macronutrient only treatment and achieved agronomic efficiencies (kilograms of grain increase per kilogram of micronutrient added) between 38 and 432 and (2) response ratios were &gt;1 for S and all micronutrients, i.e., the probability of response ratio exceeding 1 was 0.77 for S and 0.83 for Zn, 0.95 for Cu, and 0.92 for Fe, and indicates positive crop response for a majority of farmers. We conclude that S and micronutrients are holding back crop productivity especially on soils where response to macronutrients is low and that more research is needed to unravel conditions under which application of S and micronutrients may pose financial risks.","author":[{"dropping-particle":"","family":"Kihara","given":"Job","non-dropping-particle":"","parse-names":false,"suffix":""},{"dropping-particle":"","family":"Sileshi","given":"Gudeta Weldesemayat","non-dropping-particle":"","parse-names":false,"suffix":""},{"dropping-particle":"","family":"Nziguheba","given":"Generose","non-dropping-particle":"","parse-names":false,"suffix":""},{"dropping-particle":"","family":"Kinyua","given":"Michael","non-dropping-particle":"","parse-names":false,"suffix":""},{"dropping-particle":"","family":"Zingore","given":"Shamie","non-dropping-particle":"","parse-names":false,"suffix":""},{"dropping-particle":"","family":"Sommer","given":"Rolf","non-dropping-particle":"","parse-names":false,"suffix":""}],"container-title":"Agronomy for Sustainable Development","id":"ITEM-2","issued":{"date-parts":[["2017"]]},"note":"- Meta analysis: application of secondary nutrients leads to higher yields \n- Soil types that are associated with response ratio to micronutrients (interesting to compare management strategies MSM with this figure) \n-","page":"25","title":"Application of secondary nutrients and micronutrients increases crop yields in sub-Saharan Africa","type":"article-journal","volume":"37"},"uris":["http://www.mendeley.com/documents/?uuid=0edccd0c-92db-4516-ad9a-ebaf28a79f15"]},{"id":"ITEM-3","itemData":{"DOI":"10.1016/j.agsy.2020.102790","ISSN":"0308521X","abstract":"In sub-Saharan Africa, there is considerable spatial and temporal variability in relations between nutrient application and crop yield, due to varying inherent soil nutrients supply, soil moisture, crop management and germplasm. This variability affects fertilizer use efficiency and crop productivity. Therefore, development of decision systems that support formulation and delivery of site-specific fertilizer recommendations is important for increased crop yield and environmental protection. Nutrient Expert (NE) is a computer-based decision support system, which enables extension advisers to generate field- or area-specific fertilizer recommendations based on yield response to fertilizer and nutrient use efficiency. We calibrated NE for major maize agroecological zones in Nigeria, Ethiopia and Tanzania, with data generated from 735 on-farm nutrient omission trials conducted between 2015 and 2017. Between 2016 and 2018, 368 NE performance trials were conducted across the three countries in which recommendations generated with NE were evaluated relative to soil-test based recommendations, the current blanket fertilizer recommendations and a control with no fertilizer applied. Although maize yield response to fertilizer differed with geographic location; on average, maize yield response to nitrogen (N), phosphorus (P) and potassium (K) were respectively 2.4, 1.6 and 0.2 t ha−1 in Nigeria, 2.3, 0.9 and 0.2 t ha−1 in Ethiopia, and 1.5, 0.8 and 0.2 t ha−1 in Tanzania. Secondary and micronutrients increased maize yield only in specific areas in each country. Agronomic use efficiencies of N were 18, 22 and 13 kg grain kg−1 N, on average, in Nigeria, Ethiopia and Tanzania, respectively. In Nigeria, NE recommended lower amounts of P by 9 and 11 kg ha−1 and K by 24 and 38 kg ha−1 than soil-test based and regional fertilizer recommendations, respectively. Yet maize yield (4 t ha−1) was similar among the three methods. Agronomic use efficiencies of P and K (300 and 250 kg kg−1, respectively) were higher with NE than with the blanket recommendation (150 and 70 kg kg−1). In Ethiopia, NE and soil-test based respectively recommended lower amounts of P by 8 and 19 kg ha−1 than the blanket recommendations, but maize yield (6 t ha−1) was similar among the three methods. Overall, fertilizer recommendations generated with NE maintained high maize yield, but at a lower fertilizer input cost than conventional methods. NE was effective as a simple and cost-effective decision sup…","author":[{"dropping-particle":"","family":"Rurinda","given":"Jairos","non-dropping-particle":"","parse-names":false,"suffix":""},{"dropping-particle":"","family":"Zingore","given":"Shamie","non-dropping-particle":"","parse-names":false,"suffix":""},{"dropping-particle":"","family":"Jibrin","given":"Jibrin M.","non-dropping-particle":"","parse-names":false,"suffix":""},{"dropping-particle":"","family":"Balemi","given":"Tesfaye","non-dropping-particle":"","parse-names":false,"suffix":""},{"dropping-particle":"","family":"Masuki","given":"Kenneth","non-dropping-particle":"","parse-names":false,"suffix":""},{"dropping-particle":"","family":"Andersson","given":"Jens A.","non-dropping-particle":"","parse-names":false,"suffix":""},{"dropping-particle":"","family":"Pampolino","given":"Mirasol F.","non-dropping-particle":"","parse-names":false,"suffix":""},{"dropping-particle":"","family":"Mohammed","given":"Ibrahim","non-dropping-particle":"","parse-names":false,"suffix":""},{"dropping-particle":"","family":"Mutegi","given":"James","non-dropping-particle":"","parse-names":false,"suffix":""},{"dropping-particle":"","family":"Kamara","given":"Alpha Y.","non-dropping-particle":"","parse-names":false,"suffix":""},{"dropping-particle":"","family":"Vanlauwe","given":"Bernard","non-dropping-particle":"","parse-names":false,"suffix":""},{"dropping-particle":"","family":"Craufurd","given":"Peter Q.","non-dropping-particle":"","parse-names":false,"suffix":""}],"container-title":"Agricultural Systems","id":"ITEM-3","issue":"January","issued":{"date-parts":[["2020"]]},"page":"102790","publisher":"Elsevier","title":"Science-based decision support for formulating crop fertilizer recommendations in sub-Saharan Africa","type":"article-journal","volume":"180"},"uris":["http://www.mendeley.com/documents/?uuid=ad3476f9-c648-4b6d-b55b-4870932c3928"]}],"mendeley":{"formattedCitation":"(Kihara et al., 2016, 2017; Rurinda et al., 2020)","plainTextFormattedCitation":"(Kihara et al., 2016, 2017; Rurinda et al., 2020)","previouslyFormattedCitation":"(Kihara et al., 2016, 2017; Rurinda et al., 2020)"},"properties":{"noteIndex":0},"schema":"https://github.com/citation-style-language/schema/raw/master/csl-citation.json"}</w:instrText>
      </w:r>
      <w:r w:rsidR="00010EEE">
        <w:rPr>
          <w:b w:val="0"/>
          <w:bCs w:val="0"/>
          <w:noProof/>
        </w:rPr>
        <w:fldChar w:fldCharType="separate"/>
      </w:r>
      <w:r w:rsidR="00993B1B" w:rsidRPr="00993B1B">
        <w:rPr>
          <w:b w:val="0"/>
          <w:bCs w:val="0"/>
          <w:noProof/>
        </w:rPr>
        <w:t>(Kihara et al., 2016, 2017; Rurinda et al., 2020)</w:t>
      </w:r>
      <w:r w:rsidR="00010EEE">
        <w:rPr>
          <w:b w:val="0"/>
          <w:bCs w:val="0"/>
          <w:noProof/>
        </w:rPr>
        <w:fldChar w:fldCharType="end"/>
      </w:r>
      <w:r w:rsidR="00434474" w:rsidRPr="00434474">
        <w:rPr>
          <w:b w:val="0"/>
          <w:bCs w:val="0"/>
          <w:noProof/>
          <w:lang w:val="nl-NL"/>
        </w:rPr>
        <w:t>.</w:t>
      </w:r>
      <w:r w:rsidR="00EF589D" w:rsidRPr="00434474">
        <w:rPr>
          <w:b w:val="0"/>
          <w:bCs w:val="0"/>
          <w:noProof/>
          <w:lang w:val="nl-NL"/>
        </w:rPr>
        <w:t xml:space="preserve"> </w:t>
      </w:r>
      <w:r w:rsidR="00EF589D">
        <w:rPr>
          <w:b w:val="0"/>
          <w:bCs w:val="0"/>
          <w:noProof/>
        </w:rPr>
        <w:t xml:space="preserve">In these field trials, maize yields </w:t>
      </w:r>
      <w:r w:rsidR="00CD6D83">
        <w:rPr>
          <w:b w:val="0"/>
          <w:bCs w:val="0"/>
          <w:noProof/>
        </w:rPr>
        <w:t>obtained with only</w:t>
      </w:r>
      <w:r w:rsidR="00EF589D">
        <w:rPr>
          <w:b w:val="0"/>
          <w:bCs w:val="0"/>
          <w:noProof/>
        </w:rPr>
        <w:t xml:space="preserve"> nitrogen (N), phosphorus (P) and potassium (K) fertilization were compared with</w:t>
      </w:r>
      <w:r w:rsidR="00CD6D83">
        <w:rPr>
          <w:b w:val="0"/>
          <w:bCs w:val="0"/>
          <w:noProof/>
        </w:rPr>
        <w:t xml:space="preserve"> maize yields from</w:t>
      </w:r>
      <w:r w:rsidR="00EF589D">
        <w:rPr>
          <w:b w:val="0"/>
          <w:bCs w:val="0"/>
          <w:noProof/>
        </w:rPr>
        <w:t xml:space="preserve"> NPK + secondary + micronutrients (NPKSMN) </w:t>
      </w:r>
      <w:r w:rsidR="00CD6D83">
        <w:rPr>
          <w:b w:val="0"/>
          <w:bCs w:val="0"/>
          <w:noProof/>
        </w:rPr>
        <w:t xml:space="preserve">treatments. </w:t>
      </w:r>
      <w:r w:rsidR="009C76AA">
        <w:rPr>
          <w:b w:val="0"/>
          <w:bCs w:val="0"/>
          <w:noProof/>
        </w:rPr>
        <w:t>This figure includes data from the</w:t>
      </w:r>
      <w:r w:rsidR="00CD6D83">
        <w:rPr>
          <w:b w:val="0"/>
          <w:bCs w:val="0"/>
          <w:noProof/>
        </w:rPr>
        <w:t xml:space="preserve"> </w:t>
      </w:r>
      <w:r w:rsidR="00103775">
        <w:rPr>
          <w:b w:val="0"/>
          <w:bCs w:val="0"/>
          <w:noProof/>
        </w:rPr>
        <w:t xml:space="preserve">Taking Maize Agronomy to Scale in Africa (TAMASA) </w:t>
      </w:r>
      <w:r w:rsidR="009C76AA">
        <w:rPr>
          <w:b w:val="0"/>
          <w:bCs w:val="0"/>
          <w:noProof/>
        </w:rPr>
        <w:t xml:space="preserve">project with field trials in </w:t>
      </w:r>
      <w:r w:rsidR="007D057D">
        <w:rPr>
          <w:b w:val="0"/>
          <w:bCs w:val="0"/>
          <w:noProof/>
        </w:rPr>
        <w:t xml:space="preserve">Nigeria (2015, 2016), Ethiopia (2015, 2016) </w:t>
      </w:r>
      <w:r w:rsidR="000341A5">
        <w:rPr>
          <w:b w:val="0"/>
          <w:bCs w:val="0"/>
          <w:noProof/>
        </w:rPr>
        <w:t>and Tanzania (2016)</w:t>
      </w:r>
      <w:r w:rsidR="00E36560">
        <w:rPr>
          <w:b w:val="0"/>
          <w:bCs w:val="0"/>
          <w:noProof/>
        </w:rPr>
        <w:t xml:space="preserve">. These data was downloaded from </w:t>
      </w:r>
      <w:hyperlink r:id="rId16" w:history="1">
        <w:r w:rsidR="00E36560" w:rsidRPr="00517A24">
          <w:rPr>
            <w:rStyle w:val="Hyperlink"/>
            <w:b w:val="0"/>
            <w:bCs w:val="0"/>
          </w:rPr>
          <w:t>https://data.cimmyt.org/</w:t>
        </w:r>
      </w:hyperlink>
      <w:r w:rsidR="00E36560">
        <w:rPr>
          <w:b w:val="0"/>
          <w:bCs w:val="0"/>
        </w:rPr>
        <w:t xml:space="preserve"> (November 2021)</w:t>
      </w:r>
      <w:r w:rsidR="000341A5">
        <w:rPr>
          <w:b w:val="0"/>
          <w:bCs w:val="0"/>
          <w:noProof/>
        </w:rPr>
        <w:t xml:space="preserve">and have been discussed by Rurinda et al. (2020). </w:t>
      </w:r>
      <w:r w:rsidR="00E36560">
        <w:rPr>
          <w:b w:val="0"/>
          <w:bCs w:val="0"/>
          <w:noProof/>
        </w:rPr>
        <w:t xml:space="preserve">In addition, datapoints from the Africa Soil Information Service (Afsis) project were included, </w:t>
      </w:r>
      <w:r w:rsidR="000F6A30">
        <w:rPr>
          <w:b w:val="0"/>
          <w:bCs w:val="0"/>
          <w:noProof/>
        </w:rPr>
        <w:t>with field trial data from Mali, Kenya, Malawi, Tanzania and Nigeria</w:t>
      </w:r>
      <w:r w:rsidR="00C21C68">
        <w:rPr>
          <w:b w:val="0"/>
          <w:bCs w:val="0"/>
          <w:noProof/>
        </w:rPr>
        <w:t xml:space="preserve">. These data was download from </w:t>
      </w:r>
      <w:hyperlink r:id="rId17" w:history="1">
        <w:r w:rsidR="009F6198" w:rsidRPr="00517A24">
          <w:rPr>
            <w:rStyle w:val="Hyperlink"/>
            <w:b w:val="0"/>
            <w:bCs w:val="0"/>
            <w:noProof/>
          </w:rPr>
          <w:t>https://dataverse.harvard.edu/dataset.xhtml?persistentId=doi:10.7910/DVN/C6DIIC</w:t>
        </w:r>
      </w:hyperlink>
      <w:r w:rsidR="009F6198">
        <w:rPr>
          <w:b w:val="0"/>
          <w:bCs w:val="0"/>
          <w:noProof/>
        </w:rPr>
        <w:t xml:space="preserve"> (November 2021) and have been discussed by Kihara et al. (2016, 2017). </w:t>
      </w:r>
    </w:p>
    <w:p w14:paraId="65F6557D" w14:textId="363A8FF3" w:rsidR="00087E58" w:rsidRDefault="00087E58" w:rsidP="00087E58"/>
    <w:p w14:paraId="4AAA662B" w14:textId="6B5D8973" w:rsidR="00087E58" w:rsidRDefault="00087E58" w:rsidP="00087E58">
      <w:pPr>
        <w:pStyle w:val="NoSpacing"/>
        <w:keepNext/>
        <w:jc w:val="center"/>
        <w:rPr>
          <w:lang w:val="en-US"/>
        </w:rPr>
      </w:pPr>
      <w:r>
        <w:rPr>
          <w:noProof/>
          <w:lang w:val="en-US"/>
        </w:rPr>
        <w:drawing>
          <wp:inline distT="0" distB="0" distL="0" distR="0" wp14:anchorId="4BB67BDD" wp14:editId="7BC5B92A">
            <wp:extent cx="2822575" cy="234569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22575" cy="2345690"/>
                    </a:xfrm>
                    <a:prstGeom prst="rect">
                      <a:avLst/>
                    </a:prstGeom>
                    <a:noFill/>
                    <a:ln>
                      <a:noFill/>
                    </a:ln>
                  </pic:spPr>
                </pic:pic>
              </a:graphicData>
            </a:graphic>
          </wp:inline>
        </w:drawing>
      </w:r>
      <w:r>
        <w:rPr>
          <w:noProof/>
          <w:lang w:val="en-US"/>
        </w:rPr>
        <w:drawing>
          <wp:inline distT="0" distB="0" distL="0" distR="0" wp14:anchorId="32BAA4F4" wp14:editId="1C96CA9E">
            <wp:extent cx="2822575" cy="234569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22575" cy="2345690"/>
                    </a:xfrm>
                    <a:prstGeom prst="rect">
                      <a:avLst/>
                    </a:prstGeom>
                    <a:noFill/>
                    <a:ln>
                      <a:noFill/>
                    </a:ln>
                  </pic:spPr>
                </pic:pic>
              </a:graphicData>
            </a:graphic>
          </wp:inline>
        </w:drawing>
      </w:r>
    </w:p>
    <w:p w14:paraId="34A05409" w14:textId="2B2049E1" w:rsidR="006C2B30" w:rsidRDefault="00131B99" w:rsidP="004C4603">
      <w:pPr>
        <w:pStyle w:val="Caption"/>
        <w:rPr>
          <w:b w:val="0"/>
          <w:bCs w:val="0"/>
        </w:rPr>
      </w:pPr>
      <w:r>
        <w:t>Figure S</w:t>
      </w:r>
      <w:r w:rsidR="0098136F">
        <w:t>6</w:t>
      </w:r>
      <w:r>
        <w:t>:</w:t>
      </w:r>
      <w:r>
        <w:rPr>
          <w:b w:val="0"/>
          <w:bCs w:val="0"/>
        </w:rPr>
        <w:t xml:space="preserve"> </w:t>
      </w:r>
      <w:r w:rsidRPr="00131B99">
        <w:rPr>
          <w:b w:val="0"/>
        </w:rPr>
        <w:t xml:space="preserve">The cumulative distribution of maize grain yield and the grain yield response ratio observed in the control (no fertilizer), NPK and NPK in combination with secondary (S) and micronutrients (MN) for the </w:t>
      </w:r>
      <w:proofErr w:type="spellStart"/>
      <w:r w:rsidRPr="00131B99">
        <w:rPr>
          <w:b w:val="0"/>
        </w:rPr>
        <w:t>Tamasa</w:t>
      </w:r>
      <w:proofErr w:type="spellEnd"/>
      <w:r w:rsidRPr="00131B99">
        <w:rPr>
          <w:b w:val="0"/>
        </w:rPr>
        <w:t xml:space="preserve"> trials (Nigeria, 2015 and 2016; Tanzania, 2016; Ethiopia, 2015 and 2016) </w:t>
      </w:r>
      <w:r w:rsidRPr="00131B99">
        <w:rPr>
          <w:b w:val="0"/>
        </w:rPr>
        <w:fldChar w:fldCharType="begin" w:fldLock="1"/>
      </w:r>
      <w:r w:rsidR="00526D92">
        <w:rPr>
          <w:b w:val="0"/>
        </w:rPr>
        <w:instrText>ADDIN CSL_CITATION {"citationItems":[{"id":"ITEM-1","itemData":{"DOI":"10.1016/j.agsy.2020.102790","ISSN":"0308521X","abstract":"In sub-Saharan Africa, there is considerable spatial and temporal variability in relations between nutrient application and crop yield, due to varying inherent soil nutrients supply, soil moisture, crop management and germplasm. This variability affects fertilizer use efficiency and crop productivity. Therefore, development of decision systems that support formulation and delivery of site-specific fertilizer recommendations is important for increased crop yield and environmental protection. Nutrient Expert (NE) is a computer-based decision support system, which enables extension advisers to generate field- or area-specific fertilizer recommendations based on yield response to fertilizer and nutrient use efficiency. We calibrated NE for major maize agroecological zones in Nigeria, Ethiopia and Tanzania, with data generated from 735 on-farm nutrient omission trials conducted between 2015 and 2017. Between 2016 and 2018, 368 NE performance trials were conducted across the three countries in which recommendations generated with NE were evaluated relative to soil-test based recommendations, the current blanket fertilizer recommendations and a control with no fertilizer applied. Although maize yield response to fertilizer differed with geographic location; on average, maize yield response to nitrogen (N), phosphorus (P) and potassium (K) were respectively 2.4, 1.6 and 0.2 t ha−1 in Nigeria, 2.3, 0.9 and 0.2 t ha−1 in Ethiopia, and 1.5, 0.8 and 0.2 t ha−1 in Tanzania. Secondary and micronutrients increased maize yield only in specific areas in each country. Agronomic use efficiencies of N were 18, 22 and 13 kg grain kg−1 N, on average, in Nigeria, Ethiopia and Tanzania, respectively. In Nigeria, NE recommended lower amounts of P by 9 and 11 kg ha−1 and K by 24 and 38 kg ha−1 than soil-test based and regional fertilizer recommendations, respectively. Yet maize yield (4 t ha−1) was similar among the three methods. Agronomic use efficiencies of P and K (300 and 250 kg kg−1, respectively) were higher with NE than with the blanket recommendation (150 and 70 kg kg−1). In Ethiopia, NE and soil-test based respectively recommended lower amounts of P by 8 and 19 kg ha−1 than the blanket recommendations, but maize yield (6 t ha−1) was similar among the three methods. Overall, fertilizer recommendations generated with NE maintained high maize yield, but at a lower fertilizer input cost than conventional methods. NE was effective as a simple and cost-effective decision sup…","author":[{"dropping-particle":"","family":"Rurinda","given":"Jairos","non-dropping-particle":"","parse-names":false,"suffix":""},{"dropping-particle":"","family":"Zingore","given":"Shamie","non-dropping-particle":"","parse-names":false,"suffix":""},{"dropping-particle":"","family":"Jibrin","given":"Jibrin M.","non-dropping-particle":"","parse-names":false,"suffix":""},{"dropping-particle":"","family":"Balemi","given":"Tesfaye","non-dropping-particle":"","parse-names":false,"suffix":""},{"dropping-particle":"","family":"Masuki","given":"Kenneth","non-dropping-particle":"","parse-names":false,"suffix":""},{"dropping-particle":"","family":"Andersson","given":"Jens A.","non-dropping-particle":"","parse-names":false,"suffix":""},{"dropping-particle":"","family":"Pampolino","given":"Mirasol F.","non-dropping-particle":"","parse-names":false,"suffix":""},{"dropping-particle":"","family":"Mohammed","given":"Ibrahim","non-dropping-particle":"","parse-names":false,"suffix":""},{"dropping-particle":"","family":"Mutegi","given":"James","non-dropping-particle":"","parse-names":false,"suffix":""},{"dropping-particle":"","family":"Kamara","given":"Alpha Y.","non-dropping-particle":"","parse-names":false,"suffix":""},{"dropping-particle":"","family":"Vanlauwe","given":"Bernard","non-dropping-particle":"","parse-names":false,"suffix":""},{"dropping-particle":"","family":"Craufurd","given":"Peter Q.","non-dropping-particle":"","parse-names":false,"suffix":""}],"container-title":"Agricultural Systems","id":"ITEM-1","issue":"January","issued":{"date-parts":[["2020"]]},"page":"102790","publisher":"Elsevier","title":"Science-based decision support for formulating crop fertilizer recommendations in sub-Saharan Africa","type":"article-journal","volume":"180"},"uris":["http://www.mendeley.com/documents/?uuid=ad3476f9-c648-4b6d-b55b-4870932c3928"]}],"mendeley":{"formattedCitation":"(Rurinda et al., 2020)","plainTextFormattedCitation":"(Rurinda et al., 2020)","previouslyFormattedCitation":"(Rurinda et al., 2020)"},"properties":{"noteIndex":0},"schema":"https://github.com/citation-style-language/schema/raw/master/csl-citation.json"}</w:instrText>
      </w:r>
      <w:r w:rsidRPr="00131B99">
        <w:rPr>
          <w:b w:val="0"/>
        </w:rPr>
        <w:fldChar w:fldCharType="separate"/>
      </w:r>
      <w:r w:rsidR="00993B1B" w:rsidRPr="00993B1B">
        <w:rPr>
          <w:b w:val="0"/>
          <w:noProof/>
        </w:rPr>
        <w:t>(Rurinda et al., 2020)</w:t>
      </w:r>
      <w:r w:rsidRPr="00131B99">
        <w:rPr>
          <w:b w:val="0"/>
        </w:rPr>
        <w:fldChar w:fldCharType="end"/>
      </w:r>
      <w:r w:rsidRPr="00131B99">
        <w:rPr>
          <w:b w:val="0"/>
        </w:rPr>
        <w:t xml:space="preserve"> and the </w:t>
      </w:r>
      <w:proofErr w:type="spellStart"/>
      <w:r w:rsidRPr="00131B99">
        <w:rPr>
          <w:b w:val="0"/>
        </w:rPr>
        <w:t>Afsis</w:t>
      </w:r>
      <w:proofErr w:type="spellEnd"/>
      <w:r w:rsidRPr="00131B99">
        <w:rPr>
          <w:b w:val="0"/>
        </w:rPr>
        <w:t xml:space="preserve"> trials (between 2009 and 2012 on various locations in Kenya, Malawi, Nigeria, 2010 and Tanzania) </w:t>
      </w:r>
      <w:r w:rsidRPr="00131B99">
        <w:rPr>
          <w:b w:val="0"/>
        </w:rPr>
        <w:fldChar w:fldCharType="begin" w:fldLock="1"/>
      </w:r>
      <w:r w:rsidR="00526D92">
        <w:rPr>
          <w:b w:val="0"/>
        </w:rPr>
        <w:instrText>ADDIN CSL_CITATION {"citationItems":[{"id":"ITEM-1","itemData":{"DOI":"10.1007/s13593-017-0431-0","ISBN":"1359301704","ISSN":"17730155","abstract":"Secondary and micronutrients are important in enhancing crop productivity; yet, they are hardly studied in sub-Sahara Africa. In this region, the main focus has been on macronutrients but there is emerging though scattered evidence of crop productivity limitations by the secondary and micronutrients. Elsewhere, widespread deficiencies of these nutrients are associated with stagnation of yields. Here, we undertake a meta-analysis using 40 articles reporting crop response to secondary and micronutrients to (1) determine the productivity increase of crops and nutrient use efficiency associated with these nutrients, and (2) provide synthesis of responses to secondary nutrients and micronutrients in sub-Sahara Africa. This study used 757 yield data rows (530 from publications and 227 from Africa Soil Information Service) from field trials carried out in SSA between 1969 and 2013 in 14 countries. Data from publications constituted response to S (49.4%), Zn (23.0%), S and micronutrient combinations (11.5%), and &lt;10% each for Cu, Mo, Fe, and B. Data from Africa Soil Information Service were all for S and micronutrient combinations. Of the two sources, most yield data are for maize (73.6%), followed by sorghum (6.7%) and wheat (6.1%) while rice, cowpea, faba bean, tef, and soybean each accounted for less than 5%. The major points are the following: (1) application of S and micronutrients increased maize yield by 0.84 t ha−1 (i.e., 25%) over macronutrient only treatment and achieved agronomic efficiencies (kilograms of grain increase per kilogram of micronutrient added) between 38 and 432 and (2) response ratios were &gt;1 for S and all micronutrients, i.e., the probability of response ratio exceeding 1 was 0.77 for S and 0.83 for Zn, 0.95 for Cu, and 0.92 for Fe, and indicates positive crop response for a majority of farmers. We conclude that S and micronutrients are holding back crop productivity especially on soils where response to macronutrients is low and that more research is needed to unravel conditions under which application of S and micronutrients may pose financial risks.","author":[{"dropping-particle":"","family":"Kihara","given":"Job","non-dropping-particle":"","parse-names":false,"suffix":""},{"dropping-particle":"","family":"Sileshi","given":"Gudeta Weldesemayat","non-dropping-particle":"","parse-names":false,"suffix":""},{"dropping-particle":"","family":"Nziguheba","given":"Generose","non-dropping-particle":"","parse-names":false,"suffix":""},{"dropping-particle":"","family":"Kinyua","given":"Michael","non-dropping-particle":"","parse-names":false,"suffix":""},{"dropping-particle":"","family":"Zingore","given":"Shamie","non-dropping-particle":"","parse-names":false,"suffix":""},{"dropping-particle":"","family":"Sommer","given":"Rolf","non-dropping-particle":"","parse-names":false,"suffix":""}],"container-title":"Agronomy for Sustainable Development","id":"ITEM-1","issued":{"date-parts":[["2017"]]},"note":"- Meta analysis: application of secondary nutrients leads to higher yields \n- Soil types that are associated with response ratio to micronutrients (interesting to compare management strategies MSM with this figure) \n-","page":"25","title":"Application of secondary nutrients and micronutrients increases crop yields in sub-Saharan Africa","type":"article-journal","volume":"37"},"uris":["http://www.mendeley.com/documents/?uuid=0edccd0c-92db-4516-ad9a-ebaf28a79f15"]}],"mendeley":{"formattedCitation":"(Kihara et al., 2017)","plainTextFormattedCitation":"(Kihara et al., 2017)","previouslyFormattedCitation":"(Kihara et al., 2017)"},"properties":{"noteIndex":0},"schema":"https://github.com/citation-style-language/schema/raw/master/csl-citation.json"}</w:instrText>
      </w:r>
      <w:r w:rsidRPr="00131B99">
        <w:rPr>
          <w:b w:val="0"/>
        </w:rPr>
        <w:fldChar w:fldCharType="separate"/>
      </w:r>
      <w:r w:rsidR="00010EEE" w:rsidRPr="00010EEE">
        <w:rPr>
          <w:b w:val="0"/>
          <w:noProof/>
        </w:rPr>
        <w:t>(Kihara et al., 2017)</w:t>
      </w:r>
      <w:r w:rsidRPr="00131B99">
        <w:rPr>
          <w:b w:val="0"/>
        </w:rPr>
        <w:fldChar w:fldCharType="end"/>
      </w:r>
      <w:r w:rsidRPr="00131B99">
        <w:rPr>
          <w:b w:val="0"/>
        </w:rPr>
        <w:t>. The yield response ratio in figure b was calculated as the grain yield in the NPK or the NPK+S+MN treatment divided by the grain yield in the control treatment.</w:t>
      </w:r>
      <w:r w:rsidR="004C4603" w:rsidRPr="004C4603">
        <w:rPr>
          <w:b w:val="0"/>
          <w:bCs w:val="0"/>
        </w:rPr>
        <w:t xml:space="preserve"> </w:t>
      </w:r>
    </w:p>
    <w:p w14:paraId="6214519D" w14:textId="405A4DF0" w:rsidR="00701F0E" w:rsidRDefault="00701F0E" w:rsidP="00701F0E">
      <w:pPr>
        <w:pStyle w:val="Heading1"/>
        <w:numPr>
          <w:ilvl w:val="0"/>
          <w:numId w:val="0"/>
        </w:numPr>
        <w:ind w:left="432" w:hanging="432"/>
      </w:pPr>
      <w:r>
        <w:lastRenderedPageBreak/>
        <w:t>REFERENCES</w:t>
      </w:r>
    </w:p>
    <w:p w14:paraId="2E8DCA81" w14:textId="1399E2A8" w:rsidR="00526D92" w:rsidRPr="00526D92" w:rsidRDefault="00701F0E" w:rsidP="00526D92">
      <w:pPr>
        <w:widowControl w:val="0"/>
        <w:autoSpaceDE w:val="0"/>
        <w:autoSpaceDN w:val="0"/>
        <w:adjustRightInd w:val="0"/>
        <w:ind w:left="480" w:hanging="480"/>
        <w:rPr>
          <w:rFonts w:cs="Arial"/>
          <w:noProof/>
          <w:szCs w:val="24"/>
        </w:rPr>
      </w:pPr>
      <w:r>
        <w:fldChar w:fldCharType="begin" w:fldLock="1"/>
      </w:r>
      <w:r>
        <w:instrText xml:space="preserve">ADDIN Mendeley Bibliography CSL_BIBLIOGRAPHY </w:instrText>
      </w:r>
      <w:r>
        <w:fldChar w:fldCharType="separate"/>
      </w:r>
      <w:r w:rsidR="00526D92" w:rsidRPr="00526D92">
        <w:rPr>
          <w:rFonts w:cs="Arial"/>
          <w:noProof/>
          <w:szCs w:val="24"/>
        </w:rPr>
        <w:t>Food and agriculture organization of the united Nations (2020) WAPOR DATABASE METHODOLOGY : version 2 release, april 2020.</w:t>
      </w:r>
    </w:p>
    <w:p w14:paraId="109E901B" w14:textId="77777777" w:rsidR="00526D92" w:rsidRPr="00526D92" w:rsidRDefault="00526D92" w:rsidP="00526D92">
      <w:pPr>
        <w:widowControl w:val="0"/>
        <w:autoSpaceDE w:val="0"/>
        <w:autoSpaceDN w:val="0"/>
        <w:adjustRightInd w:val="0"/>
        <w:ind w:left="480" w:hanging="480"/>
        <w:rPr>
          <w:rFonts w:cs="Arial"/>
          <w:noProof/>
          <w:szCs w:val="24"/>
        </w:rPr>
      </w:pPr>
      <w:r w:rsidRPr="00526D92">
        <w:rPr>
          <w:rFonts w:cs="Arial"/>
          <w:noProof/>
          <w:szCs w:val="24"/>
        </w:rPr>
        <w:t xml:space="preserve">Kihara J., Nziguheba G., Zingore S., Coulibaly A., Esilaba A., Kabambe V., Njoroge S., Palm C. and Huising J. (2016) Understanding variability in crop response to fertilizer and amendments in sub-Saharan Africa. </w:t>
      </w:r>
      <w:r w:rsidRPr="00526D92">
        <w:rPr>
          <w:rFonts w:cs="Arial"/>
          <w:i/>
          <w:iCs/>
          <w:noProof/>
          <w:szCs w:val="24"/>
        </w:rPr>
        <w:t>Agric. Ecosyst. Environ.</w:t>
      </w:r>
      <w:r w:rsidRPr="00526D92">
        <w:rPr>
          <w:rFonts w:cs="Arial"/>
          <w:noProof/>
          <w:szCs w:val="24"/>
        </w:rPr>
        <w:t xml:space="preserve"> </w:t>
      </w:r>
      <w:r w:rsidRPr="00526D92">
        <w:rPr>
          <w:rFonts w:cs="Arial"/>
          <w:b/>
          <w:bCs/>
          <w:noProof/>
          <w:szCs w:val="24"/>
        </w:rPr>
        <w:t>229</w:t>
      </w:r>
      <w:r w:rsidRPr="00526D92">
        <w:rPr>
          <w:rFonts w:cs="Arial"/>
          <w:noProof/>
          <w:szCs w:val="24"/>
        </w:rPr>
        <w:t>, 1–12.</w:t>
      </w:r>
    </w:p>
    <w:p w14:paraId="2E0B1C19" w14:textId="77777777" w:rsidR="00526D92" w:rsidRPr="00526D92" w:rsidRDefault="00526D92" w:rsidP="00526D92">
      <w:pPr>
        <w:widowControl w:val="0"/>
        <w:autoSpaceDE w:val="0"/>
        <w:autoSpaceDN w:val="0"/>
        <w:adjustRightInd w:val="0"/>
        <w:ind w:left="480" w:hanging="480"/>
        <w:rPr>
          <w:rFonts w:cs="Arial"/>
          <w:noProof/>
          <w:szCs w:val="24"/>
        </w:rPr>
      </w:pPr>
      <w:r w:rsidRPr="00526D92">
        <w:rPr>
          <w:rFonts w:cs="Arial"/>
          <w:noProof/>
          <w:szCs w:val="24"/>
        </w:rPr>
        <w:t xml:space="preserve">Kihara J., Sileshi G. W., Nziguheba G., Kinyua M., Zingore S. and Sommer R. (2017) Application of secondary nutrients and micronutrients increases crop yields in sub-Saharan Africa. </w:t>
      </w:r>
      <w:r w:rsidRPr="00526D92">
        <w:rPr>
          <w:rFonts w:cs="Arial"/>
          <w:i/>
          <w:iCs/>
          <w:noProof/>
          <w:szCs w:val="24"/>
        </w:rPr>
        <w:t>Agron. Sustain. Dev.</w:t>
      </w:r>
      <w:r w:rsidRPr="00526D92">
        <w:rPr>
          <w:rFonts w:cs="Arial"/>
          <w:noProof/>
          <w:szCs w:val="24"/>
        </w:rPr>
        <w:t xml:space="preserve"> </w:t>
      </w:r>
      <w:r w:rsidRPr="00526D92">
        <w:rPr>
          <w:rFonts w:cs="Arial"/>
          <w:b/>
          <w:bCs/>
          <w:noProof/>
          <w:szCs w:val="24"/>
        </w:rPr>
        <w:t>37</w:t>
      </w:r>
      <w:r w:rsidRPr="00526D92">
        <w:rPr>
          <w:rFonts w:cs="Arial"/>
          <w:noProof/>
          <w:szCs w:val="24"/>
        </w:rPr>
        <w:t>, 25.</w:t>
      </w:r>
    </w:p>
    <w:p w14:paraId="7B41BF13" w14:textId="77777777" w:rsidR="00526D92" w:rsidRPr="00526D92" w:rsidRDefault="00526D92" w:rsidP="00526D92">
      <w:pPr>
        <w:widowControl w:val="0"/>
        <w:autoSpaceDE w:val="0"/>
        <w:autoSpaceDN w:val="0"/>
        <w:adjustRightInd w:val="0"/>
        <w:ind w:left="480" w:hanging="480"/>
        <w:rPr>
          <w:rFonts w:cs="Arial"/>
          <w:noProof/>
          <w:szCs w:val="24"/>
        </w:rPr>
      </w:pPr>
      <w:r w:rsidRPr="00526D92">
        <w:rPr>
          <w:rFonts w:cs="Arial"/>
          <w:noProof/>
          <w:szCs w:val="24"/>
        </w:rPr>
        <w:t xml:space="preserve">Kurwakumire N., Chikowo R., Zingore S., Mtambanengwe F., Mapfumo P., Snapp S. and Johnston A. (2015) Nutrient management strategies on heterogeneously fertile granitic-derived soils in subhumid Zimbabwe. </w:t>
      </w:r>
      <w:r w:rsidRPr="00526D92">
        <w:rPr>
          <w:rFonts w:cs="Arial"/>
          <w:i/>
          <w:iCs/>
          <w:noProof/>
          <w:szCs w:val="24"/>
        </w:rPr>
        <w:t>Agron. J.</w:t>
      </w:r>
      <w:r w:rsidRPr="00526D92">
        <w:rPr>
          <w:rFonts w:cs="Arial"/>
          <w:noProof/>
          <w:szCs w:val="24"/>
        </w:rPr>
        <w:t xml:space="preserve"> </w:t>
      </w:r>
      <w:r w:rsidRPr="00526D92">
        <w:rPr>
          <w:rFonts w:cs="Arial"/>
          <w:b/>
          <w:bCs/>
          <w:noProof/>
          <w:szCs w:val="24"/>
        </w:rPr>
        <w:t>107</w:t>
      </w:r>
      <w:r w:rsidRPr="00526D92">
        <w:rPr>
          <w:rFonts w:cs="Arial"/>
          <w:noProof/>
          <w:szCs w:val="24"/>
        </w:rPr>
        <w:t>, 1068–1076.</w:t>
      </w:r>
    </w:p>
    <w:p w14:paraId="244C2D7F" w14:textId="77777777" w:rsidR="00526D92" w:rsidRPr="00526D92" w:rsidRDefault="00526D92" w:rsidP="00526D92">
      <w:pPr>
        <w:widowControl w:val="0"/>
        <w:autoSpaceDE w:val="0"/>
        <w:autoSpaceDN w:val="0"/>
        <w:adjustRightInd w:val="0"/>
        <w:ind w:left="480" w:hanging="480"/>
        <w:rPr>
          <w:rFonts w:cs="Arial"/>
          <w:noProof/>
        </w:rPr>
      </w:pPr>
      <w:r w:rsidRPr="00526D92">
        <w:rPr>
          <w:rFonts w:cs="Arial"/>
          <w:noProof/>
          <w:szCs w:val="24"/>
        </w:rPr>
        <w:t xml:space="preserve">Rurinda J., Zingore S., Jibrin J. M., Balemi T., Masuki K., Andersson J. A., Pampolino M. F., Mohammed I., Mutegi J., Kamara A. Y., Vanlauwe B. and Craufurd P. Q. (2020) Science-based decision support for formulating crop fertilizer recommendations in sub-Saharan Africa. </w:t>
      </w:r>
      <w:r w:rsidRPr="00526D92">
        <w:rPr>
          <w:rFonts w:cs="Arial"/>
          <w:i/>
          <w:iCs/>
          <w:noProof/>
          <w:szCs w:val="24"/>
        </w:rPr>
        <w:t>Agric. Syst.</w:t>
      </w:r>
      <w:r w:rsidRPr="00526D92">
        <w:rPr>
          <w:rFonts w:cs="Arial"/>
          <w:noProof/>
          <w:szCs w:val="24"/>
        </w:rPr>
        <w:t xml:space="preserve"> </w:t>
      </w:r>
      <w:r w:rsidRPr="00526D92">
        <w:rPr>
          <w:rFonts w:cs="Arial"/>
          <w:b/>
          <w:bCs/>
          <w:noProof/>
          <w:szCs w:val="24"/>
        </w:rPr>
        <w:t>180</w:t>
      </w:r>
      <w:r w:rsidRPr="00526D92">
        <w:rPr>
          <w:rFonts w:cs="Arial"/>
          <w:noProof/>
          <w:szCs w:val="24"/>
        </w:rPr>
        <w:t>, 102790.</w:t>
      </w:r>
    </w:p>
    <w:p w14:paraId="5E5E8DEC" w14:textId="285BF073" w:rsidR="00701F0E" w:rsidRPr="00701F0E" w:rsidRDefault="00701F0E" w:rsidP="00701F0E">
      <w:r>
        <w:fldChar w:fldCharType="end"/>
      </w:r>
    </w:p>
    <w:sectPr w:rsidR="00701F0E" w:rsidRPr="00701F0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A02B0" w14:textId="77777777" w:rsidR="000B18F9" w:rsidRDefault="000B18F9" w:rsidP="00F9754D">
      <w:pPr>
        <w:spacing w:line="240" w:lineRule="auto"/>
      </w:pPr>
      <w:r>
        <w:separator/>
      </w:r>
    </w:p>
  </w:endnote>
  <w:endnote w:type="continuationSeparator" w:id="0">
    <w:p w14:paraId="6AFAFE91" w14:textId="77777777" w:rsidR="000B18F9" w:rsidRDefault="000B18F9" w:rsidP="00F975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51D7E" w14:textId="77777777" w:rsidR="000B18F9" w:rsidRDefault="000B18F9" w:rsidP="00F9754D">
      <w:pPr>
        <w:spacing w:line="240" w:lineRule="auto"/>
      </w:pPr>
      <w:r>
        <w:separator/>
      </w:r>
    </w:p>
  </w:footnote>
  <w:footnote w:type="continuationSeparator" w:id="0">
    <w:p w14:paraId="3B5D9A9E" w14:textId="77777777" w:rsidR="000B18F9" w:rsidRDefault="000B18F9" w:rsidP="00F9754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035675"/>
    <w:multiLevelType w:val="multilevel"/>
    <w:tmpl w:val="0413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404795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79F"/>
    <w:rsid w:val="00010EEE"/>
    <w:rsid w:val="0001379F"/>
    <w:rsid w:val="00013969"/>
    <w:rsid w:val="00026F18"/>
    <w:rsid w:val="000341A5"/>
    <w:rsid w:val="00044D5F"/>
    <w:rsid w:val="00054B40"/>
    <w:rsid w:val="00072470"/>
    <w:rsid w:val="00087E58"/>
    <w:rsid w:val="0009441E"/>
    <w:rsid w:val="000A3B35"/>
    <w:rsid w:val="000B0C18"/>
    <w:rsid w:val="000B16EC"/>
    <w:rsid w:val="000B18F9"/>
    <w:rsid w:val="000B5107"/>
    <w:rsid w:val="000D21E1"/>
    <w:rsid w:val="000E02B2"/>
    <w:rsid w:val="000F6A30"/>
    <w:rsid w:val="00103775"/>
    <w:rsid w:val="001100E1"/>
    <w:rsid w:val="00131B99"/>
    <w:rsid w:val="00134C7B"/>
    <w:rsid w:val="00137CC4"/>
    <w:rsid w:val="0014169B"/>
    <w:rsid w:val="0017676F"/>
    <w:rsid w:val="001821A7"/>
    <w:rsid w:val="00184177"/>
    <w:rsid w:val="00193E1F"/>
    <w:rsid w:val="001A1A92"/>
    <w:rsid w:val="001A77B9"/>
    <w:rsid w:val="001B66CA"/>
    <w:rsid w:val="001B6920"/>
    <w:rsid w:val="001D797F"/>
    <w:rsid w:val="002024F2"/>
    <w:rsid w:val="00217A45"/>
    <w:rsid w:val="00243A65"/>
    <w:rsid w:val="00253594"/>
    <w:rsid w:val="00263808"/>
    <w:rsid w:val="0026630A"/>
    <w:rsid w:val="0027327F"/>
    <w:rsid w:val="00273A2D"/>
    <w:rsid w:val="002B0867"/>
    <w:rsid w:val="002B4206"/>
    <w:rsid w:val="002C5619"/>
    <w:rsid w:val="002D50FA"/>
    <w:rsid w:val="002D52D7"/>
    <w:rsid w:val="002E1EE5"/>
    <w:rsid w:val="002E5FEC"/>
    <w:rsid w:val="00302259"/>
    <w:rsid w:val="00322846"/>
    <w:rsid w:val="00323D2F"/>
    <w:rsid w:val="003400A3"/>
    <w:rsid w:val="00350304"/>
    <w:rsid w:val="00376FE9"/>
    <w:rsid w:val="0038287D"/>
    <w:rsid w:val="00383920"/>
    <w:rsid w:val="003B0726"/>
    <w:rsid w:val="003B381C"/>
    <w:rsid w:val="003B4966"/>
    <w:rsid w:val="003C1B16"/>
    <w:rsid w:val="003D343E"/>
    <w:rsid w:val="003E0431"/>
    <w:rsid w:val="003E25B7"/>
    <w:rsid w:val="00402C99"/>
    <w:rsid w:val="00407514"/>
    <w:rsid w:val="0041390A"/>
    <w:rsid w:val="004201DC"/>
    <w:rsid w:val="00420A87"/>
    <w:rsid w:val="00427861"/>
    <w:rsid w:val="00430725"/>
    <w:rsid w:val="00434474"/>
    <w:rsid w:val="00436D7E"/>
    <w:rsid w:val="00446970"/>
    <w:rsid w:val="0048214C"/>
    <w:rsid w:val="00486D34"/>
    <w:rsid w:val="004913F0"/>
    <w:rsid w:val="004C4603"/>
    <w:rsid w:val="004C48E0"/>
    <w:rsid w:val="004D62F4"/>
    <w:rsid w:val="00500708"/>
    <w:rsid w:val="005024BC"/>
    <w:rsid w:val="00511E70"/>
    <w:rsid w:val="00524B76"/>
    <w:rsid w:val="00526D92"/>
    <w:rsid w:val="005358EA"/>
    <w:rsid w:val="00536EC8"/>
    <w:rsid w:val="005426C2"/>
    <w:rsid w:val="0055744B"/>
    <w:rsid w:val="00584D89"/>
    <w:rsid w:val="00596390"/>
    <w:rsid w:val="0059738F"/>
    <w:rsid w:val="00597D64"/>
    <w:rsid w:val="005A4DEE"/>
    <w:rsid w:val="005B6FF0"/>
    <w:rsid w:val="005B7773"/>
    <w:rsid w:val="005C4076"/>
    <w:rsid w:val="005C55C8"/>
    <w:rsid w:val="005D7AB4"/>
    <w:rsid w:val="005F07D8"/>
    <w:rsid w:val="005F7F69"/>
    <w:rsid w:val="006070F0"/>
    <w:rsid w:val="00613B13"/>
    <w:rsid w:val="0061545F"/>
    <w:rsid w:val="00624543"/>
    <w:rsid w:val="0063431F"/>
    <w:rsid w:val="00657095"/>
    <w:rsid w:val="00667E25"/>
    <w:rsid w:val="00680A17"/>
    <w:rsid w:val="00685830"/>
    <w:rsid w:val="006C2B30"/>
    <w:rsid w:val="006D0973"/>
    <w:rsid w:val="006E2180"/>
    <w:rsid w:val="006F1064"/>
    <w:rsid w:val="006F39E8"/>
    <w:rsid w:val="00701F0E"/>
    <w:rsid w:val="00715F06"/>
    <w:rsid w:val="007172F9"/>
    <w:rsid w:val="00725932"/>
    <w:rsid w:val="00752E33"/>
    <w:rsid w:val="0075731D"/>
    <w:rsid w:val="00760A42"/>
    <w:rsid w:val="007646F7"/>
    <w:rsid w:val="00774B27"/>
    <w:rsid w:val="00775D29"/>
    <w:rsid w:val="00791882"/>
    <w:rsid w:val="007A6F17"/>
    <w:rsid w:val="007B362A"/>
    <w:rsid w:val="007C5BEE"/>
    <w:rsid w:val="007D057D"/>
    <w:rsid w:val="007D3C5C"/>
    <w:rsid w:val="007E0C05"/>
    <w:rsid w:val="007E112F"/>
    <w:rsid w:val="007F1F28"/>
    <w:rsid w:val="008100A2"/>
    <w:rsid w:val="0081720F"/>
    <w:rsid w:val="00827449"/>
    <w:rsid w:val="00830FD8"/>
    <w:rsid w:val="008456A3"/>
    <w:rsid w:val="00862D0C"/>
    <w:rsid w:val="00865A1E"/>
    <w:rsid w:val="008E7582"/>
    <w:rsid w:val="009008EC"/>
    <w:rsid w:val="0090387E"/>
    <w:rsid w:val="00906352"/>
    <w:rsid w:val="00911911"/>
    <w:rsid w:val="009167EB"/>
    <w:rsid w:val="00922E81"/>
    <w:rsid w:val="00926303"/>
    <w:rsid w:val="00950F2F"/>
    <w:rsid w:val="0098136F"/>
    <w:rsid w:val="00992E89"/>
    <w:rsid w:val="00993B1B"/>
    <w:rsid w:val="009A35B6"/>
    <w:rsid w:val="009C76AA"/>
    <w:rsid w:val="009F0F0B"/>
    <w:rsid w:val="009F500E"/>
    <w:rsid w:val="009F612A"/>
    <w:rsid w:val="009F6198"/>
    <w:rsid w:val="00A03273"/>
    <w:rsid w:val="00A03CFD"/>
    <w:rsid w:val="00A04B05"/>
    <w:rsid w:val="00A374D0"/>
    <w:rsid w:val="00A4664D"/>
    <w:rsid w:val="00A63001"/>
    <w:rsid w:val="00A957F2"/>
    <w:rsid w:val="00AA22A7"/>
    <w:rsid w:val="00B05A6D"/>
    <w:rsid w:val="00B302B7"/>
    <w:rsid w:val="00B67043"/>
    <w:rsid w:val="00B87A1C"/>
    <w:rsid w:val="00B97C5A"/>
    <w:rsid w:val="00BB4896"/>
    <w:rsid w:val="00BB5802"/>
    <w:rsid w:val="00BC5110"/>
    <w:rsid w:val="00BE32DE"/>
    <w:rsid w:val="00BF67CE"/>
    <w:rsid w:val="00C124FE"/>
    <w:rsid w:val="00C21C68"/>
    <w:rsid w:val="00C27E6C"/>
    <w:rsid w:val="00C458AB"/>
    <w:rsid w:val="00C50E55"/>
    <w:rsid w:val="00C52B33"/>
    <w:rsid w:val="00C5312E"/>
    <w:rsid w:val="00C55EEC"/>
    <w:rsid w:val="00C70FA3"/>
    <w:rsid w:val="00C71319"/>
    <w:rsid w:val="00CC04F1"/>
    <w:rsid w:val="00CC2F9D"/>
    <w:rsid w:val="00CD0AA2"/>
    <w:rsid w:val="00CD6D83"/>
    <w:rsid w:val="00CE2AF6"/>
    <w:rsid w:val="00CE3D18"/>
    <w:rsid w:val="00CE68C1"/>
    <w:rsid w:val="00D07ED1"/>
    <w:rsid w:val="00D12F77"/>
    <w:rsid w:val="00DA56D0"/>
    <w:rsid w:val="00DB1BD2"/>
    <w:rsid w:val="00DD24B6"/>
    <w:rsid w:val="00DE3C86"/>
    <w:rsid w:val="00DF0129"/>
    <w:rsid w:val="00E21AD6"/>
    <w:rsid w:val="00E35E14"/>
    <w:rsid w:val="00E36560"/>
    <w:rsid w:val="00E45CAB"/>
    <w:rsid w:val="00E543BC"/>
    <w:rsid w:val="00E6601B"/>
    <w:rsid w:val="00E90DAA"/>
    <w:rsid w:val="00EB2FC6"/>
    <w:rsid w:val="00EB676E"/>
    <w:rsid w:val="00EB6E77"/>
    <w:rsid w:val="00ED4177"/>
    <w:rsid w:val="00EF2F67"/>
    <w:rsid w:val="00EF589D"/>
    <w:rsid w:val="00F13540"/>
    <w:rsid w:val="00F45FA2"/>
    <w:rsid w:val="00F6347E"/>
    <w:rsid w:val="00F64122"/>
    <w:rsid w:val="00F75C54"/>
    <w:rsid w:val="00F8620D"/>
    <w:rsid w:val="00F878A8"/>
    <w:rsid w:val="00F9754D"/>
    <w:rsid w:val="00F97CBC"/>
    <w:rsid w:val="00FE016C"/>
    <w:rsid w:val="00FE040F"/>
    <w:rsid w:val="00FE1118"/>
    <w:rsid w:val="00FE5E2A"/>
    <w:rsid w:val="00FF2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E2905B"/>
  <w15:chartTrackingRefBased/>
  <w15:docId w15:val="{0381DBC5-91E5-4DD5-8BFF-ECE91B5F8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imes New Roman"/>
        <w:sz w:val="17"/>
        <w:lang w:val="en-GB" w:eastAsia="en-US" w:bidi="ar-SA"/>
      </w:rPr>
    </w:rPrDefault>
    <w:pPrDefault>
      <w:pPr>
        <w:spacing w:line="30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79F"/>
    <w:pPr>
      <w:spacing w:line="360" w:lineRule="auto"/>
      <w:jc w:val="both"/>
    </w:pPr>
    <w:rPr>
      <w:rFonts w:ascii="Arial" w:hAnsi="Arial"/>
      <w:sz w:val="22"/>
    </w:rPr>
  </w:style>
  <w:style w:type="paragraph" w:styleId="Heading1">
    <w:name w:val="heading 1"/>
    <w:basedOn w:val="Normal"/>
    <w:next w:val="Normal"/>
    <w:link w:val="Heading1Char"/>
    <w:uiPriority w:val="9"/>
    <w:qFormat/>
    <w:rsid w:val="005024BC"/>
    <w:pPr>
      <w:keepNext/>
      <w:keepLines/>
      <w:numPr>
        <w:numId w:val="1"/>
      </w:numPr>
      <w:outlineLvl w:val="0"/>
    </w:pPr>
    <w:rPr>
      <w:rFonts w:eastAsiaTheme="majorEastAsia" w:cstheme="majorBidi"/>
      <w:b/>
      <w:bCs/>
      <w:sz w:val="24"/>
      <w:szCs w:val="28"/>
    </w:rPr>
  </w:style>
  <w:style w:type="paragraph" w:styleId="Heading2">
    <w:name w:val="heading 2"/>
    <w:basedOn w:val="Normal"/>
    <w:next w:val="Normal"/>
    <w:link w:val="Heading2Char"/>
    <w:uiPriority w:val="9"/>
    <w:unhideWhenUsed/>
    <w:qFormat/>
    <w:rsid w:val="005024BC"/>
    <w:pPr>
      <w:keepNext/>
      <w:keepLines/>
      <w:numPr>
        <w:ilvl w:val="1"/>
        <w:numId w:val="1"/>
      </w:numPr>
      <w:spacing w:before="120" w:after="120"/>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5024BC"/>
    <w:pPr>
      <w:keepNext/>
      <w:keepLines/>
      <w:numPr>
        <w:ilvl w:val="2"/>
        <w:numId w:val="1"/>
      </w:numPr>
      <w:spacing w:before="200"/>
      <w:outlineLvl w:val="2"/>
    </w:pPr>
    <w:rPr>
      <w:rFonts w:eastAsiaTheme="majorEastAsia" w:cstheme="majorBidi"/>
      <w:b/>
      <w:bCs/>
      <w:szCs w:val="17"/>
    </w:rPr>
  </w:style>
  <w:style w:type="paragraph" w:styleId="Heading4">
    <w:name w:val="heading 4"/>
    <w:basedOn w:val="Normal"/>
    <w:next w:val="Normal"/>
    <w:link w:val="Heading4Char"/>
    <w:uiPriority w:val="9"/>
    <w:unhideWhenUsed/>
    <w:qFormat/>
    <w:rsid w:val="005024BC"/>
    <w:pPr>
      <w:keepNext/>
      <w:keepLines/>
      <w:numPr>
        <w:ilvl w:val="3"/>
        <w:numId w:val="1"/>
      </w:numPr>
      <w:spacing w:before="200"/>
      <w:outlineLvl w:val="3"/>
    </w:pPr>
    <w:rPr>
      <w:rFonts w:eastAsiaTheme="majorEastAsia" w:cstheme="majorBidi"/>
      <w:b/>
      <w:bCs/>
      <w:i/>
      <w:iCs/>
      <w:szCs w:val="17"/>
    </w:rPr>
  </w:style>
  <w:style w:type="paragraph" w:styleId="Heading5">
    <w:name w:val="heading 5"/>
    <w:basedOn w:val="Normal"/>
    <w:next w:val="Normal"/>
    <w:link w:val="Heading5Char"/>
    <w:uiPriority w:val="9"/>
    <w:semiHidden/>
    <w:unhideWhenUsed/>
    <w:qFormat/>
    <w:rsid w:val="005024BC"/>
    <w:pPr>
      <w:keepNext/>
      <w:keepLines/>
      <w:numPr>
        <w:ilvl w:val="4"/>
        <w:numId w:val="1"/>
      </w:numPr>
      <w:spacing w:before="40"/>
      <w:outlineLvl w:val="4"/>
    </w:pPr>
    <w:rPr>
      <w:rFonts w:eastAsiaTheme="majorEastAsia" w:cstheme="majorBidi"/>
      <w:i/>
      <w:szCs w:val="17"/>
    </w:rPr>
  </w:style>
  <w:style w:type="paragraph" w:styleId="Heading6">
    <w:name w:val="heading 6"/>
    <w:basedOn w:val="Normal"/>
    <w:next w:val="Normal"/>
    <w:link w:val="Heading6Char"/>
    <w:uiPriority w:val="9"/>
    <w:semiHidden/>
    <w:unhideWhenUsed/>
    <w:qFormat/>
    <w:rsid w:val="006F39E8"/>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6F39E8"/>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F39E8"/>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F39E8"/>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arial">
    <w:name w:val="Manuscript_arial"/>
    <w:basedOn w:val="Normal"/>
    <w:qFormat/>
    <w:rsid w:val="003B0726"/>
  </w:style>
  <w:style w:type="character" w:customStyle="1" w:styleId="Heading1Char">
    <w:name w:val="Heading 1 Char"/>
    <w:basedOn w:val="DefaultParagraphFont"/>
    <w:link w:val="Heading1"/>
    <w:uiPriority w:val="9"/>
    <w:rsid w:val="005024BC"/>
    <w:rPr>
      <w:rFonts w:ascii="Arial" w:eastAsiaTheme="majorEastAsia" w:hAnsi="Arial" w:cstheme="majorBidi"/>
      <w:b/>
      <w:bCs/>
      <w:sz w:val="24"/>
      <w:szCs w:val="28"/>
    </w:rPr>
  </w:style>
  <w:style w:type="character" w:customStyle="1" w:styleId="Heading2Char">
    <w:name w:val="Heading 2 Char"/>
    <w:basedOn w:val="DefaultParagraphFont"/>
    <w:link w:val="Heading2"/>
    <w:uiPriority w:val="9"/>
    <w:rsid w:val="005024BC"/>
    <w:rPr>
      <w:rFonts w:ascii="Arial" w:eastAsiaTheme="majorEastAsia" w:hAnsi="Arial" w:cstheme="majorBidi"/>
      <w:b/>
      <w:bCs/>
      <w:sz w:val="22"/>
      <w:szCs w:val="26"/>
    </w:rPr>
  </w:style>
  <w:style w:type="character" w:customStyle="1" w:styleId="Heading3Char">
    <w:name w:val="Heading 3 Char"/>
    <w:basedOn w:val="DefaultParagraphFont"/>
    <w:link w:val="Heading3"/>
    <w:uiPriority w:val="9"/>
    <w:rsid w:val="005024BC"/>
    <w:rPr>
      <w:rFonts w:ascii="Arial" w:eastAsiaTheme="majorEastAsia" w:hAnsi="Arial" w:cstheme="majorBidi"/>
      <w:b/>
      <w:bCs/>
      <w:sz w:val="22"/>
    </w:rPr>
  </w:style>
  <w:style w:type="character" w:customStyle="1" w:styleId="Heading4Char">
    <w:name w:val="Heading 4 Char"/>
    <w:basedOn w:val="DefaultParagraphFont"/>
    <w:link w:val="Heading4"/>
    <w:uiPriority w:val="9"/>
    <w:rsid w:val="005024BC"/>
    <w:rPr>
      <w:rFonts w:ascii="Arial" w:eastAsiaTheme="majorEastAsia" w:hAnsi="Arial" w:cstheme="majorBidi"/>
      <w:b/>
      <w:bCs/>
      <w:i/>
      <w:iCs/>
      <w:sz w:val="22"/>
    </w:rPr>
  </w:style>
  <w:style w:type="character" w:customStyle="1" w:styleId="Heading5Char">
    <w:name w:val="Heading 5 Char"/>
    <w:basedOn w:val="DefaultParagraphFont"/>
    <w:link w:val="Heading5"/>
    <w:uiPriority w:val="9"/>
    <w:semiHidden/>
    <w:rsid w:val="005024BC"/>
    <w:rPr>
      <w:rFonts w:ascii="Arial" w:eastAsiaTheme="majorEastAsia" w:hAnsi="Arial" w:cstheme="majorBidi"/>
      <w:i/>
      <w:sz w:val="22"/>
    </w:rPr>
  </w:style>
  <w:style w:type="paragraph" w:styleId="Title">
    <w:name w:val="Title"/>
    <w:basedOn w:val="Normal"/>
    <w:next w:val="Heading1"/>
    <w:link w:val="TitleChar"/>
    <w:uiPriority w:val="10"/>
    <w:qFormat/>
    <w:rsid w:val="005024BC"/>
    <w:pPr>
      <w:spacing w:after="300"/>
      <w:contextualSpacing/>
      <w:jc w:val="center"/>
    </w:pPr>
    <w:rPr>
      <w:rFonts w:eastAsiaTheme="majorEastAsia" w:cstheme="majorBidi"/>
      <w:spacing w:val="5"/>
      <w:kern w:val="28"/>
      <w:sz w:val="36"/>
      <w:szCs w:val="52"/>
    </w:rPr>
  </w:style>
  <w:style w:type="character" w:customStyle="1" w:styleId="TitleChar">
    <w:name w:val="Title Char"/>
    <w:basedOn w:val="DefaultParagraphFont"/>
    <w:link w:val="Title"/>
    <w:uiPriority w:val="10"/>
    <w:rsid w:val="005024BC"/>
    <w:rPr>
      <w:rFonts w:ascii="Arial" w:eastAsiaTheme="majorEastAsia" w:hAnsi="Arial" w:cstheme="majorBidi"/>
      <w:spacing w:val="5"/>
      <w:kern w:val="28"/>
      <w:sz w:val="36"/>
      <w:szCs w:val="52"/>
    </w:rPr>
  </w:style>
  <w:style w:type="paragraph" w:styleId="Caption">
    <w:name w:val="caption"/>
    <w:basedOn w:val="Normal"/>
    <w:next w:val="Normal"/>
    <w:uiPriority w:val="35"/>
    <w:unhideWhenUsed/>
    <w:qFormat/>
    <w:rsid w:val="005024BC"/>
    <w:rPr>
      <w:b/>
      <w:bCs/>
      <w:sz w:val="16"/>
      <w:szCs w:val="18"/>
    </w:rPr>
  </w:style>
  <w:style w:type="paragraph" w:styleId="BalloonText">
    <w:name w:val="Balloon Text"/>
    <w:basedOn w:val="Normal"/>
    <w:link w:val="BalloonTextChar"/>
    <w:uiPriority w:val="99"/>
    <w:semiHidden/>
    <w:unhideWhenUsed/>
    <w:rsid w:val="00FE040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040F"/>
    <w:rPr>
      <w:rFonts w:ascii="Segoe UI" w:hAnsi="Segoe UI" w:cs="Segoe UI"/>
      <w:sz w:val="18"/>
      <w:szCs w:val="18"/>
    </w:rPr>
  </w:style>
  <w:style w:type="character" w:customStyle="1" w:styleId="Heading6Char">
    <w:name w:val="Heading 6 Char"/>
    <w:basedOn w:val="DefaultParagraphFont"/>
    <w:link w:val="Heading6"/>
    <w:uiPriority w:val="9"/>
    <w:semiHidden/>
    <w:rsid w:val="006F39E8"/>
    <w:rPr>
      <w:rFonts w:asciiTheme="majorHAnsi" w:eastAsiaTheme="majorEastAsia" w:hAnsiTheme="majorHAnsi" w:cstheme="majorBidi"/>
      <w:color w:val="1F3763" w:themeColor="accent1" w:themeShade="7F"/>
      <w:sz w:val="22"/>
    </w:rPr>
  </w:style>
  <w:style w:type="character" w:customStyle="1" w:styleId="Heading7Char">
    <w:name w:val="Heading 7 Char"/>
    <w:basedOn w:val="DefaultParagraphFont"/>
    <w:link w:val="Heading7"/>
    <w:uiPriority w:val="9"/>
    <w:semiHidden/>
    <w:rsid w:val="006F39E8"/>
    <w:rPr>
      <w:rFonts w:asciiTheme="majorHAnsi" w:eastAsiaTheme="majorEastAsia" w:hAnsiTheme="majorHAnsi" w:cstheme="majorBidi"/>
      <w:i/>
      <w:iCs/>
      <w:color w:val="1F3763" w:themeColor="accent1" w:themeShade="7F"/>
      <w:sz w:val="22"/>
    </w:rPr>
  </w:style>
  <w:style w:type="character" w:customStyle="1" w:styleId="Heading8Char">
    <w:name w:val="Heading 8 Char"/>
    <w:basedOn w:val="DefaultParagraphFont"/>
    <w:link w:val="Heading8"/>
    <w:uiPriority w:val="9"/>
    <w:semiHidden/>
    <w:rsid w:val="006F39E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F39E8"/>
    <w:rPr>
      <w:rFonts w:asciiTheme="majorHAnsi" w:eastAsiaTheme="majorEastAsia" w:hAnsiTheme="majorHAnsi" w:cstheme="majorBidi"/>
      <w:i/>
      <w:iCs/>
      <w:color w:val="272727" w:themeColor="text1" w:themeTint="D8"/>
      <w:sz w:val="21"/>
      <w:szCs w:val="21"/>
    </w:rPr>
  </w:style>
  <w:style w:type="paragraph" w:styleId="NoSpacing">
    <w:name w:val="No Spacing"/>
    <w:uiPriority w:val="1"/>
    <w:qFormat/>
    <w:rsid w:val="00500708"/>
    <w:pPr>
      <w:spacing w:line="480" w:lineRule="auto"/>
      <w:jc w:val="both"/>
    </w:pPr>
    <w:rPr>
      <w:rFonts w:ascii="Arial" w:hAnsi="Arial" w:cstheme="minorBidi"/>
      <w:sz w:val="20"/>
      <w:szCs w:val="18"/>
    </w:rPr>
  </w:style>
  <w:style w:type="paragraph" w:styleId="CommentText">
    <w:name w:val="annotation text"/>
    <w:basedOn w:val="Normal"/>
    <w:link w:val="CommentTextChar"/>
    <w:uiPriority w:val="99"/>
    <w:semiHidden/>
    <w:unhideWhenUsed/>
    <w:rsid w:val="0061545F"/>
    <w:pPr>
      <w:spacing w:after="200" w:line="240" w:lineRule="auto"/>
    </w:pPr>
    <w:rPr>
      <w:rFonts w:cstheme="minorBidi"/>
      <w:sz w:val="20"/>
    </w:rPr>
  </w:style>
  <w:style w:type="character" w:customStyle="1" w:styleId="CommentTextChar">
    <w:name w:val="Comment Text Char"/>
    <w:basedOn w:val="DefaultParagraphFont"/>
    <w:link w:val="CommentText"/>
    <w:uiPriority w:val="99"/>
    <w:semiHidden/>
    <w:rsid w:val="0061545F"/>
    <w:rPr>
      <w:rFonts w:ascii="Arial" w:hAnsi="Arial" w:cstheme="minorBidi"/>
      <w:sz w:val="20"/>
    </w:rPr>
  </w:style>
  <w:style w:type="character" w:styleId="CommentReference">
    <w:name w:val="annotation reference"/>
    <w:basedOn w:val="DefaultParagraphFont"/>
    <w:uiPriority w:val="99"/>
    <w:semiHidden/>
    <w:unhideWhenUsed/>
    <w:rsid w:val="0061545F"/>
    <w:rPr>
      <w:sz w:val="16"/>
      <w:szCs w:val="16"/>
    </w:rPr>
  </w:style>
  <w:style w:type="table" w:styleId="TableGrid">
    <w:name w:val="Table Grid"/>
    <w:basedOn w:val="TableNormal"/>
    <w:uiPriority w:val="39"/>
    <w:rsid w:val="00BE32DE"/>
    <w:pPr>
      <w:spacing w:line="240" w:lineRule="auto"/>
    </w:pPr>
    <w:rPr>
      <w:rFonts w:asciiTheme="minorHAnsi" w:hAnsiTheme="minorHAnsi" w:cstheme="minorBid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5744B"/>
    <w:rPr>
      <w:color w:val="0563C1" w:themeColor="hyperlink"/>
      <w:u w:val="single"/>
    </w:rPr>
  </w:style>
  <w:style w:type="character" w:styleId="UnresolvedMention">
    <w:name w:val="Unresolved Mention"/>
    <w:basedOn w:val="DefaultParagraphFont"/>
    <w:uiPriority w:val="99"/>
    <w:semiHidden/>
    <w:unhideWhenUsed/>
    <w:rsid w:val="0055744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F13540"/>
    <w:pPr>
      <w:spacing w:after="0"/>
    </w:pPr>
    <w:rPr>
      <w:rFonts w:cs="Times New Roman"/>
      <w:b/>
      <w:bCs/>
    </w:rPr>
  </w:style>
  <w:style w:type="character" w:customStyle="1" w:styleId="CommentSubjectChar">
    <w:name w:val="Comment Subject Char"/>
    <w:basedOn w:val="CommentTextChar"/>
    <w:link w:val="CommentSubject"/>
    <w:uiPriority w:val="99"/>
    <w:semiHidden/>
    <w:rsid w:val="00F13540"/>
    <w:rPr>
      <w:rFonts w:ascii="Arial" w:hAnsi="Arial" w:cstheme="minorBidi"/>
      <w:b/>
      <w:bCs/>
      <w:sz w:val="20"/>
    </w:rPr>
  </w:style>
  <w:style w:type="paragraph" w:styleId="Header">
    <w:name w:val="header"/>
    <w:basedOn w:val="Normal"/>
    <w:link w:val="HeaderChar"/>
    <w:uiPriority w:val="99"/>
    <w:unhideWhenUsed/>
    <w:rsid w:val="00F9754D"/>
    <w:pPr>
      <w:tabs>
        <w:tab w:val="center" w:pos="4536"/>
        <w:tab w:val="right" w:pos="9072"/>
      </w:tabs>
      <w:spacing w:line="240" w:lineRule="auto"/>
    </w:pPr>
  </w:style>
  <w:style w:type="character" w:customStyle="1" w:styleId="HeaderChar">
    <w:name w:val="Header Char"/>
    <w:basedOn w:val="DefaultParagraphFont"/>
    <w:link w:val="Header"/>
    <w:uiPriority w:val="99"/>
    <w:rsid w:val="00F9754D"/>
    <w:rPr>
      <w:rFonts w:ascii="Arial" w:hAnsi="Arial"/>
      <w:sz w:val="22"/>
    </w:rPr>
  </w:style>
  <w:style w:type="paragraph" w:styleId="Footer">
    <w:name w:val="footer"/>
    <w:basedOn w:val="Normal"/>
    <w:link w:val="FooterChar"/>
    <w:uiPriority w:val="99"/>
    <w:unhideWhenUsed/>
    <w:rsid w:val="00F9754D"/>
    <w:pPr>
      <w:tabs>
        <w:tab w:val="center" w:pos="4536"/>
        <w:tab w:val="right" w:pos="9072"/>
      </w:tabs>
      <w:spacing w:line="240" w:lineRule="auto"/>
    </w:pPr>
  </w:style>
  <w:style w:type="character" w:customStyle="1" w:styleId="FooterChar">
    <w:name w:val="Footer Char"/>
    <w:basedOn w:val="DefaultParagraphFont"/>
    <w:link w:val="Footer"/>
    <w:uiPriority w:val="99"/>
    <w:rsid w:val="00F9754D"/>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89990">
      <w:bodyDiv w:val="1"/>
      <w:marLeft w:val="0"/>
      <w:marRight w:val="0"/>
      <w:marTop w:val="0"/>
      <w:marBottom w:val="0"/>
      <w:divBdr>
        <w:top w:val="none" w:sz="0" w:space="0" w:color="auto"/>
        <w:left w:val="none" w:sz="0" w:space="0" w:color="auto"/>
        <w:bottom w:val="none" w:sz="0" w:space="0" w:color="auto"/>
        <w:right w:val="none" w:sz="0" w:space="0" w:color="auto"/>
      </w:divBdr>
    </w:div>
    <w:div w:id="1198468361">
      <w:bodyDiv w:val="1"/>
      <w:marLeft w:val="0"/>
      <w:marRight w:val="0"/>
      <w:marTop w:val="0"/>
      <w:marBottom w:val="0"/>
      <w:divBdr>
        <w:top w:val="none" w:sz="0" w:space="0" w:color="auto"/>
        <w:left w:val="none" w:sz="0" w:space="0" w:color="auto"/>
        <w:bottom w:val="none" w:sz="0" w:space="0" w:color="auto"/>
        <w:right w:val="none" w:sz="0" w:space="0" w:color="auto"/>
      </w:divBdr>
    </w:div>
    <w:div w:id="1573466922">
      <w:bodyDiv w:val="1"/>
      <w:marLeft w:val="0"/>
      <w:marRight w:val="0"/>
      <w:marTop w:val="0"/>
      <w:marBottom w:val="0"/>
      <w:divBdr>
        <w:top w:val="none" w:sz="0" w:space="0" w:color="auto"/>
        <w:left w:val="none" w:sz="0" w:space="0" w:color="auto"/>
        <w:bottom w:val="none" w:sz="0" w:space="0" w:color="auto"/>
        <w:right w:val="none" w:sz="0" w:space="0" w:color="auto"/>
      </w:divBdr>
    </w:div>
    <w:div w:id="1684555545">
      <w:bodyDiv w:val="1"/>
      <w:marLeft w:val="0"/>
      <w:marRight w:val="0"/>
      <w:marTop w:val="0"/>
      <w:marBottom w:val="0"/>
      <w:divBdr>
        <w:top w:val="none" w:sz="0" w:space="0" w:color="auto"/>
        <w:left w:val="none" w:sz="0" w:space="0" w:color="auto"/>
        <w:bottom w:val="none" w:sz="0" w:space="0" w:color="auto"/>
        <w:right w:val="none" w:sz="0" w:space="0" w:color="auto"/>
      </w:divBdr>
    </w:div>
    <w:div w:id="1776558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dataverse.harvard.edu/dataset.xhtml?persistentId=doi:10.7910/DVN/C6DIIC" TargetMode="External"/><Relationship Id="rId2" Type="http://schemas.openxmlformats.org/officeDocument/2006/relationships/numbering" Target="numbering.xml"/><Relationship Id="rId16" Type="http://schemas.openxmlformats.org/officeDocument/2006/relationships/hyperlink" Target="https://data.cimmyt.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ata.cimmy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961FF-D3DF-4314-914B-3D99C2C09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5513</Words>
  <Characters>30327</Characters>
  <Application>Microsoft Office Word</Application>
  <DocSecurity>0</DocSecurity>
  <Lines>252</Lines>
  <Paragraphs>71</Paragraphs>
  <ScaleCrop>false</ScaleCrop>
  <Company/>
  <LinksUpToDate>false</LinksUpToDate>
  <CharactersWithSpaces>35769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Eynde, Elise van</dc:creator>
  <cp:keywords/>
  <dc:description/>
  <cp:lastModifiedBy>Eynde, Elise van</cp:lastModifiedBy>
  <cp:revision>14</cp:revision>
  <dcterms:created xsi:type="dcterms:W3CDTF">2022-04-27T07:55:00Z</dcterms:created>
  <dcterms:modified xsi:type="dcterms:W3CDTF">2022-06-20T18:54:00Z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11th edition - Harvard</vt:lpwstr>
  </property>
  <property fmtid="{D5CDD505-2E9C-101B-9397-08002B2CF9AE}" pid="12" name="Mendeley Recent Style Id 5_1">
    <vt:lpwstr>http://www.zotero.org/styles/geochimica-et-cosmochimica-acta</vt:lpwstr>
  </property>
  <property fmtid="{D5CDD505-2E9C-101B-9397-08002B2CF9AE}" pid="13" name="Mendeley Recent Style Name 5_1">
    <vt:lpwstr>Geochimica et Cosmochimica Acta</vt:lpwstr>
  </property>
  <property fmtid="{D5CDD505-2E9C-101B-9397-08002B2CF9AE}" pid="14" name="Mendeley Recent Style Id 6_1">
    <vt:lpwstr>http://www.zotero.org/styles/geoderma</vt:lpwstr>
  </property>
  <property fmtid="{D5CDD505-2E9C-101B-9397-08002B2CF9AE}" pid="15" name="Mendeley Recent Style Name 6_1">
    <vt:lpwstr>Geoderma</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9th edition</vt:lpwstr>
  </property>
  <property fmtid="{D5CDD505-2E9C-101B-9397-08002B2CF9AE}" pid="22" name="Mendeley Document_1">
    <vt:lpwstr>True</vt:lpwstr>
  </property>
  <property fmtid="{D5CDD505-2E9C-101B-9397-08002B2CF9AE}" pid="23" name="Mendeley Unique User Id_1">
    <vt:lpwstr>44238419-4cce-37df-8da9-f8d636345d16</vt:lpwstr>
  </property>
  <property fmtid="{D5CDD505-2E9C-101B-9397-08002B2CF9AE}" pid="24" name="Mendeley Citation Style_1">
    <vt:lpwstr>http://www.zotero.org/styles/geochimica-et-cosmochimica-acta</vt:lpwstr>
  </property>
</Properties>
</file>