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409A88" w14:textId="0555F295" w:rsidR="00423821" w:rsidRPr="0098370B" w:rsidRDefault="00423821" w:rsidP="0042382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98370B">
        <w:rPr>
          <w:rFonts w:ascii="Times New Roman" w:hAnsi="Times New Roman" w:cs="Times New Roman"/>
          <w:b/>
          <w:bCs/>
          <w:sz w:val="24"/>
          <w:szCs w:val="24"/>
          <w:lang w:val="en-GB"/>
        </w:rPr>
        <w:t>Additional file 2</w:t>
      </w:r>
    </w:p>
    <w:p w14:paraId="5A37501B" w14:textId="20085465" w:rsidR="00852E1E" w:rsidRPr="00423821" w:rsidRDefault="00852E1E" w:rsidP="00852E1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3821">
        <w:rPr>
          <w:rFonts w:ascii="Times New Roman" w:hAnsi="Times New Roman" w:cs="Times New Roman"/>
          <w:b/>
          <w:sz w:val="24"/>
          <w:szCs w:val="24"/>
          <w:lang w:val="en-US"/>
        </w:rPr>
        <w:t>Fig</w:t>
      </w:r>
      <w:r w:rsidR="00423821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423821">
        <w:rPr>
          <w:rFonts w:ascii="Times New Roman" w:hAnsi="Times New Roman" w:cs="Times New Roman"/>
          <w:b/>
          <w:sz w:val="24"/>
          <w:szCs w:val="24"/>
          <w:lang w:val="en-US"/>
        </w:rPr>
        <w:t xml:space="preserve">S1 </w:t>
      </w:r>
      <w:r w:rsidRPr="00423821">
        <w:rPr>
          <w:rFonts w:ascii="Times New Roman" w:hAnsi="Times New Roman" w:cs="Times New Roman"/>
          <w:bCs/>
          <w:sz w:val="24"/>
          <w:szCs w:val="24"/>
          <w:lang w:val="en-US"/>
        </w:rPr>
        <w:t>CDC bioassay</w:t>
      </w:r>
      <w:r w:rsidRPr="0042382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423821">
        <w:rPr>
          <w:rFonts w:ascii="Times New Roman" w:hAnsi="Times New Roman" w:cs="Times New Roman"/>
          <w:bCs/>
          <w:sz w:val="24"/>
          <w:szCs w:val="24"/>
          <w:lang w:val="en-GB"/>
        </w:rPr>
        <w:t>mortality percentages</w:t>
      </w:r>
      <w:r w:rsidRPr="0042382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corresponding </w:t>
      </w:r>
      <w:r w:rsidRPr="0042382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to </w:t>
      </w:r>
      <w:r w:rsidR="00E56E26" w:rsidRPr="0042382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exposure </w:t>
      </w:r>
      <w:r w:rsidRPr="00423821">
        <w:rPr>
          <w:rFonts w:ascii="Times New Roman" w:hAnsi="Times New Roman" w:cs="Times New Roman"/>
          <w:bCs/>
          <w:sz w:val="24"/>
          <w:szCs w:val="24"/>
          <w:lang w:val="en-GB"/>
        </w:rPr>
        <w:t>time (minutes)</w:t>
      </w:r>
      <w:r w:rsidR="00E56E26" w:rsidRPr="0042382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against</w:t>
      </w:r>
      <w:r w:rsidRPr="0042382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malathion and deltamethrin</w:t>
      </w:r>
      <w:r w:rsidR="00E56E26" w:rsidRPr="00423821">
        <w:rPr>
          <w:rFonts w:ascii="Times New Roman" w:hAnsi="Times New Roman" w:cs="Times New Roman"/>
          <w:bCs/>
          <w:sz w:val="24"/>
          <w:szCs w:val="24"/>
          <w:lang w:val="en-US"/>
        </w:rPr>
        <w:t>,</w:t>
      </w:r>
      <w:r w:rsidRPr="0042382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for </w:t>
      </w:r>
      <w:r w:rsidRPr="00423821">
        <w:rPr>
          <w:rFonts w:ascii="Times New Roman" w:hAnsi="Times New Roman" w:cs="Times New Roman"/>
          <w:bCs/>
          <w:i/>
          <w:iCs/>
          <w:sz w:val="24"/>
          <w:szCs w:val="24"/>
          <w:lang w:val="en-GB"/>
        </w:rPr>
        <w:t>Aedes albopictus</w:t>
      </w:r>
      <w:r w:rsidRPr="0042382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populations from Greece.</w:t>
      </w:r>
    </w:p>
    <w:p w14:paraId="170901B7" w14:textId="77777777" w:rsidR="00852E1E" w:rsidRPr="001D266D" w:rsidRDefault="00852E1E" w:rsidP="00852E1E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US"/>
        </w:rPr>
      </w:pPr>
    </w:p>
    <w:p w14:paraId="4F937E28" w14:textId="77777777" w:rsidR="00852E1E" w:rsidRDefault="00852E1E" w:rsidP="00852E1E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685B929B" w14:textId="77777777" w:rsidR="00852E1E" w:rsidRDefault="00852E1E" w:rsidP="00852E1E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564EA5" wp14:editId="4D13D746">
                <wp:simplePos x="0" y="0"/>
                <wp:positionH relativeFrom="column">
                  <wp:posOffset>518795</wp:posOffset>
                </wp:positionH>
                <wp:positionV relativeFrom="paragraph">
                  <wp:posOffset>867410</wp:posOffset>
                </wp:positionV>
                <wp:extent cx="4644000" cy="0"/>
                <wp:effectExtent l="0" t="0" r="0" b="0"/>
                <wp:wrapNone/>
                <wp:docPr id="8" name="Ευθεία γραμμή σύνδεσης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44000" cy="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E50934" id="Ευθεία γραμμή σύνδεσης 8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0.85pt,68.3pt" to="406.5pt,6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" strokecolor="black [3200]" strokeweight=".5pt">
                <v:stroke dashstyle="longDash" joinstyle="miter"/>
              </v:line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0D368647" wp14:editId="7FCA1034">
            <wp:extent cx="5274310" cy="3427095"/>
            <wp:effectExtent l="0" t="0" r="2540" b="1905"/>
            <wp:docPr id="4" name="Γράφημα 4">
              <a:extLst xmlns:a="http://schemas.openxmlformats.org/drawingml/2006/main">
                <a:ext uri="{FF2B5EF4-FFF2-40B4-BE49-F238E27FC236}">
                  <a16:creationId xmlns:a16="http://schemas.microsoft.com/office/drawing/2014/main" id="{51984307-E4A3-45CD-8AD4-7830CD8D4C6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C6217A1" w14:textId="77777777" w:rsidR="00852E1E" w:rsidRDefault="00852E1E" w:rsidP="00852E1E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6A315B9E" w14:textId="77777777" w:rsidR="00852E1E" w:rsidRDefault="00852E1E" w:rsidP="00852E1E">
      <w:pPr>
        <w:autoSpaceDE w:val="0"/>
        <w:autoSpaceDN w:val="0"/>
        <w:adjustRightInd w:val="0"/>
        <w:spacing w:after="0" w:line="240" w:lineRule="auto"/>
        <w:rPr>
          <w:noProof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DCA6DC" wp14:editId="7CFA0515">
                <wp:simplePos x="0" y="0"/>
                <wp:positionH relativeFrom="column">
                  <wp:posOffset>497840</wp:posOffset>
                </wp:positionH>
                <wp:positionV relativeFrom="paragraph">
                  <wp:posOffset>934867</wp:posOffset>
                </wp:positionV>
                <wp:extent cx="4644000" cy="0"/>
                <wp:effectExtent l="0" t="0" r="0" b="0"/>
                <wp:wrapNone/>
                <wp:docPr id="6" name="Ευθεία γραμμή σύνδεσης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44000" cy="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D7E846B" id="Ευθεία γραμμή σύνδεσης 6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.2pt,73.6pt" to="404.85pt,7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" strokecolor="black [3200]" strokeweight=".5pt">
                <v:stroke dashstyle="longDash" joinstyle="miter"/>
              </v:line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1EA1FB8E" wp14:editId="473C330E">
            <wp:extent cx="5274310" cy="3485515"/>
            <wp:effectExtent l="0" t="0" r="2540" b="635"/>
            <wp:docPr id="5" name="Γράφημα 5">
              <a:extLst xmlns:a="http://schemas.openxmlformats.org/drawingml/2006/main">
                <a:ext uri="{FF2B5EF4-FFF2-40B4-BE49-F238E27FC236}">
                  <a16:creationId xmlns:a16="http://schemas.microsoft.com/office/drawing/2014/main" id="{21F12227-D5C5-40FC-92FE-C01C454ACE0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Pr="001D266D">
        <w:rPr>
          <w:noProof/>
          <w:lang w:val="en-US"/>
        </w:rPr>
        <w:t xml:space="preserve"> </w:t>
      </w:r>
    </w:p>
    <w:p w14:paraId="2CAE211C" w14:textId="2DC0D6D0" w:rsidR="00852E1E" w:rsidRPr="00423821" w:rsidRDefault="00852E1E" w:rsidP="00852E1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382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Percentages presented </w:t>
      </w:r>
      <w:r w:rsidR="00E56E26" w:rsidRPr="00423821">
        <w:rPr>
          <w:rFonts w:ascii="Times New Roman" w:hAnsi="Times New Roman" w:cs="Times New Roman"/>
          <w:bCs/>
          <w:sz w:val="24"/>
          <w:szCs w:val="24"/>
          <w:lang w:val="en-US"/>
        </w:rPr>
        <w:t>are</w:t>
      </w:r>
      <w:r w:rsidRPr="0042382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cumulative of </w:t>
      </w:r>
      <w:r w:rsidRPr="00423821">
        <w:rPr>
          <w:rFonts w:ascii="Times New Roman" w:hAnsi="Times New Roman" w:cs="Times New Roman"/>
          <w:sz w:val="24"/>
          <w:szCs w:val="24"/>
          <w:lang w:val="en-US"/>
        </w:rPr>
        <w:t>4 insecticide treated replicate bottles. Black dotted line indicates the 98% cut-off for insecticide resistance (CDC guidelines</w:t>
      </w:r>
      <w:r w:rsidR="00E56E26" w:rsidRPr="00423821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4238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23821">
        <w:rPr>
          <w:rFonts w:ascii="Times New Roman" w:hAnsi="Times New Roman" w:cs="Times New Roman"/>
          <w:sz w:val="24"/>
          <w:szCs w:val="24"/>
          <w:lang w:val="en-US"/>
        </w:rPr>
        <w:t>[</w:t>
      </w:r>
      <w:r w:rsidR="004B2061">
        <w:rPr>
          <w:rFonts w:ascii="Times New Roman" w:hAnsi="Times New Roman" w:cs="Times New Roman"/>
          <w:sz w:val="24"/>
          <w:szCs w:val="24"/>
          <w:lang w:val="en-US"/>
        </w:rPr>
        <w:t>40</w:t>
      </w:r>
      <w:r w:rsidR="00423821">
        <w:rPr>
          <w:rFonts w:ascii="Times New Roman" w:hAnsi="Times New Roman" w:cs="Times New Roman"/>
          <w:sz w:val="24"/>
          <w:szCs w:val="24"/>
          <w:lang w:val="en-US"/>
        </w:rPr>
        <w:t>]</w:t>
      </w:r>
      <w:r w:rsidRPr="00423821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sectPr w:rsidR="00852E1E" w:rsidRPr="0042382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1FB"/>
    <w:rsid w:val="00423821"/>
    <w:rsid w:val="004B2061"/>
    <w:rsid w:val="005F04F2"/>
    <w:rsid w:val="00852E1E"/>
    <w:rsid w:val="0098370B"/>
    <w:rsid w:val="00B67FA4"/>
    <w:rsid w:val="00D731FB"/>
    <w:rsid w:val="00E5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03289"/>
  <w15:chartTrackingRefBased/>
  <w15:docId w15:val="{0E7FA4E6-72C1-46F9-BB13-F80B0EA5B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6E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E56E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blsop\Desktop\JV%20Lab\AUA\Bioassays%20adults%20CDC\graphs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blsop\Desktop\JV%20Lab\AUA\Bioassays%20adults%20CDC\graph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l-G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l-GR"/>
              <a:t>MALATHION </a:t>
            </a:r>
            <a:r>
              <a:rPr lang="en-GB"/>
              <a:t>(</a:t>
            </a:r>
            <a:r>
              <a:rPr lang="el-GR"/>
              <a:t>50 </a:t>
            </a:r>
            <a:r>
              <a:rPr lang="en-GB"/>
              <a:t>ppm)</a:t>
            </a:r>
            <a:r>
              <a:rPr lang="el-GR"/>
              <a:t> SUSCEPTIBILITY BIOASSAY</a:t>
            </a:r>
          </a:p>
        </c:rich>
      </c:tx>
      <c:layout>
        <c:manualLayout>
          <c:xMode val="edge"/>
          <c:yMode val="edge"/>
          <c:x val="0.25227053396558036"/>
          <c:y val="1.9635288779564032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0537345083520189"/>
          <c:y val="0.18369456485495164"/>
          <c:w val="0.86592897742086872"/>
          <c:h val="0.65198924575908501"/>
        </c:manualLayout>
      </c:layout>
      <c:lineChart>
        <c:grouping val="standard"/>
        <c:varyColors val="0"/>
        <c:ser>
          <c:idx val="0"/>
          <c:order val="0"/>
          <c:tx>
            <c:v>Patra</c:v>
          </c:tx>
          <c:spPr>
            <a:ln w="28575" cap="rnd">
              <a:solidFill>
                <a:schemeClr val="bg2">
                  <a:lumMod val="75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75000"/>
                </a:schemeClr>
              </a:solidFill>
              <a:ln w="9525">
                <a:solidFill>
                  <a:schemeClr val="bg2">
                    <a:lumMod val="75000"/>
                  </a:schemeClr>
                </a:solidFill>
              </a:ln>
              <a:effectLst/>
            </c:spPr>
          </c:marker>
          <c:cat>
            <c:numRef>
              <c:f>GRAPHS!$A$4:$A$14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cat>
          <c:val>
            <c:numRef>
              <c:f>GRAPHS!$B$4:$B$14</c:f>
              <c:numCache>
                <c:formatCode>General</c:formatCode>
                <c:ptCount val="11"/>
                <c:pt idx="0">
                  <c:v>0</c:v>
                </c:pt>
                <c:pt idx="1">
                  <c:v>8.6</c:v>
                </c:pt>
                <c:pt idx="2">
                  <c:v>91.4</c:v>
                </c:pt>
                <c:pt idx="3">
                  <c:v>100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0-6F86-43AD-B25A-BD0C79F972F2}"/>
            </c:ext>
          </c:extLst>
        </c:ser>
        <c:ser>
          <c:idx val="1"/>
          <c:order val="1"/>
          <c:tx>
            <c:v>Heraklio</c:v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GRAPHS!$A$4:$A$14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cat>
          <c:val>
            <c:numRef>
              <c:f>GRAPHS!$C$4:$C$14</c:f>
              <c:numCache>
                <c:formatCode>General</c:formatCode>
                <c:ptCount val="11"/>
                <c:pt idx="0">
                  <c:v>0</c:v>
                </c:pt>
                <c:pt idx="1">
                  <c:v>10.5</c:v>
                </c:pt>
                <c:pt idx="2">
                  <c:v>55.3</c:v>
                </c:pt>
                <c:pt idx="3">
                  <c:v>60.2</c:v>
                </c:pt>
                <c:pt idx="4">
                  <c:v>68.400000000000006</c:v>
                </c:pt>
                <c:pt idx="5">
                  <c:v>81.599999999999994</c:v>
                </c:pt>
                <c:pt idx="6">
                  <c:v>89.5</c:v>
                </c:pt>
                <c:pt idx="7">
                  <c:v>92.1</c:v>
                </c:pt>
                <c:pt idx="8">
                  <c:v>97.4</c:v>
                </c:pt>
                <c:pt idx="9">
                  <c:v>100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1-6F86-43AD-B25A-BD0C79F972F2}"/>
            </c:ext>
          </c:extLst>
        </c:ser>
        <c:ser>
          <c:idx val="2"/>
          <c:order val="2"/>
          <c:tx>
            <c:v>Athens</c:v>
          </c:tx>
          <c:spPr>
            <a:ln w="28575" cap="rnd">
              <a:solidFill>
                <a:srgbClr val="FFC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C000"/>
              </a:solidFill>
              <a:ln w="9525">
                <a:solidFill>
                  <a:srgbClr val="FFC000"/>
                </a:solidFill>
              </a:ln>
              <a:effectLst/>
            </c:spPr>
          </c:marker>
          <c:cat>
            <c:numRef>
              <c:f>GRAPHS!$A$4:$A$14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cat>
          <c:val>
            <c:numRef>
              <c:f>GRAPHS!$D$4:$D$14</c:f>
              <c:numCache>
                <c:formatCode>General</c:formatCode>
                <c:ptCount val="11"/>
                <c:pt idx="0">
                  <c:v>0</c:v>
                </c:pt>
                <c:pt idx="1">
                  <c:v>8.6999999999999993</c:v>
                </c:pt>
                <c:pt idx="2">
                  <c:v>55.7</c:v>
                </c:pt>
                <c:pt idx="3">
                  <c:v>59.5</c:v>
                </c:pt>
                <c:pt idx="4">
                  <c:v>81</c:v>
                </c:pt>
                <c:pt idx="5">
                  <c:v>84.8</c:v>
                </c:pt>
                <c:pt idx="6">
                  <c:v>91.1</c:v>
                </c:pt>
                <c:pt idx="7">
                  <c:v>97.5</c:v>
                </c:pt>
                <c:pt idx="8">
                  <c:v>98.7</c:v>
                </c:pt>
                <c:pt idx="9">
                  <c:v>98.7</c:v>
                </c:pt>
                <c:pt idx="10">
                  <c:v>100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2-6F86-43AD-B25A-BD0C79F972F2}"/>
            </c:ext>
          </c:extLst>
        </c:ser>
        <c:ser>
          <c:idx val="3"/>
          <c:order val="3"/>
          <c:tx>
            <c:v>Kefalonia</c:v>
          </c:tx>
          <c:spPr>
            <a:ln w="28575" cap="rnd">
              <a:solidFill>
                <a:srgbClr val="00B05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GRAPHS!$A$4:$A$14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cat>
          <c:val>
            <c:numRef>
              <c:f>GRAPHS!$E$4:$E$14</c:f>
              <c:numCache>
                <c:formatCode>General</c:formatCode>
                <c:ptCount val="11"/>
                <c:pt idx="0">
                  <c:v>0</c:v>
                </c:pt>
                <c:pt idx="1">
                  <c:v>19.3</c:v>
                </c:pt>
                <c:pt idx="2">
                  <c:v>56.6</c:v>
                </c:pt>
                <c:pt idx="3">
                  <c:v>65.099999999999994</c:v>
                </c:pt>
                <c:pt idx="4">
                  <c:v>69.900000000000006</c:v>
                </c:pt>
                <c:pt idx="5">
                  <c:v>79.5</c:v>
                </c:pt>
                <c:pt idx="6">
                  <c:v>94</c:v>
                </c:pt>
                <c:pt idx="7">
                  <c:v>100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3-6F86-43AD-B25A-BD0C79F972F2}"/>
            </c:ext>
          </c:extLst>
        </c:ser>
        <c:ser>
          <c:idx val="4"/>
          <c:order val="4"/>
          <c:tx>
            <c:v>Susceptible</c:v>
          </c:tx>
          <c:spPr>
            <a:ln w="28575" cap="rnd">
              <a:solidFill>
                <a:schemeClr val="accent5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60000"/>
                </a:schemeClr>
              </a:solidFill>
              <a:ln w="9525">
                <a:solidFill>
                  <a:schemeClr val="accent5">
                    <a:lumMod val="60000"/>
                  </a:schemeClr>
                </a:solidFill>
              </a:ln>
              <a:effectLst/>
            </c:spPr>
          </c:marker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04-6F86-43AD-B25A-BD0C79F972F2}"/>
              </c:ext>
            </c:extLst>
          </c:dPt>
          <c:cat>
            <c:numRef>
              <c:f>GRAPHS!$A$4:$A$14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cat>
          <c:val>
            <c:numRef>
              <c:f>GRAPHS!$F$4:$F$14</c:f>
              <c:numCache>
                <c:formatCode>General</c:formatCode>
                <c:ptCount val="11"/>
                <c:pt idx="0">
                  <c:v>0</c:v>
                </c:pt>
                <c:pt idx="1">
                  <c:v>91.3</c:v>
                </c:pt>
                <c:pt idx="2">
                  <c:v>100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5-6F86-43AD-B25A-BD0C79F972F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06656000"/>
        <c:axId val="306658688"/>
      </c:lineChart>
      <c:catAx>
        <c:axId val="30665600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TIME (min)</a:t>
                </a:r>
                <a:endParaRPr lang="el-GR"/>
              </a:p>
            </c:rich>
          </c:tx>
          <c:layout>
            <c:manualLayout>
              <c:xMode val="edge"/>
              <c:yMode val="edge"/>
              <c:x val="0.45567207244789765"/>
              <c:y val="0.9259141498609773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l-GR"/>
          </a:p>
        </c:txPr>
        <c:crossAx val="306658688"/>
        <c:crossesAt val="0"/>
        <c:auto val="1"/>
        <c:lblAlgn val="ctr"/>
        <c:lblOffset val="100"/>
        <c:noMultiLvlLbl val="1"/>
      </c:catAx>
      <c:valAx>
        <c:axId val="306658688"/>
        <c:scaling>
          <c:orientation val="minMax"/>
          <c:max val="11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% CUMULATIVE MORTALITY</a:t>
                </a:r>
                <a:endParaRPr lang="el-GR"/>
              </a:p>
            </c:rich>
          </c:tx>
          <c:layout>
            <c:manualLayout>
              <c:xMode val="edge"/>
              <c:yMode val="edge"/>
              <c:x val="2.4282560706401765E-2"/>
              <c:y val="0.3173808592365434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l-GR"/>
          </a:p>
        </c:txPr>
        <c:crossAx val="3066560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6910726390989209"/>
          <c:y val="0.10011631173645809"/>
          <c:w val="0.71928633876152537"/>
          <c:h val="5.73398508672654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l-G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/>
      </a:pPr>
      <a:endParaRPr lang="el-GR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l-G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DELTAMETHRIN (10 ppm) SUSCEPTIBILITY BIOASSAY</a:t>
            </a:r>
            <a:endParaRPr lang="el-GR"/>
          </a:p>
        </c:rich>
      </c:tx>
      <c:layout>
        <c:manualLayout>
          <c:xMode val="edge"/>
          <c:yMode val="edge"/>
          <c:x val="0.23101372501805922"/>
          <c:y val="2.1861905629440698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0758095635396568"/>
          <c:y val="0.19721037085658025"/>
          <c:w val="0.85082963967252434"/>
          <c:h val="0.65747152872710735"/>
        </c:manualLayout>
      </c:layout>
      <c:scatterChart>
        <c:scatterStyle val="smoothMarker"/>
        <c:varyColors val="0"/>
        <c:ser>
          <c:idx val="0"/>
          <c:order val="0"/>
          <c:tx>
            <c:v>Patra</c:v>
          </c:tx>
          <c:spPr>
            <a:ln w="19050" cap="rnd">
              <a:solidFill>
                <a:schemeClr val="bg2">
                  <a:lumMod val="75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75000"/>
                </a:schemeClr>
              </a:solidFill>
              <a:ln w="9525">
                <a:solidFill>
                  <a:schemeClr val="bg2">
                    <a:lumMod val="75000"/>
                  </a:schemeClr>
                </a:solidFill>
              </a:ln>
              <a:effectLst/>
            </c:spPr>
          </c:marker>
          <c:xVal>
            <c:numRef>
              <c:f>[1]malathion!$A$4:$A$14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xVal>
          <c:yVal>
            <c:numRef>
              <c:f>[1]malathion!$B$4:$B$14</c:f>
              <c:numCache>
                <c:formatCode>General</c:formatCode>
                <c:ptCount val="11"/>
                <c:pt idx="0">
                  <c:v>0</c:v>
                </c:pt>
                <c:pt idx="1">
                  <c:v>98</c:v>
                </c:pt>
                <c:pt idx="2">
                  <c:v>100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B30-4176-8370-FAA93BF35063}"/>
            </c:ext>
          </c:extLst>
        </c:ser>
        <c:ser>
          <c:idx val="1"/>
          <c:order val="1"/>
          <c:tx>
            <c:v>Heraklio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[1]malathion!$A$4:$A$14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xVal>
          <c:yVal>
            <c:numRef>
              <c:f>[1]malathion!$C$4:$C$14</c:f>
              <c:numCache>
                <c:formatCode>General</c:formatCode>
                <c:ptCount val="11"/>
                <c:pt idx="0">
                  <c:v>0</c:v>
                </c:pt>
                <c:pt idx="1">
                  <c:v>95.6</c:v>
                </c:pt>
                <c:pt idx="2">
                  <c:v>100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0B30-4176-8370-FAA93BF35063}"/>
            </c:ext>
          </c:extLst>
        </c:ser>
        <c:ser>
          <c:idx val="2"/>
          <c:order val="2"/>
          <c:tx>
            <c:v>Athens</c:v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C000"/>
              </a:solidFill>
              <a:ln w="9525">
                <a:solidFill>
                  <a:srgbClr val="FFC000"/>
                </a:solidFill>
              </a:ln>
              <a:effectLst/>
            </c:spPr>
          </c:marker>
          <c:xVal>
            <c:numRef>
              <c:f>[1]malathion!$A$4:$A$14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xVal>
          <c:yVal>
            <c:numRef>
              <c:f>[1]malathion!$D$4:$D$14</c:f>
              <c:numCache>
                <c:formatCode>General</c:formatCode>
                <c:ptCount val="11"/>
                <c:pt idx="0">
                  <c:v>0</c:v>
                </c:pt>
                <c:pt idx="1">
                  <c:v>93.3</c:v>
                </c:pt>
                <c:pt idx="2">
                  <c:v>100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0B30-4176-8370-FAA93BF35063}"/>
            </c:ext>
          </c:extLst>
        </c:ser>
        <c:ser>
          <c:idx val="3"/>
          <c:order val="3"/>
          <c:tx>
            <c:v>Kefalonia</c:v>
          </c:tx>
          <c:spPr>
            <a:ln w="19050" cap="rnd">
              <a:solidFill>
                <a:srgbClr val="00B05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[1]malathion!$A$4:$A$14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xVal>
          <c:yVal>
            <c:numRef>
              <c:f>[1]malathion!$E$4:$E$14</c:f>
              <c:numCache>
                <c:formatCode>General</c:formatCode>
                <c:ptCount val="11"/>
                <c:pt idx="0">
                  <c:v>0</c:v>
                </c:pt>
                <c:pt idx="1">
                  <c:v>79.5</c:v>
                </c:pt>
                <c:pt idx="2">
                  <c:v>100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0B30-4176-8370-FAA93BF35063}"/>
            </c:ext>
          </c:extLst>
        </c:ser>
        <c:ser>
          <c:idx val="4"/>
          <c:order val="4"/>
          <c:tx>
            <c:v>Susceptible</c:v>
          </c:tx>
          <c:spPr>
            <a:ln w="19050" cap="rnd">
              <a:solidFill>
                <a:schemeClr val="accent5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60000"/>
                </a:schemeClr>
              </a:solidFill>
              <a:ln w="9525">
                <a:solidFill>
                  <a:schemeClr val="accent5">
                    <a:lumMod val="60000"/>
                  </a:schemeClr>
                </a:solidFill>
              </a:ln>
              <a:effectLst/>
            </c:spPr>
          </c:marker>
          <c:xVal>
            <c:numRef>
              <c:f>[1]malathion!$A$4:$A$14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xVal>
          <c:yVal>
            <c:numRef>
              <c:f>[1]malathion!$F$4:$F$14</c:f>
              <c:numCache>
                <c:formatCode>General</c:formatCode>
                <c:ptCount val="11"/>
                <c:pt idx="0">
                  <c:v>0</c:v>
                </c:pt>
                <c:pt idx="1">
                  <c:v>78.3</c:v>
                </c:pt>
                <c:pt idx="2">
                  <c:v>100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0B30-4176-8370-FAA93BF350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0056704"/>
        <c:axId val="210059264"/>
      </c:scatterChart>
      <c:valAx>
        <c:axId val="210056704"/>
        <c:scaling>
          <c:orientation val="minMax"/>
          <c:max val="12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TIME (min)</a:t>
                </a:r>
                <a:endParaRPr lang="el-GR"/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l-GR"/>
          </a:p>
        </c:txPr>
        <c:crossAx val="210059264"/>
        <c:crosses val="autoZero"/>
        <c:crossBetween val="midCat"/>
        <c:majorUnit val="15"/>
      </c:valAx>
      <c:valAx>
        <c:axId val="210059264"/>
        <c:scaling>
          <c:orientation val="minMax"/>
          <c:max val="11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% CUMULATIVE MORTALITY</a:t>
                </a:r>
                <a:endParaRPr lang="el-GR"/>
              </a:p>
            </c:rich>
          </c:tx>
          <c:layout>
            <c:manualLayout>
              <c:xMode val="edge"/>
              <c:yMode val="edge"/>
              <c:x val="2.2075055187637971E-2"/>
              <c:y val="0.2928314671201052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l-GR"/>
          </a:p>
        </c:txPr>
        <c:crossAx val="210056704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6689975839112828"/>
          <c:y val="9.7882776139690805E-2"/>
          <c:w val="0.71918044184874252"/>
          <c:h val="5.636940564277967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l-G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/>
      </a:pPr>
      <a:endParaRPr lang="el-G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313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Sophia Bls</dc:creator>
  <cp:keywords/>
  <dc:description/>
  <cp:lastModifiedBy>Sophia Bls</cp:lastModifiedBy>
  <cp:revision>7</cp:revision>
  <dcterms:created xsi:type="dcterms:W3CDTF">2020-03-27T16:24:00Z</dcterms:created>
  <dcterms:modified xsi:type="dcterms:W3CDTF">2020-05-18T08:46:00Z</dcterms:modified>
</cp:coreProperties>
</file>