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0B811D" w14:textId="1B86D9F6" w:rsidR="00433666" w:rsidRDefault="00433666" w:rsidP="00433666">
      <w:pPr>
        <w:spacing w:line="480" w:lineRule="auto"/>
        <w:rPr>
          <w:rFonts w:ascii="Arial" w:hAnsi="Arial" w:cs="Arial"/>
          <w:b/>
          <w:bCs/>
          <w:color w:val="000000" w:themeColor="text1"/>
        </w:rPr>
      </w:pPr>
      <w:r w:rsidRPr="00C86685">
        <w:rPr>
          <w:rFonts w:ascii="Arial" w:hAnsi="Arial" w:cs="Arial"/>
          <w:b/>
          <w:bCs/>
          <w:color w:val="000000" w:themeColor="text1"/>
        </w:rPr>
        <w:t>Supplemental Information</w:t>
      </w:r>
    </w:p>
    <w:p w14:paraId="1F64658C" w14:textId="77777777" w:rsidR="00433666" w:rsidRDefault="00433666" w:rsidP="00433666">
      <w:pPr>
        <w:spacing w:line="480" w:lineRule="auto"/>
        <w:rPr>
          <w:rFonts w:ascii="Arial" w:hAnsi="Arial" w:cs="Arial"/>
          <w:b/>
          <w:bCs/>
          <w:color w:val="000000" w:themeColor="text1"/>
        </w:rPr>
      </w:pPr>
    </w:p>
    <w:p w14:paraId="20566B17" w14:textId="77777777" w:rsidR="00340BC1" w:rsidRPr="004B5C4D" w:rsidRDefault="00340BC1" w:rsidP="00340BC1">
      <w:pPr>
        <w:spacing w:line="480" w:lineRule="auto"/>
        <w:jc w:val="both"/>
        <w:rPr>
          <w:rFonts w:ascii="Arial" w:hAnsi="Arial" w:cs="Arial"/>
          <w:b/>
          <w:bCs/>
          <w:color w:val="000000" w:themeColor="text1"/>
        </w:rPr>
      </w:pPr>
      <w:r w:rsidRPr="004B5C4D">
        <w:rPr>
          <w:rFonts w:ascii="Arial" w:hAnsi="Arial" w:cs="Arial"/>
          <w:b/>
          <w:bCs/>
          <w:color w:val="000000" w:themeColor="text1"/>
        </w:rPr>
        <w:t xml:space="preserve">Aging exacerbates the brain inflammatory micro-environment contributing to </w:t>
      </w:r>
      <w:r w:rsidRPr="004B5C4D">
        <w:rPr>
          <w:rFonts w:ascii="Symbol" w:hAnsi="Symbol" w:cs="Arial"/>
          <w:b/>
          <w:bCs/>
          <w:color w:val="000000" w:themeColor="text1"/>
        </w:rPr>
        <w:t></w:t>
      </w:r>
      <w:r w:rsidRPr="004B5C4D">
        <w:rPr>
          <w:rFonts w:ascii="Arial" w:hAnsi="Arial" w:cs="Arial"/>
          <w:b/>
          <w:bCs/>
          <w:color w:val="000000" w:themeColor="text1"/>
        </w:rPr>
        <w:t>-synuclein pathology and functional deficits a mouse model of DLB/PD</w:t>
      </w:r>
    </w:p>
    <w:p w14:paraId="5A303BAA" w14:textId="77777777" w:rsidR="00433666" w:rsidRPr="004B5C4D" w:rsidRDefault="00433666" w:rsidP="00433666">
      <w:pPr>
        <w:spacing w:line="480" w:lineRule="auto"/>
        <w:jc w:val="both"/>
        <w:rPr>
          <w:rFonts w:ascii="Arial" w:hAnsi="Arial" w:cs="Arial"/>
          <w:color w:val="000000" w:themeColor="text1"/>
        </w:rPr>
      </w:pPr>
    </w:p>
    <w:p w14:paraId="076DD4BC" w14:textId="7F9FAFBB" w:rsidR="00433666" w:rsidRPr="004B5C4D" w:rsidRDefault="00433666" w:rsidP="00433666">
      <w:pPr>
        <w:spacing w:line="480" w:lineRule="auto"/>
        <w:jc w:val="both"/>
        <w:rPr>
          <w:rFonts w:ascii="Arial" w:hAnsi="Arial" w:cs="Arial"/>
          <w:color w:val="000000" w:themeColor="text1"/>
        </w:rPr>
      </w:pPr>
      <w:proofErr w:type="spellStart"/>
      <w:r w:rsidRPr="004B5C4D">
        <w:rPr>
          <w:rFonts w:ascii="Arial" w:hAnsi="Arial" w:cs="Arial"/>
          <w:color w:val="000000" w:themeColor="text1"/>
        </w:rPr>
        <w:t>Michiyo</w:t>
      </w:r>
      <w:proofErr w:type="spellEnd"/>
      <w:r w:rsidRPr="004B5C4D">
        <w:rPr>
          <w:rFonts w:ascii="Arial" w:hAnsi="Arial" w:cs="Arial"/>
          <w:color w:val="000000" w:themeColor="text1"/>
        </w:rPr>
        <w:t xml:space="preserve"> </w:t>
      </w:r>
      <w:proofErr w:type="spellStart"/>
      <w:r w:rsidRPr="004B5C4D">
        <w:rPr>
          <w:rFonts w:ascii="Arial" w:hAnsi="Arial" w:cs="Arial"/>
          <w:color w:val="000000" w:themeColor="text1"/>
        </w:rPr>
        <w:t>Iba</w:t>
      </w:r>
      <w:proofErr w:type="spellEnd"/>
      <w:r w:rsidRPr="004B5C4D">
        <w:rPr>
          <w:rFonts w:ascii="Arial" w:hAnsi="Arial" w:cs="Arial"/>
          <w:color w:val="000000" w:themeColor="text1"/>
        </w:rPr>
        <w:t xml:space="preserve">, Ross McDevitt, Changyoun Kim, Roshni Roy, </w:t>
      </w:r>
      <w:proofErr w:type="spellStart"/>
      <w:r w:rsidRPr="004B5C4D">
        <w:rPr>
          <w:rFonts w:ascii="Arial" w:hAnsi="Arial" w:cs="Arial"/>
          <w:color w:val="000000" w:themeColor="text1"/>
        </w:rPr>
        <w:t>Dimitira</w:t>
      </w:r>
      <w:proofErr w:type="spellEnd"/>
      <w:r w:rsidRPr="004B5C4D">
        <w:rPr>
          <w:rFonts w:ascii="Arial" w:hAnsi="Arial" w:cs="Arial"/>
          <w:color w:val="000000" w:themeColor="text1"/>
        </w:rPr>
        <w:t xml:space="preserve"> </w:t>
      </w:r>
      <w:proofErr w:type="spellStart"/>
      <w:r w:rsidRPr="004B5C4D">
        <w:rPr>
          <w:rFonts w:ascii="Arial" w:hAnsi="Arial" w:cs="Arial"/>
          <w:color w:val="000000" w:themeColor="text1"/>
        </w:rPr>
        <w:t>Sarantoupoulou</w:t>
      </w:r>
      <w:proofErr w:type="spellEnd"/>
      <w:r w:rsidRPr="004B5C4D">
        <w:rPr>
          <w:rFonts w:ascii="Arial" w:hAnsi="Arial" w:cs="Arial"/>
          <w:color w:val="000000" w:themeColor="text1"/>
        </w:rPr>
        <w:t xml:space="preserve">, Ella </w:t>
      </w:r>
      <w:proofErr w:type="spellStart"/>
      <w:r w:rsidRPr="004B5C4D">
        <w:rPr>
          <w:rFonts w:ascii="Arial" w:hAnsi="Arial" w:cs="Arial"/>
          <w:color w:val="000000" w:themeColor="text1"/>
        </w:rPr>
        <w:t>Tommer</w:t>
      </w:r>
      <w:proofErr w:type="spellEnd"/>
      <w:r w:rsidRPr="004B5C4D">
        <w:rPr>
          <w:rFonts w:ascii="Arial" w:hAnsi="Arial" w:cs="Arial"/>
          <w:color w:val="000000" w:themeColor="text1"/>
        </w:rPr>
        <w:t xml:space="preserve">, </w:t>
      </w:r>
      <w:proofErr w:type="spellStart"/>
      <w:r w:rsidRPr="004B5C4D">
        <w:rPr>
          <w:rFonts w:ascii="Arial" w:hAnsi="Arial" w:cs="Arial"/>
          <w:color w:val="000000" w:themeColor="text1"/>
        </w:rPr>
        <w:t>Somin</w:t>
      </w:r>
      <w:proofErr w:type="spellEnd"/>
      <w:r w:rsidRPr="004B5C4D">
        <w:rPr>
          <w:rFonts w:ascii="Arial" w:hAnsi="Arial" w:cs="Arial"/>
          <w:color w:val="000000" w:themeColor="text1"/>
        </w:rPr>
        <w:t xml:space="preserve"> Kwon, Byron </w:t>
      </w:r>
      <w:proofErr w:type="spellStart"/>
      <w:r w:rsidRPr="004B5C4D">
        <w:rPr>
          <w:rFonts w:ascii="Arial" w:hAnsi="Arial" w:cs="Arial"/>
          <w:color w:val="000000" w:themeColor="text1"/>
        </w:rPr>
        <w:t>Siegars</w:t>
      </w:r>
      <w:proofErr w:type="spellEnd"/>
      <w:r w:rsidRPr="004B5C4D">
        <w:rPr>
          <w:rFonts w:ascii="Arial" w:hAnsi="Arial" w:cs="Arial"/>
          <w:color w:val="000000" w:themeColor="text1"/>
        </w:rPr>
        <w:t xml:space="preserve">, Michelle </w:t>
      </w:r>
      <w:proofErr w:type="spellStart"/>
      <w:r w:rsidRPr="004B5C4D">
        <w:rPr>
          <w:rFonts w:ascii="Arial" w:hAnsi="Arial" w:cs="Arial"/>
          <w:color w:val="000000" w:themeColor="text1"/>
        </w:rPr>
        <w:t>Sallin</w:t>
      </w:r>
      <w:proofErr w:type="spellEnd"/>
      <w:r w:rsidRPr="004B5C4D">
        <w:rPr>
          <w:rFonts w:ascii="Arial" w:hAnsi="Arial" w:cs="Arial"/>
          <w:color w:val="000000" w:themeColor="text1"/>
        </w:rPr>
        <w:t xml:space="preserve">, Jyoti </w:t>
      </w:r>
      <w:proofErr w:type="spellStart"/>
      <w:r w:rsidRPr="004B5C4D">
        <w:rPr>
          <w:rFonts w:ascii="Arial" w:hAnsi="Arial" w:cs="Arial"/>
          <w:color w:val="000000" w:themeColor="text1"/>
        </w:rPr>
        <w:t>Misra</w:t>
      </w:r>
      <w:proofErr w:type="spellEnd"/>
      <w:r w:rsidRPr="004B5C4D">
        <w:rPr>
          <w:rFonts w:ascii="Arial" w:hAnsi="Arial" w:cs="Arial"/>
          <w:color w:val="000000" w:themeColor="text1"/>
        </w:rPr>
        <w:t xml:space="preserve"> Sen</w:t>
      </w:r>
      <w:r>
        <w:rPr>
          <w:rFonts w:ascii="Arial" w:hAnsi="Arial" w:cs="Arial"/>
          <w:color w:val="000000" w:themeColor="text1"/>
        </w:rPr>
        <w:t xml:space="preserve">, </w:t>
      </w:r>
      <w:r w:rsidRPr="004B5C4D">
        <w:rPr>
          <w:rFonts w:ascii="Arial" w:hAnsi="Arial" w:cs="Arial"/>
          <w:color w:val="000000" w:themeColor="text1"/>
        </w:rPr>
        <w:t>Ranjan Sen, and Eliezer Masliah</w:t>
      </w:r>
    </w:p>
    <w:p w14:paraId="017B1CB6" w14:textId="77777777" w:rsidR="00433666" w:rsidRPr="00C86685" w:rsidRDefault="00433666" w:rsidP="00433666">
      <w:pPr>
        <w:spacing w:line="480" w:lineRule="auto"/>
        <w:rPr>
          <w:rFonts w:ascii="Arial" w:hAnsi="Arial" w:cs="Arial"/>
          <w:b/>
          <w:bCs/>
          <w:color w:val="000000" w:themeColor="text1"/>
        </w:rPr>
      </w:pPr>
    </w:p>
    <w:p w14:paraId="798B08A6" w14:textId="77777777" w:rsidR="00433666" w:rsidRDefault="00433666" w:rsidP="00433666">
      <w:pPr>
        <w:spacing w:line="360" w:lineRule="auto"/>
        <w:jc w:val="both"/>
        <w:rPr>
          <w:rFonts w:ascii="Arial" w:hAnsi="Arial" w:cs="Arial"/>
          <w:b/>
          <w:bCs/>
          <w:color w:val="000000" w:themeColor="text1"/>
        </w:rPr>
      </w:pPr>
      <w:r>
        <w:rPr>
          <w:rFonts w:ascii="Arial" w:hAnsi="Arial" w:cs="Arial"/>
          <w:b/>
          <w:bCs/>
          <w:color w:val="000000" w:themeColor="text1"/>
        </w:rPr>
        <w:br w:type="page"/>
      </w:r>
    </w:p>
    <w:p w14:paraId="1F65554F" w14:textId="7890FC41" w:rsidR="00433666" w:rsidRDefault="00452C79" w:rsidP="00433666">
      <w:pPr>
        <w:spacing w:line="360" w:lineRule="auto"/>
        <w:jc w:val="both"/>
        <w:rPr>
          <w:rFonts w:ascii="Arial" w:hAnsi="Arial" w:cs="Arial"/>
          <w:b/>
          <w:bCs/>
          <w:color w:val="000000" w:themeColor="text1"/>
        </w:rPr>
      </w:pPr>
      <w:r>
        <w:rPr>
          <w:rFonts w:ascii="Arial" w:hAnsi="Arial" w:cs="Arial"/>
          <w:b/>
          <w:bCs/>
          <w:noProof/>
          <w:color w:val="000000" w:themeColor="text1"/>
        </w:rPr>
        <w:lastRenderedPageBreak/>
        <w:drawing>
          <wp:inline distT="0" distB="0" distL="0" distR="0" wp14:anchorId="6D2A43BE" wp14:editId="15BB5D54">
            <wp:extent cx="6385301" cy="4397399"/>
            <wp:effectExtent l="0" t="0" r="3175"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6397198" cy="4405592"/>
                    </a:xfrm>
                    <a:prstGeom prst="rect">
                      <a:avLst/>
                    </a:prstGeom>
                  </pic:spPr>
                </pic:pic>
              </a:graphicData>
            </a:graphic>
          </wp:inline>
        </w:drawing>
      </w:r>
    </w:p>
    <w:p w14:paraId="48F32B1C" w14:textId="77777777" w:rsidR="00452C79" w:rsidRDefault="00452C79" w:rsidP="00433666">
      <w:pPr>
        <w:spacing w:line="360" w:lineRule="auto"/>
        <w:jc w:val="both"/>
        <w:rPr>
          <w:rFonts w:ascii="Arial" w:hAnsi="Arial" w:cs="Arial"/>
          <w:b/>
          <w:bCs/>
          <w:color w:val="000000" w:themeColor="text1"/>
        </w:rPr>
      </w:pPr>
    </w:p>
    <w:p w14:paraId="6B64D4DA" w14:textId="3A9BE5D4" w:rsidR="00433666" w:rsidRPr="004B5C4D" w:rsidRDefault="00433666" w:rsidP="00433666">
      <w:pPr>
        <w:spacing w:line="360" w:lineRule="auto"/>
        <w:jc w:val="both"/>
        <w:rPr>
          <w:rFonts w:ascii="Arial" w:hAnsi="Arial" w:cs="Arial"/>
          <w:color w:val="000000" w:themeColor="text1"/>
        </w:rPr>
      </w:pPr>
      <w:r w:rsidRPr="004B5C4D">
        <w:rPr>
          <w:rFonts w:ascii="Arial" w:hAnsi="Arial" w:cs="Arial"/>
          <w:b/>
          <w:bCs/>
          <w:color w:val="000000" w:themeColor="text1"/>
        </w:rPr>
        <w:t>Figure S1</w:t>
      </w:r>
      <w:r w:rsidRPr="004B5C4D">
        <w:rPr>
          <w:rFonts w:ascii="Arial" w:hAnsi="Arial" w:cs="Arial"/>
          <w:color w:val="000000" w:themeColor="text1"/>
        </w:rPr>
        <w:t xml:space="preserve">. </w:t>
      </w:r>
      <w:r w:rsidRPr="004B5C4D">
        <w:rPr>
          <w:rFonts w:ascii="Arial" w:hAnsi="Arial" w:cs="Arial"/>
          <w:b/>
          <w:bCs/>
          <w:color w:val="000000" w:themeColor="text1"/>
        </w:rPr>
        <w:t xml:space="preserve">Additional behavioral and locomotor activity analysis in young and aged </w:t>
      </w:r>
      <w:proofErr w:type="spellStart"/>
      <w:r w:rsidRPr="004B5C4D">
        <w:rPr>
          <w:rFonts w:ascii="Arial" w:hAnsi="Arial" w:cs="Arial"/>
          <w:b/>
          <w:bCs/>
          <w:color w:val="000000" w:themeColor="text1"/>
        </w:rPr>
        <w:t>wt</w:t>
      </w:r>
      <w:proofErr w:type="spellEnd"/>
      <w:r w:rsidRPr="004B5C4D">
        <w:rPr>
          <w:rFonts w:ascii="Arial" w:hAnsi="Arial" w:cs="Arial"/>
          <w:b/>
          <w:bCs/>
          <w:color w:val="000000" w:themeColor="text1"/>
        </w:rPr>
        <w:t xml:space="preserve"> mice at 1- and 3-momth post-injection with PBS or ɑ-syn </w:t>
      </w:r>
      <w:proofErr w:type="spellStart"/>
      <w:r w:rsidRPr="004B5C4D">
        <w:rPr>
          <w:rFonts w:ascii="Arial" w:hAnsi="Arial" w:cs="Arial"/>
          <w:b/>
          <w:bCs/>
          <w:color w:val="000000" w:themeColor="text1"/>
        </w:rPr>
        <w:t>pff</w:t>
      </w:r>
      <w:proofErr w:type="spellEnd"/>
      <w:r w:rsidRPr="004B5C4D">
        <w:rPr>
          <w:rFonts w:ascii="Arial" w:hAnsi="Arial" w:cs="Arial"/>
          <w:color w:val="000000" w:themeColor="text1"/>
        </w:rPr>
        <w:t>. (</w:t>
      </w:r>
      <w:r w:rsidRPr="004B5C4D">
        <w:rPr>
          <w:rFonts w:ascii="Arial" w:hAnsi="Arial" w:cs="Arial"/>
          <w:b/>
          <w:bCs/>
          <w:color w:val="000000" w:themeColor="text1"/>
        </w:rPr>
        <w:t>A</w:t>
      </w:r>
      <w:r w:rsidRPr="004B5C4D">
        <w:rPr>
          <w:rFonts w:ascii="Arial" w:hAnsi="Arial" w:cs="Arial"/>
          <w:color w:val="000000" w:themeColor="text1"/>
        </w:rPr>
        <w:t>) Baseline freezing rate (%) in the fear conditioning test. (</w:t>
      </w:r>
      <w:r w:rsidRPr="004B5C4D">
        <w:rPr>
          <w:rFonts w:ascii="Arial" w:hAnsi="Arial" w:cs="Arial"/>
          <w:b/>
          <w:bCs/>
          <w:color w:val="000000" w:themeColor="text1"/>
        </w:rPr>
        <w:t>B</w:t>
      </w:r>
      <w:r w:rsidRPr="004B5C4D">
        <w:rPr>
          <w:rFonts w:ascii="Arial" w:hAnsi="Arial" w:cs="Arial"/>
          <w:color w:val="000000" w:themeColor="text1"/>
        </w:rPr>
        <w:t>) Freezing rate during the context period (%) in the fear conditioning test. (</w:t>
      </w:r>
      <w:r w:rsidRPr="004B5C4D">
        <w:rPr>
          <w:rFonts w:ascii="Arial" w:hAnsi="Arial" w:cs="Arial"/>
          <w:b/>
          <w:bCs/>
          <w:color w:val="000000" w:themeColor="text1"/>
        </w:rPr>
        <w:t>C</w:t>
      </w:r>
      <w:r w:rsidRPr="004B5C4D">
        <w:rPr>
          <w:rFonts w:ascii="Arial" w:hAnsi="Arial" w:cs="Arial"/>
          <w:color w:val="000000" w:themeColor="text1"/>
        </w:rPr>
        <w:t>) Latency to fall from wire shown in % of control in young and (</w:t>
      </w:r>
      <w:r w:rsidRPr="004B5C4D">
        <w:rPr>
          <w:rFonts w:ascii="Arial" w:hAnsi="Arial" w:cs="Arial"/>
          <w:b/>
          <w:bCs/>
          <w:color w:val="000000" w:themeColor="text1"/>
        </w:rPr>
        <w:t>D</w:t>
      </w:r>
      <w:r w:rsidRPr="004B5C4D">
        <w:rPr>
          <w:rFonts w:ascii="Arial" w:hAnsi="Arial" w:cs="Arial"/>
          <w:color w:val="000000" w:themeColor="text1"/>
        </w:rPr>
        <w:t>) aged mouse cohorts. (</w:t>
      </w:r>
      <w:r w:rsidRPr="004B5C4D">
        <w:rPr>
          <w:rFonts w:ascii="Arial" w:hAnsi="Arial" w:cs="Arial"/>
          <w:b/>
          <w:bCs/>
          <w:color w:val="000000" w:themeColor="text1"/>
        </w:rPr>
        <w:t>E</w:t>
      </w:r>
      <w:r w:rsidRPr="004B5C4D">
        <w:rPr>
          <w:rFonts w:ascii="Arial" w:hAnsi="Arial" w:cs="Arial"/>
          <w:color w:val="000000" w:themeColor="text1"/>
        </w:rPr>
        <w:t xml:space="preserve">) Latency to fall from </w:t>
      </w:r>
      <w:r w:rsidR="00452C79" w:rsidRPr="004B5C4D">
        <w:rPr>
          <w:rFonts w:ascii="Arial" w:hAnsi="Arial" w:cs="Arial"/>
          <w:color w:val="000000" w:themeColor="text1"/>
        </w:rPr>
        <w:t>rotarod</w:t>
      </w:r>
      <w:r w:rsidRPr="004B5C4D">
        <w:rPr>
          <w:rFonts w:ascii="Arial" w:hAnsi="Arial" w:cs="Arial"/>
          <w:color w:val="000000" w:themeColor="text1"/>
        </w:rPr>
        <w:t xml:space="preserve"> in % control in young and (</w:t>
      </w:r>
      <w:r w:rsidRPr="004B5C4D">
        <w:rPr>
          <w:rFonts w:ascii="Arial" w:hAnsi="Arial" w:cs="Arial"/>
          <w:b/>
          <w:bCs/>
          <w:color w:val="000000" w:themeColor="text1"/>
        </w:rPr>
        <w:t>F</w:t>
      </w:r>
      <w:r w:rsidRPr="004B5C4D">
        <w:rPr>
          <w:rFonts w:ascii="Arial" w:hAnsi="Arial" w:cs="Arial"/>
          <w:color w:val="000000" w:themeColor="text1"/>
        </w:rPr>
        <w:t>) aged mouse cohorts. (</w:t>
      </w:r>
      <w:r w:rsidRPr="004B5C4D">
        <w:rPr>
          <w:rFonts w:ascii="Arial" w:hAnsi="Arial" w:cs="Arial"/>
          <w:b/>
          <w:bCs/>
          <w:color w:val="000000" w:themeColor="text1"/>
        </w:rPr>
        <w:t>G</w:t>
      </w:r>
      <w:r w:rsidRPr="004B5C4D">
        <w:rPr>
          <w:rFonts w:ascii="Arial" w:hAnsi="Arial" w:cs="Arial"/>
          <w:color w:val="000000" w:themeColor="text1"/>
        </w:rPr>
        <w:t>) Speed on 12 mm horizontal beam in % control in young and (</w:t>
      </w:r>
      <w:r w:rsidRPr="004B5C4D">
        <w:rPr>
          <w:rFonts w:ascii="Arial" w:hAnsi="Arial" w:cs="Arial"/>
          <w:b/>
          <w:bCs/>
          <w:color w:val="000000" w:themeColor="text1"/>
        </w:rPr>
        <w:t>H</w:t>
      </w:r>
      <w:r w:rsidRPr="004B5C4D">
        <w:rPr>
          <w:rFonts w:ascii="Arial" w:hAnsi="Arial" w:cs="Arial"/>
          <w:color w:val="000000" w:themeColor="text1"/>
        </w:rPr>
        <w:t xml:space="preserve">) aged mouse cohorts. </w:t>
      </w:r>
    </w:p>
    <w:p w14:paraId="1646AC8E" w14:textId="77777777" w:rsidR="00433666" w:rsidRPr="004B5C4D" w:rsidRDefault="00433666" w:rsidP="00433666">
      <w:pPr>
        <w:spacing w:line="360" w:lineRule="auto"/>
        <w:jc w:val="both"/>
        <w:rPr>
          <w:rFonts w:ascii="Arial" w:hAnsi="Arial" w:cs="Arial"/>
          <w:color w:val="000000" w:themeColor="text1"/>
        </w:rPr>
      </w:pPr>
    </w:p>
    <w:p w14:paraId="22A54CC9" w14:textId="77777777" w:rsidR="00433666" w:rsidRDefault="00433666" w:rsidP="00433666">
      <w:pPr>
        <w:spacing w:line="360" w:lineRule="auto"/>
        <w:jc w:val="both"/>
        <w:rPr>
          <w:rFonts w:ascii="Arial" w:hAnsi="Arial" w:cs="Arial"/>
          <w:b/>
          <w:bCs/>
          <w:color w:val="000000" w:themeColor="text1"/>
        </w:rPr>
      </w:pPr>
      <w:r>
        <w:rPr>
          <w:rFonts w:ascii="Arial" w:hAnsi="Arial" w:cs="Arial"/>
          <w:b/>
          <w:bCs/>
          <w:color w:val="000000" w:themeColor="text1"/>
        </w:rPr>
        <w:br w:type="page"/>
      </w:r>
    </w:p>
    <w:p w14:paraId="4A8198F9" w14:textId="60F89B16" w:rsidR="00433666" w:rsidRDefault="00452C79" w:rsidP="00433666">
      <w:pPr>
        <w:spacing w:line="360" w:lineRule="auto"/>
        <w:jc w:val="both"/>
        <w:rPr>
          <w:rFonts w:ascii="Arial" w:hAnsi="Arial" w:cs="Arial"/>
          <w:b/>
          <w:bCs/>
          <w:color w:val="000000" w:themeColor="text1"/>
        </w:rPr>
      </w:pPr>
      <w:r>
        <w:rPr>
          <w:rFonts w:ascii="Arial" w:hAnsi="Arial" w:cs="Arial"/>
          <w:b/>
          <w:bCs/>
          <w:noProof/>
          <w:color w:val="000000" w:themeColor="text1"/>
        </w:rPr>
        <w:lastRenderedPageBreak/>
        <w:drawing>
          <wp:inline distT="0" distB="0" distL="0" distR="0" wp14:anchorId="3C627E33" wp14:editId="4C82A1C0">
            <wp:extent cx="6393050" cy="5789262"/>
            <wp:effectExtent l="0" t="0" r="0" b="254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6403936" cy="5799120"/>
                    </a:xfrm>
                    <a:prstGeom prst="rect">
                      <a:avLst/>
                    </a:prstGeom>
                  </pic:spPr>
                </pic:pic>
              </a:graphicData>
            </a:graphic>
          </wp:inline>
        </w:drawing>
      </w:r>
    </w:p>
    <w:p w14:paraId="1828545B" w14:textId="77777777" w:rsidR="00452C79" w:rsidRDefault="00452C79" w:rsidP="00433666">
      <w:pPr>
        <w:spacing w:line="360" w:lineRule="auto"/>
        <w:jc w:val="both"/>
        <w:rPr>
          <w:rFonts w:ascii="Arial" w:hAnsi="Arial" w:cs="Arial"/>
          <w:b/>
          <w:bCs/>
          <w:color w:val="000000" w:themeColor="text1"/>
        </w:rPr>
      </w:pPr>
    </w:p>
    <w:p w14:paraId="305689A5" w14:textId="6A033580" w:rsidR="00433666" w:rsidRPr="004B5C4D" w:rsidRDefault="00433666" w:rsidP="00433666">
      <w:pPr>
        <w:spacing w:line="360" w:lineRule="auto"/>
        <w:jc w:val="both"/>
        <w:rPr>
          <w:rFonts w:ascii="Arial" w:hAnsi="Arial" w:cs="Arial"/>
          <w:color w:val="000000" w:themeColor="text1"/>
        </w:rPr>
      </w:pPr>
      <w:r w:rsidRPr="004B5C4D">
        <w:rPr>
          <w:rFonts w:ascii="Arial" w:hAnsi="Arial" w:cs="Arial"/>
          <w:b/>
          <w:bCs/>
          <w:color w:val="000000" w:themeColor="text1"/>
        </w:rPr>
        <w:t>Figure S2</w:t>
      </w:r>
      <w:r w:rsidRPr="004B5C4D">
        <w:rPr>
          <w:rFonts w:ascii="Arial" w:hAnsi="Arial" w:cs="Arial"/>
          <w:color w:val="000000" w:themeColor="text1"/>
        </w:rPr>
        <w:t xml:space="preserve">. </w:t>
      </w:r>
      <w:r w:rsidRPr="004B5C4D">
        <w:rPr>
          <w:rFonts w:ascii="Arial" w:hAnsi="Arial" w:cs="Arial"/>
          <w:b/>
          <w:bCs/>
          <w:color w:val="000000" w:themeColor="text1"/>
        </w:rPr>
        <w:t xml:space="preserve">Immunohistochemical analysis of helper T cells with the CD4 antibody in young and aged </w:t>
      </w:r>
      <w:proofErr w:type="spellStart"/>
      <w:r w:rsidRPr="004B5C4D">
        <w:rPr>
          <w:rFonts w:ascii="Arial" w:hAnsi="Arial" w:cs="Arial"/>
          <w:b/>
          <w:bCs/>
          <w:color w:val="000000" w:themeColor="text1"/>
        </w:rPr>
        <w:t>wt</w:t>
      </w:r>
      <w:proofErr w:type="spellEnd"/>
      <w:r w:rsidRPr="004B5C4D">
        <w:rPr>
          <w:rFonts w:ascii="Arial" w:hAnsi="Arial" w:cs="Arial"/>
          <w:b/>
          <w:bCs/>
          <w:color w:val="000000" w:themeColor="text1"/>
        </w:rPr>
        <w:t xml:space="preserve"> mice at 1- and 3-month post-injection with ɑ-syn </w:t>
      </w:r>
      <w:proofErr w:type="spellStart"/>
      <w:r w:rsidRPr="004B5C4D">
        <w:rPr>
          <w:rFonts w:ascii="Arial" w:hAnsi="Arial" w:cs="Arial"/>
          <w:b/>
          <w:bCs/>
          <w:color w:val="000000" w:themeColor="text1"/>
        </w:rPr>
        <w:t>pff</w:t>
      </w:r>
      <w:proofErr w:type="spellEnd"/>
      <w:r w:rsidRPr="004B5C4D">
        <w:rPr>
          <w:rFonts w:ascii="Arial" w:hAnsi="Arial" w:cs="Arial"/>
          <w:color w:val="000000" w:themeColor="text1"/>
        </w:rPr>
        <w:t>. (</w:t>
      </w:r>
      <w:r w:rsidRPr="004B5C4D">
        <w:rPr>
          <w:rFonts w:ascii="Arial" w:hAnsi="Arial" w:cs="Arial"/>
          <w:b/>
          <w:bCs/>
          <w:color w:val="000000" w:themeColor="text1"/>
        </w:rPr>
        <w:t>A</w:t>
      </w:r>
      <w:r w:rsidRPr="004B5C4D">
        <w:rPr>
          <w:rFonts w:ascii="Arial" w:hAnsi="Arial" w:cs="Arial"/>
          <w:color w:val="000000" w:themeColor="text1"/>
        </w:rPr>
        <w:t xml:space="preserve">) Representative images for CD4 immunostaining of young mouse cohort at 1-month post injection. Images are from three different mice (1, 2 and 3) of three brain regions (cortex, amygdala, and striatum). Left panels are PBS (vehicle) injected and right are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injected. (</w:t>
      </w:r>
      <w:r w:rsidRPr="004B5C4D">
        <w:rPr>
          <w:rFonts w:ascii="Arial" w:hAnsi="Arial" w:cs="Arial"/>
          <w:b/>
          <w:bCs/>
          <w:color w:val="000000" w:themeColor="text1"/>
        </w:rPr>
        <w:t>B</w:t>
      </w:r>
      <w:r w:rsidRPr="004B5C4D">
        <w:rPr>
          <w:rFonts w:ascii="Arial" w:hAnsi="Arial" w:cs="Arial"/>
          <w:color w:val="000000" w:themeColor="text1"/>
        </w:rPr>
        <w:t>) Image analysis of CD4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of young mouse cohort at 1-month post injection. (</w:t>
      </w:r>
      <w:r w:rsidRPr="004B5C4D">
        <w:rPr>
          <w:rFonts w:ascii="Arial" w:hAnsi="Arial" w:cs="Arial"/>
          <w:b/>
          <w:bCs/>
          <w:color w:val="000000" w:themeColor="text1"/>
        </w:rPr>
        <w:t>C</w:t>
      </w:r>
      <w:r w:rsidRPr="004B5C4D">
        <w:rPr>
          <w:rFonts w:ascii="Arial" w:hAnsi="Arial" w:cs="Arial"/>
          <w:color w:val="000000" w:themeColor="text1"/>
        </w:rPr>
        <w:t xml:space="preserve">) CD4 immunostaining of young mouse cohort at 3-month post injection. Same format as </w:t>
      </w:r>
      <w:r w:rsidRPr="004B5C4D">
        <w:rPr>
          <w:rFonts w:ascii="Arial" w:hAnsi="Arial" w:cs="Arial"/>
          <w:b/>
          <w:bCs/>
          <w:color w:val="000000" w:themeColor="text1"/>
        </w:rPr>
        <w:t>A</w:t>
      </w:r>
      <w:r w:rsidRPr="004B5C4D">
        <w:rPr>
          <w:rFonts w:ascii="Arial" w:hAnsi="Arial" w:cs="Arial"/>
          <w:color w:val="000000" w:themeColor="text1"/>
        </w:rPr>
        <w:t>. (</w:t>
      </w:r>
      <w:r w:rsidRPr="004B5C4D">
        <w:rPr>
          <w:rFonts w:ascii="Arial" w:hAnsi="Arial" w:cs="Arial"/>
          <w:b/>
          <w:bCs/>
          <w:color w:val="000000" w:themeColor="text1"/>
        </w:rPr>
        <w:t>D</w:t>
      </w:r>
      <w:r w:rsidRPr="004B5C4D">
        <w:rPr>
          <w:rFonts w:ascii="Arial" w:hAnsi="Arial" w:cs="Arial"/>
          <w:color w:val="000000" w:themeColor="text1"/>
        </w:rPr>
        <w:t>) Image analysis of CD4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of young mouse cohort at 3-month post injection. </w:t>
      </w:r>
      <w:r w:rsidRPr="004B5C4D">
        <w:rPr>
          <w:rFonts w:ascii="Arial" w:hAnsi="Arial" w:cs="Arial"/>
          <w:color w:val="000000" w:themeColor="text1"/>
        </w:rPr>
        <w:lastRenderedPageBreak/>
        <w:t>(</w:t>
      </w:r>
      <w:r w:rsidRPr="004B5C4D">
        <w:rPr>
          <w:rFonts w:ascii="Arial" w:hAnsi="Arial" w:cs="Arial"/>
          <w:b/>
          <w:bCs/>
          <w:color w:val="000000" w:themeColor="text1"/>
        </w:rPr>
        <w:t>E</w:t>
      </w:r>
      <w:r w:rsidRPr="004B5C4D">
        <w:rPr>
          <w:rFonts w:ascii="Arial" w:hAnsi="Arial" w:cs="Arial"/>
          <w:color w:val="000000" w:themeColor="text1"/>
        </w:rPr>
        <w:t xml:space="preserve">) CD4 immunostaining of aged mouse cohort at 1-month post injection. Same format as </w:t>
      </w:r>
      <w:r w:rsidRPr="004B5C4D">
        <w:rPr>
          <w:rFonts w:ascii="Arial" w:hAnsi="Arial" w:cs="Arial"/>
          <w:b/>
          <w:bCs/>
          <w:color w:val="000000" w:themeColor="text1"/>
        </w:rPr>
        <w:t xml:space="preserve">A. </w:t>
      </w:r>
      <w:r w:rsidRPr="004B5C4D">
        <w:rPr>
          <w:rFonts w:ascii="Arial" w:hAnsi="Arial" w:cs="Arial"/>
          <w:color w:val="000000" w:themeColor="text1"/>
        </w:rPr>
        <w:t>(</w:t>
      </w:r>
      <w:r w:rsidRPr="004B5C4D">
        <w:rPr>
          <w:rFonts w:ascii="Arial" w:hAnsi="Arial" w:cs="Arial"/>
          <w:b/>
          <w:bCs/>
          <w:color w:val="000000" w:themeColor="text1"/>
        </w:rPr>
        <w:t>F</w:t>
      </w:r>
      <w:r w:rsidRPr="004B5C4D">
        <w:rPr>
          <w:rFonts w:ascii="Arial" w:hAnsi="Arial" w:cs="Arial"/>
          <w:color w:val="000000" w:themeColor="text1"/>
        </w:rPr>
        <w:t>) Image analysis of CD4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of aged mouse cohort at 1-month post injection. (</w:t>
      </w:r>
      <w:r w:rsidRPr="004B5C4D">
        <w:rPr>
          <w:rFonts w:ascii="Arial" w:hAnsi="Arial" w:cs="Arial"/>
          <w:b/>
          <w:bCs/>
          <w:color w:val="000000" w:themeColor="text1"/>
        </w:rPr>
        <w:t>G</w:t>
      </w:r>
      <w:r w:rsidRPr="004B5C4D">
        <w:rPr>
          <w:rFonts w:ascii="Arial" w:hAnsi="Arial" w:cs="Arial"/>
          <w:color w:val="000000" w:themeColor="text1"/>
        </w:rPr>
        <w:t xml:space="preserve">) CD4 immunostaining of aged mouse cohort at 3-month post injection. Same format as </w:t>
      </w:r>
      <w:r w:rsidRPr="004B5C4D">
        <w:rPr>
          <w:rFonts w:ascii="Arial" w:hAnsi="Arial" w:cs="Arial"/>
          <w:b/>
          <w:bCs/>
          <w:color w:val="000000" w:themeColor="text1"/>
        </w:rPr>
        <w:t xml:space="preserve">A. </w:t>
      </w:r>
      <w:r w:rsidRPr="004B5C4D">
        <w:rPr>
          <w:rFonts w:ascii="Arial" w:hAnsi="Arial" w:cs="Arial"/>
          <w:color w:val="000000" w:themeColor="text1"/>
        </w:rPr>
        <w:t>(</w:t>
      </w:r>
      <w:r w:rsidRPr="004B5C4D">
        <w:rPr>
          <w:rFonts w:ascii="Arial" w:hAnsi="Arial" w:cs="Arial"/>
          <w:b/>
          <w:bCs/>
          <w:color w:val="000000" w:themeColor="text1"/>
        </w:rPr>
        <w:t>H</w:t>
      </w:r>
      <w:r w:rsidRPr="004B5C4D">
        <w:rPr>
          <w:rFonts w:ascii="Arial" w:hAnsi="Arial" w:cs="Arial"/>
          <w:color w:val="000000" w:themeColor="text1"/>
        </w:rPr>
        <w:t>)</w:t>
      </w:r>
      <w:r w:rsidRPr="004B5C4D">
        <w:rPr>
          <w:rFonts w:ascii="Arial" w:hAnsi="Arial" w:cs="Arial"/>
          <w:b/>
          <w:bCs/>
          <w:color w:val="000000" w:themeColor="text1"/>
        </w:rPr>
        <w:t xml:space="preserve"> </w:t>
      </w:r>
      <w:r w:rsidRPr="004B5C4D">
        <w:rPr>
          <w:rFonts w:ascii="Arial" w:hAnsi="Arial" w:cs="Arial"/>
          <w:color w:val="000000" w:themeColor="text1"/>
        </w:rPr>
        <w:t>Image analysis of CD4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of aged mouse cohort at 3-month post injection. (</w:t>
      </w:r>
      <w:r w:rsidRPr="004B5C4D">
        <w:rPr>
          <w:rFonts w:ascii="Arial" w:hAnsi="Arial" w:cs="Arial"/>
          <w:b/>
          <w:bCs/>
          <w:color w:val="000000" w:themeColor="text1"/>
        </w:rPr>
        <w:t>I-K</w:t>
      </w:r>
      <w:r w:rsidRPr="004B5C4D">
        <w:rPr>
          <w:rFonts w:ascii="Arial" w:hAnsi="Arial" w:cs="Arial"/>
          <w:color w:val="000000" w:themeColor="text1"/>
        </w:rPr>
        <w:t>) Comparison of image analysis of CD4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in cortex (</w:t>
      </w:r>
      <w:r w:rsidRPr="004B5C4D">
        <w:rPr>
          <w:rFonts w:ascii="Arial" w:hAnsi="Arial" w:cs="Arial"/>
          <w:b/>
          <w:bCs/>
          <w:color w:val="000000" w:themeColor="text1"/>
        </w:rPr>
        <w:t>I</w:t>
      </w:r>
      <w:r w:rsidRPr="004B5C4D">
        <w:rPr>
          <w:rFonts w:ascii="Arial" w:hAnsi="Arial" w:cs="Arial"/>
          <w:color w:val="000000" w:themeColor="text1"/>
        </w:rPr>
        <w:t>), amygdala (</w:t>
      </w:r>
      <w:r w:rsidRPr="004B5C4D">
        <w:rPr>
          <w:rFonts w:ascii="Arial" w:hAnsi="Arial" w:cs="Arial"/>
          <w:b/>
          <w:bCs/>
          <w:color w:val="000000" w:themeColor="text1"/>
        </w:rPr>
        <w:t>J</w:t>
      </w:r>
      <w:r w:rsidRPr="004B5C4D">
        <w:rPr>
          <w:rFonts w:ascii="Arial" w:hAnsi="Arial" w:cs="Arial"/>
          <w:color w:val="000000" w:themeColor="text1"/>
        </w:rPr>
        <w:t>) and amygdala (</w:t>
      </w:r>
      <w:r w:rsidRPr="004B5C4D">
        <w:rPr>
          <w:rFonts w:ascii="Arial" w:hAnsi="Arial" w:cs="Arial"/>
          <w:b/>
          <w:bCs/>
          <w:color w:val="000000" w:themeColor="text1"/>
        </w:rPr>
        <w:t>K</w:t>
      </w:r>
      <w:r w:rsidRPr="004B5C4D">
        <w:rPr>
          <w:rFonts w:ascii="Arial" w:hAnsi="Arial" w:cs="Arial"/>
          <w:color w:val="000000" w:themeColor="text1"/>
        </w:rPr>
        <w:t xml:space="preserve">) of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injected mice at 1- and 3-month post-injection in young (blue) and old (red) mouse cohorts. Scale bar is 40 </w:t>
      </w:r>
      <w:r w:rsidRPr="004B5C4D">
        <w:rPr>
          <w:rFonts w:ascii="Arial" w:hAnsi="Arial" w:cs="Arial"/>
          <w:color w:val="000000" w:themeColor="text1"/>
        </w:rPr>
        <w:sym w:font="Symbol" w:char="F06D"/>
      </w:r>
      <w:r w:rsidRPr="004B5C4D">
        <w:rPr>
          <w:rFonts w:ascii="Arial" w:hAnsi="Arial" w:cs="Arial"/>
          <w:color w:val="000000" w:themeColor="text1"/>
        </w:rPr>
        <w:t>m. *</w:t>
      </w:r>
      <w:r w:rsidRPr="004B5C4D">
        <w:rPr>
          <w:rFonts w:ascii="Arial" w:hAnsi="Arial" w:cs="Arial"/>
          <w:i/>
          <w:iCs/>
          <w:color w:val="000000" w:themeColor="text1"/>
        </w:rPr>
        <w:t>p</w:t>
      </w:r>
      <w:r w:rsidRPr="004B5C4D">
        <w:rPr>
          <w:rFonts w:ascii="Arial" w:hAnsi="Arial" w:cs="Arial"/>
          <w:color w:val="000000" w:themeColor="text1"/>
        </w:rPr>
        <w:t xml:space="preserve"> &lt; 0.05; **</w:t>
      </w:r>
      <w:r w:rsidRPr="004B5C4D">
        <w:rPr>
          <w:rFonts w:ascii="Arial" w:hAnsi="Arial" w:cs="Arial"/>
          <w:i/>
          <w:iCs/>
          <w:color w:val="000000" w:themeColor="text1"/>
        </w:rPr>
        <w:t>p</w:t>
      </w:r>
      <w:r w:rsidRPr="004B5C4D">
        <w:rPr>
          <w:rFonts w:ascii="Arial" w:hAnsi="Arial" w:cs="Arial"/>
          <w:color w:val="000000" w:themeColor="text1"/>
        </w:rPr>
        <w:t xml:space="preserve"> &lt; 0.01; ***</w:t>
      </w:r>
      <w:r w:rsidRPr="004B5C4D">
        <w:rPr>
          <w:rFonts w:ascii="Arial" w:hAnsi="Arial" w:cs="Arial"/>
          <w:i/>
          <w:iCs/>
          <w:color w:val="000000" w:themeColor="text1"/>
        </w:rPr>
        <w:t>p</w:t>
      </w:r>
      <w:r w:rsidRPr="004B5C4D">
        <w:rPr>
          <w:rFonts w:ascii="Arial" w:hAnsi="Arial" w:cs="Arial"/>
          <w:color w:val="000000" w:themeColor="text1"/>
        </w:rPr>
        <w:t xml:space="preserve"> &lt; 0.001; ****</w:t>
      </w:r>
      <w:r w:rsidRPr="004B5C4D">
        <w:rPr>
          <w:rFonts w:ascii="Arial" w:hAnsi="Arial" w:cs="Arial"/>
          <w:i/>
          <w:iCs/>
          <w:color w:val="000000" w:themeColor="text1"/>
        </w:rPr>
        <w:t>p</w:t>
      </w:r>
      <w:r w:rsidRPr="004B5C4D">
        <w:rPr>
          <w:rFonts w:ascii="Arial" w:hAnsi="Arial" w:cs="Arial"/>
          <w:color w:val="000000" w:themeColor="text1"/>
        </w:rPr>
        <w:t xml:space="preserve"> &lt; 0.0001.</w:t>
      </w:r>
    </w:p>
    <w:p w14:paraId="02EB526A" w14:textId="77777777" w:rsidR="00433666" w:rsidRPr="004B5C4D" w:rsidRDefault="00433666" w:rsidP="00433666">
      <w:pPr>
        <w:spacing w:line="360" w:lineRule="auto"/>
        <w:jc w:val="both"/>
        <w:rPr>
          <w:rFonts w:ascii="Arial" w:hAnsi="Arial" w:cs="Arial"/>
          <w:color w:val="000000" w:themeColor="text1"/>
        </w:rPr>
      </w:pPr>
    </w:p>
    <w:p w14:paraId="199751D7" w14:textId="77777777" w:rsidR="00433666" w:rsidRDefault="00433666" w:rsidP="00433666">
      <w:pPr>
        <w:spacing w:line="360" w:lineRule="auto"/>
        <w:jc w:val="both"/>
        <w:rPr>
          <w:rFonts w:ascii="Arial" w:hAnsi="Arial" w:cs="Arial"/>
          <w:b/>
          <w:bCs/>
          <w:color w:val="000000" w:themeColor="text1"/>
        </w:rPr>
      </w:pPr>
      <w:r>
        <w:rPr>
          <w:rFonts w:ascii="Arial" w:hAnsi="Arial" w:cs="Arial"/>
          <w:b/>
          <w:bCs/>
          <w:color w:val="000000" w:themeColor="text1"/>
        </w:rPr>
        <w:br w:type="page"/>
      </w:r>
    </w:p>
    <w:p w14:paraId="62654423" w14:textId="5B75DAF7" w:rsidR="00433666" w:rsidRDefault="00452C79" w:rsidP="00433666">
      <w:pPr>
        <w:spacing w:line="360" w:lineRule="auto"/>
        <w:jc w:val="both"/>
        <w:rPr>
          <w:rFonts w:ascii="Arial" w:hAnsi="Arial" w:cs="Arial"/>
          <w:b/>
          <w:bCs/>
          <w:color w:val="000000" w:themeColor="text1"/>
        </w:rPr>
      </w:pPr>
      <w:r>
        <w:rPr>
          <w:rFonts w:ascii="Arial" w:hAnsi="Arial" w:cs="Arial"/>
          <w:b/>
          <w:bCs/>
          <w:noProof/>
          <w:color w:val="000000" w:themeColor="text1"/>
        </w:rPr>
        <w:lastRenderedPageBreak/>
        <w:drawing>
          <wp:inline distT="0" distB="0" distL="0" distR="0" wp14:anchorId="535E29CB" wp14:editId="1016138E">
            <wp:extent cx="6400800" cy="5890651"/>
            <wp:effectExtent l="0" t="0" r="0" b="254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6414751" cy="5903490"/>
                    </a:xfrm>
                    <a:prstGeom prst="rect">
                      <a:avLst/>
                    </a:prstGeom>
                  </pic:spPr>
                </pic:pic>
              </a:graphicData>
            </a:graphic>
          </wp:inline>
        </w:drawing>
      </w:r>
    </w:p>
    <w:p w14:paraId="4E6EB758" w14:textId="77777777" w:rsidR="00452C79" w:rsidRDefault="00452C79" w:rsidP="00433666">
      <w:pPr>
        <w:spacing w:line="360" w:lineRule="auto"/>
        <w:jc w:val="both"/>
        <w:rPr>
          <w:rFonts w:ascii="Arial" w:hAnsi="Arial" w:cs="Arial"/>
          <w:b/>
          <w:bCs/>
          <w:color w:val="000000" w:themeColor="text1"/>
        </w:rPr>
      </w:pPr>
    </w:p>
    <w:p w14:paraId="18C56D53" w14:textId="41F0D02A" w:rsidR="00433666" w:rsidRPr="004B5C4D" w:rsidRDefault="00433666" w:rsidP="00433666">
      <w:pPr>
        <w:spacing w:line="360" w:lineRule="auto"/>
        <w:jc w:val="both"/>
        <w:rPr>
          <w:rFonts w:ascii="Arial" w:hAnsi="Arial" w:cs="Arial"/>
          <w:color w:val="000000" w:themeColor="text1"/>
        </w:rPr>
      </w:pPr>
      <w:r w:rsidRPr="004B5C4D">
        <w:rPr>
          <w:rFonts w:ascii="Arial" w:hAnsi="Arial" w:cs="Arial"/>
          <w:b/>
          <w:bCs/>
          <w:color w:val="000000" w:themeColor="text1"/>
        </w:rPr>
        <w:t>Figure S3</w:t>
      </w:r>
      <w:r w:rsidRPr="004B5C4D">
        <w:rPr>
          <w:rFonts w:ascii="Arial" w:hAnsi="Arial" w:cs="Arial"/>
          <w:color w:val="000000" w:themeColor="text1"/>
        </w:rPr>
        <w:t xml:space="preserve">. </w:t>
      </w:r>
      <w:r w:rsidRPr="004B5C4D">
        <w:rPr>
          <w:rFonts w:ascii="Arial" w:hAnsi="Arial" w:cs="Arial"/>
          <w:b/>
          <w:bCs/>
          <w:color w:val="000000" w:themeColor="text1"/>
        </w:rPr>
        <w:t xml:space="preserve">Immunohistochemical analysis of astroglial cells with the GFAP antibody in young and aged </w:t>
      </w:r>
      <w:proofErr w:type="spellStart"/>
      <w:r w:rsidRPr="004B5C4D">
        <w:rPr>
          <w:rFonts w:ascii="Arial" w:hAnsi="Arial" w:cs="Arial"/>
          <w:b/>
          <w:bCs/>
          <w:color w:val="000000" w:themeColor="text1"/>
        </w:rPr>
        <w:t>wt</w:t>
      </w:r>
      <w:proofErr w:type="spellEnd"/>
      <w:r w:rsidRPr="004B5C4D">
        <w:rPr>
          <w:rFonts w:ascii="Arial" w:hAnsi="Arial" w:cs="Arial"/>
          <w:b/>
          <w:bCs/>
          <w:color w:val="000000" w:themeColor="text1"/>
        </w:rPr>
        <w:t xml:space="preserve"> mice at 1- and 3-month post-injection with PBS or ɑ-syn </w:t>
      </w:r>
      <w:proofErr w:type="spellStart"/>
      <w:r w:rsidRPr="004B5C4D">
        <w:rPr>
          <w:rFonts w:ascii="Arial" w:hAnsi="Arial" w:cs="Arial"/>
          <w:b/>
          <w:bCs/>
          <w:color w:val="000000" w:themeColor="text1"/>
        </w:rPr>
        <w:t>pff</w:t>
      </w:r>
      <w:proofErr w:type="spellEnd"/>
      <w:r w:rsidRPr="004B5C4D">
        <w:rPr>
          <w:rFonts w:ascii="Arial" w:hAnsi="Arial" w:cs="Arial"/>
          <w:color w:val="000000" w:themeColor="text1"/>
        </w:rPr>
        <w:t>. (</w:t>
      </w:r>
      <w:r w:rsidRPr="004B5C4D">
        <w:rPr>
          <w:rFonts w:ascii="Arial" w:hAnsi="Arial" w:cs="Arial"/>
          <w:b/>
          <w:bCs/>
          <w:color w:val="000000" w:themeColor="text1"/>
        </w:rPr>
        <w:t>A</w:t>
      </w:r>
      <w:r w:rsidRPr="004B5C4D">
        <w:rPr>
          <w:rFonts w:ascii="Arial" w:hAnsi="Arial" w:cs="Arial"/>
          <w:color w:val="000000" w:themeColor="text1"/>
        </w:rPr>
        <w:t xml:space="preserve">) Representative images for GFAP immunostaining of young mouse cohort at 1-month post injection. Images are from three different mice (1, 2 and 3) of three brain regions (cortex, amygdala, and striatum). Left panels are PBS (vehicle) injected and right are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injected. (</w:t>
      </w:r>
      <w:r w:rsidRPr="004B5C4D">
        <w:rPr>
          <w:rFonts w:ascii="Arial" w:hAnsi="Arial" w:cs="Arial"/>
          <w:b/>
          <w:bCs/>
          <w:color w:val="000000" w:themeColor="text1"/>
        </w:rPr>
        <w:t>B</w:t>
      </w:r>
      <w:r w:rsidRPr="004B5C4D">
        <w:rPr>
          <w:rFonts w:ascii="Arial" w:hAnsi="Arial" w:cs="Arial"/>
          <w:color w:val="000000" w:themeColor="text1"/>
        </w:rPr>
        <w:t>) Image analysis of GFAP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of young mouse cohort at 1-month post injection. (</w:t>
      </w:r>
      <w:r w:rsidRPr="004B5C4D">
        <w:rPr>
          <w:rFonts w:ascii="Arial" w:hAnsi="Arial" w:cs="Arial"/>
          <w:b/>
          <w:bCs/>
          <w:color w:val="000000" w:themeColor="text1"/>
        </w:rPr>
        <w:t>C</w:t>
      </w:r>
      <w:r w:rsidRPr="004B5C4D">
        <w:rPr>
          <w:rFonts w:ascii="Arial" w:hAnsi="Arial" w:cs="Arial"/>
          <w:color w:val="000000" w:themeColor="text1"/>
        </w:rPr>
        <w:t xml:space="preserve">) GFAP immunostaining of young mouse cohort at 3-month post injection. Same </w:t>
      </w:r>
      <w:r w:rsidRPr="004B5C4D">
        <w:rPr>
          <w:rFonts w:ascii="Arial" w:hAnsi="Arial" w:cs="Arial"/>
          <w:color w:val="000000" w:themeColor="text1"/>
        </w:rPr>
        <w:lastRenderedPageBreak/>
        <w:t xml:space="preserve">format as </w:t>
      </w:r>
      <w:r w:rsidRPr="004B5C4D">
        <w:rPr>
          <w:rFonts w:ascii="Arial" w:hAnsi="Arial" w:cs="Arial"/>
          <w:b/>
          <w:bCs/>
          <w:color w:val="000000" w:themeColor="text1"/>
        </w:rPr>
        <w:t>A</w:t>
      </w:r>
      <w:r w:rsidRPr="004B5C4D">
        <w:rPr>
          <w:rFonts w:ascii="Arial" w:hAnsi="Arial" w:cs="Arial"/>
          <w:color w:val="000000" w:themeColor="text1"/>
        </w:rPr>
        <w:t>. (</w:t>
      </w:r>
      <w:r w:rsidRPr="004B5C4D">
        <w:rPr>
          <w:rFonts w:ascii="Arial" w:hAnsi="Arial" w:cs="Arial"/>
          <w:b/>
          <w:bCs/>
          <w:color w:val="000000" w:themeColor="text1"/>
        </w:rPr>
        <w:t>D</w:t>
      </w:r>
      <w:r w:rsidRPr="004B5C4D">
        <w:rPr>
          <w:rFonts w:ascii="Arial" w:hAnsi="Arial" w:cs="Arial"/>
          <w:color w:val="000000" w:themeColor="text1"/>
        </w:rPr>
        <w:t>) Image analysis of GFAP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of young mouse cohort at 3-month post injection. (</w:t>
      </w:r>
      <w:r w:rsidRPr="004B5C4D">
        <w:rPr>
          <w:rFonts w:ascii="Arial" w:hAnsi="Arial" w:cs="Arial"/>
          <w:b/>
          <w:bCs/>
          <w:color w:val="000000" w:themeColor="text1"/>
        </w:rPr>
        <w:t>E</w:t>
      </w:r>
      <w:r w:rsidRPr="004B5C4D">
        <w:rPr>
          <w:rFonts w:ascii="Arial" w:hAnsi="Arial" w:cs="Arial"/>
          <w:color w:val="000000" w:themeColor="text1"/>
        </w:rPr>
        <w:t xml:space="preserve">) GFAP staining images of aged mouse cohort at 1-month post injection. Same format as </w:t>
      </w:r>
      <w:r w:rsidRPr="004B5C4D">
        <w:rPr>
          <w:rFonts w:ascii="Arial" w:hAnsi="Arial" w:cs="Arial"/>
          <w:b/>
          <w:bCs/>
          <w:color w:val="000000" w:themeColor="text1"/>
        </w:rPr>
        <w:t xml:space="preserve">A. </w:t>
      </w:r>
      <w:r w:rsidRPr="004B5C4D">
        <w:rPr>
          <w:rFonts w:ascii="Arial" w:hAnsi="Arial" w:cs="Arial"/>
          <w:color w:val="000000" w:themeColor="text1"/>
        </w:rPr>
        <w:t>(</w:t>
      </w:r>
      <w:r w:rsidRPr="004B5C4D">
        <w:rPr>
          <w:rFonts w:ascii="Arial" w:hAnsi="Arial" w:cs="Arial"/>
          <w:b/>
          <w:bCs/>
          <w:color w:val="000000" w:themeColor="text1"/>
        </w:rPr>
        <w:t>F</w:t>
      </w:r>
      <w:r w:rsidRPr="004B5C4D">
        <w:rPr>
          <w:rFonts w:ascii="Arial" w:hAnsi="Arial" w:cs="Arial"/>
          <w:color w:val="000000" w:themeColor="text1"/>
        </w:rPr>
        <w:t>) Image analysis of GFAP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of aged mouse cohort at 1-month post injection. (</w:t>
      </w:r>
      <w:r w:rsidRPr="004B5C4D">
        <w:rPr>
          <w:rFonts w:ascii="Arial" w:hAnsi="Arial" w:cs="Arial"/>
          <w:b/>
          <w:bCs/>
          <w:color w:val="000000" w:themeColor="text1"/>
        </w:rPr>
        <w:t>G</w:t>
      </w:r>
      <w:r w:rsidRPr="004B5C4D">
        <w:rPr>
          <w:rFonts w:ascii="Arial" w:hAnsi="Arial" w:cs="Arial"/>
          <w:color w:val="000000" w:themeColor="text1"/>
        </w:rPr>
        <w:t xml:space="preserve">) GFAP immunostaining of aged mouse cohort at 3-month post injection. Same format as </w:t>
      </w:r>
      <w:r w:rsidRPr="004B5C4D">
        <w:rPr>
          <w:rFonts w:ascii="Arial" w:hAnsi="Arial" w:cs="Arial"/>
          <w:b/>
          <w:bCs/>
          <w:color w:val="000000" w:themeColor="text1"/>
        </w:rPr>
        <w:t xml:space="preserve">A. </w:t>
      </w:r>
      <w:r w:rsidRPr="004B5C4D">
        <w:rPr>
          <w:rFonts w:ascii="Arial" w:hAnsi="Arial" w:cs="Arial"/>
          <w:color w:val="000000" w:themeColor="text1"/>
        </w:rPr>
        <w:t>(</w:t>
      </w:r>
      <w:r w:rsidRPr="004B5C4D">
        <w:rPr>
          <w:rFonts w:ascii="Arial" w:hAnsi="Arial" w:cs="Arial"/>
          <w:b/>
          <w:bCs/>
          <w:color w:val="000000" w:themeColor="text1"/>
        </w:rPr>
        <w:t>H</w:t>
      </w:r>
      <w:r w:rsidRPr="004B5C4D">
        <w:rPr>
          <w:rFonts w:ascii="Arial" w:hAnsi="Arial" w:cs="Arial"/>
          <w:color w:val="000000" w:themeColor="text1"/>
        </w:rPr>
        <w:t>)</w:t>
      </w:r>
      <w:r w:rsidRPr="004B5C4D">
        <w:rPr>
          <w:rFonts w:ascii="Arial" w:hAnsi="Arial" w:cs="Arial"/>
          <w:b/>
          <w:bCs/>
          <w:color w:val="000000" w:themeColor="text1"/>
        </w:rPr>
        <w:t xml:space="preserve"> </w:t>
      </w:r>
      <w:r w:rsidRPr="004B5C4D">
        <w:rPr>
          <w:rFonts w:ascii="Arial" w:hAnsi="Arial" w:cs="Arial"/>
          <w:color w:val="000000" w:themeColor="text1"/>
        </w:rPr>
        <w:t>Image analysis of GFAP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of aged mouse cohort at 3-month post injection. (</w:t>
      </w:r>
      <w:r w:rsidRPr="004B5C4D">
        <w:rPr>
          <w:rFonts w:ascii="Arial" w:hAnsi="Arial" w:cs="Arial"/>
          <w:b/>
          <w:bCs/>
          <w:color w:val="000000" w:themeColor="text1"/>
        </w:rPr>
        <w:t>I-K</w:t>
      </w:r>
      <w:r w:rsidRPr="004B5C4D">
        <w:rPr>
          <w:rFonts w:ascii="Arial" w:hAnsi="Arial" w:cs="Arial"/>
          <w:color w:val="000000" w:themeColor="text1"/>
        </w:rPr>
        <w:t>) Comparison of image analysis of GFAP positive cell counts per 0.1mm</w:t>
      </w:r>
      <w:r w:rsidRPr="004B5C4D">
        <w:rPr>
          <w:rFonts w:ascii="Arial" w:hAnsi="Arial" w:cs="Arial"/>
          <w:color w:val="000000" w:themeColor="text1"/>
          <w:vertAlign w:val="superscript"/>
        </w:rPr>
        <w:t>2</w:t>
      </w:r>
      <w:r w:rsidRPr="004B5C4D">
        <w:rPr>
          <w:rFonts w:ascii="Arial" w:hAnsi="Arial" w:cs="Arial"/>
          <w:color w:val="000000" w:themeColor="text1"/>
        </w:rPr>
        <w:t xml:space="preserve"> in cortex (</w:t>
      </w:r>
      <w:r w:rsidRPr="004B5C4D">
        <w:rPr>
          <w:rFonts w:ascii="Arial" w:hAnsi="Arial" w:cs="Arial"/>
          <w:b/>
          <w:bCs/>
          <w:color w:val="000000" w:themeColor="text1"/>
        </w:rPr>
        <w:t>I</w:t>
      </w:r>
      <w:r w:rsidRPr="004B5C4D">
        <w:rPr>
          <w:rFonts w:ascii="Arial" w:hAnsi="Arial" w:cs="Arial"/>
          <w:color w:val="000000" w:themeColor="text1"/>
        </w:rPr>
        <w:t>), amygdala (</w:t>
      </w:r>
      <w:r w:rsidRPr="004B5C4D">
        <w:rPr>
          <w:rFonts w:ascii="Arial" w:hAnsi="Arial" w:cs="Arial"/>
          <w:b/>
          <w:bCs/>
          <w:color w:val="000000" w:themeColor="text1"/>
        </w:rPr>
        <w:t>J</w:t>
      </w:r>
      <w:r w:rsidRPr="004B5C4D">
        <w:rPr>
          <w:rFonts w:ascii="Arial" w:hAnsi="Arial" w:cs="Arial"/>
          <w:color w:val="000000" w:themeColor="text1"/>
        </w:rPr>
        <w:t>) and amygdala (</w:t>
      </w:r>
      <w:r w:rsidRPr="004B5C4D">
        <w:rPr>
          <w:rFonts w:ascii="Arial" w:hAnsi="Arial" w:cs="Arial"/>
          <w:b/>
          <w:bCs/>
          <w:color w:val="000000" w:themeColor="text1"/>
        </w:rPr>
        <w:t>K</w:t>
      </w:r>
      <w:r w:rsidRPr="004B5C4D">
        <w:rPr>
          <w:rFonts w:ascii="Arial" w:hAnsi="Arial" w:cs="Arial"/>
          <w:color w:val="000000" w:themeColor="text1"/>
        </w:rPr>
        <w:t xml:space="preserve">) of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injected mice at 1- and 3-month post-injection in young (blue) and aged (red) mouse cohorts. Scale bar is 20 </w:t>
      </w:r>
      <w:r w:rsidRPr="004B5C4D">
        <w:rPr>
          <w:rFonts w:ascii="Arial" w:hAnsi="Arial" w:cs="Arial"/>
          <w:color w:val="000000" w:themeColor="text1"/>
        </w:rPr>
        <w:sym w:font="Symbol" w:char="F06D"/>
      </w:r>
      <w:r w:rsidRPr="004B5C4D">
        <w:rPr>
          <w:rFonts w:ascii="Arial" w:hAnsi="Arial" w:cs="Arial"/>
          <w:color w:val="000000" w:themeColor="text1"/>
        </w:rPr>
        <w:t>m. **</w:t>
      </w:r>
      <w:r w:rsidRPr="004B5C4D">
        <w:rPr>
          <w:rFonts w:ascii="Arial" w:hAnsi="Arial" w:cs="Arial"/>
          <w:i/>
          <w:iCs/>
          <w:color w:val="000000" w:themeColor="text1"/>
        </w:rPr>
        <w:t>p</w:t>
      </w:r>
      <w:r w:rsidRPr="004B5C4D">
        <w:rPr>
          <w:rFonts w:ascii="Arial" w:hAnsi="Arial" w:cs="Arial"/>
          <w:color w:val="000000" w:themeColor="text1"/>
        </w:rPr>
        <w:t xml:space="preserve"> &lt; 0.01; ***</w:t>
      </w:r>
      <w:r w:rsidRPr="004B5C4D">
        <w:rPr>
          <w:rFonts w:ascii="Arial" w:hAnsi="Arial" w:cs="Arial"/>
          <w:i/>
          <w:iCs/>
          <w:color w:val="000000" w:themeColor="text1"/>
        </w:rPr>
        <w:t>p</w:t>
      </w:r>
      <w:r w:rsidRPr="004B5C4D">
        <w:rPr>
          <w:rFonts w:ascii="Arial" w:hAnsi="Arial" w:cs="Arial"/>
          <w:color w:val="000000" w:themeColor="text1"/>
        </w:rPr>
        <w:t xml:space="preserve"> &lt; 0.001; ****</w:t>
      </w:r>
      <w:r w:rsidRPr="004B5C4D">
        <w:rPr>
          <w:rFonts w:ascii="Arial" w:hAnsi="Arial" w:cs="Arial"/>
          <w:i/>
          <w:iCs/>
          <w:color w:val="000000" w:themeColor="text1"/>
        </w:rPr>
        <w:t>p</w:t>
      </w:r>
      <w:r w:rsidRPr="004B5C4D">
        <w:rPr>
          <w:rFonts w:ascii="Arial" w:hAnsi="Arial" w:cs="Arial"/>
          <w:color w:val="000000" w:themeColor="text1"/>
        </w:rPr>
        <w:t xml:space="preserve"> &lt; 0.0001.</w:t>
      </w:r>
    </w:p>
    <w:p w14:paraId="68FFC133" w14:textId="77777777" w:rsidR="00433666" w:rsidRPr="004B5C4D" w:rsidRDefault="00433666" w:rsidP="00433666">
      <w:pPr>
        <w:spacing w:line="360" w:lineRule="auto"/>
        <w:jc w:val="both"/>
        <w:rPr>
          <w:rFonts w:ascii="Arial" w:hAnsi="Arial" w:cs="Arial"/>
          <w:color w:val="000000" w:themeColor="text1"/>
        </w:rPr>
      </w:pPr>
    </w:p>
    <w:p w14:paraId="31B25A43" w14:textId="77777777" w:rsidR="00433666" w:rsidRDefault="00433666" w:rsidP="00433666">
      <w:pPr>
        <w:spacing w:line="360" w:lineRule="auto"/>
        <w:jc w:val="both"/>
        <w:rPr>
          <w:rFonts w:ascii="Arial" w:hAnsi="Arial" w:cs="Arial"/>
          <w:b/>
          <w:bCs/>
          <w:color w:val="000000" w:themeColor="text1"/>
        </w:rPr>
      </w:pPr>
      <w:r>
        <w:rPr>
          <w:rFonts w:ascii="Arial" w:hAnsi="Arial" w:cs="Arial"/>
          <w:b/>
          <w:bCs/>
          <w:color w:val="000000" w:themeColor="text1"/>
        </w:rPr>
        <w:br w:type="page"/>
      </w:r>
    </w:p>
    <w:p w14:paraId="2F77F73B" w14:textId="2D5B9B39" w:rsidR="00433666" w:rsidRDefault="00452C79" w:rsidP="00433666">
      <w:pPr>
        <w:spacing w:line="360" w:lineRule="auto"/>
        <w:jc w:val="both"/>
        <w:rPr>
          <w:rFonts w:ascii="Arial" w:hAnsi="Arial" w:cs="Arial"/>
          <w:b/>
          <w:bCs/>
          <w:color w:val="000000" w:themeColor="text1"/>
        </w:rPr>
      </w:pPr>
      <w:r>
        <w:rPr>
          <w:rFonts w:ascii="Arial" w:hAnsi="Arial" w:cs="Arial"/>
          <w:b/>
          <w:bCs/>
          <w:noProof/>
          <w:color w:val="000000" w:themeColor="text1"/>
        </w:rPr>
        <w:lastRenderedPageBreak/>
        <w:drawing>
          <wp:inline distT="0" distB="0" distL="0" distR="0" wp14:anchorId="2E5EB32C" wp14:editId="458B9D64">
            <wp:extent cx="6408283" cy="3479369"/>
            <wp:effectExtent l="0" t="0" r="5715" b="635"/>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31968" cy="3492229"/>
                    </a:xfrm>
                    <a:prstGeom prst="rect">
                      <a:avLst/>
                    </a:prstGeom>
                  </pic:spPr>
                </pic:pic>
              </a:graphicData>
            </a:graphic>
          </wp:inline>
        </w:drawing>
      </w:r>
    </w:p>
    <w:p w14:paraId="057E2762" w14:textId="77777777" w:rsidR="00452C79" w:rsidRDefault="00452C79" w:rsidP="00433666">
      <w:pPr>
        <w:spacing w:line="360" w:lineRule="auto"/>
        <w:jc w:val="both"/>
        <w:rPr>
          <w:rFonts w:ascii="Arial" w:hAnsi="Arial" w:cs="Arial"/>
          <w:b/>
          <w:bCs/>
          <w:color w:val="000000" w:themeColor="text1"/>
        </w:rPr>
      </w:pPr>
    </w:p>
    <w:p w14:paraId="36A3AD46" w14:textId="4C3E1A27" w:rsidR="00433666" w:rsidRPr="004B5C4D" w:rsidRDefault="00433666" w:rsidP="00433666">
      <w:pPr>
        <w:spacing w:line="360" w:lineRule="auto"/>
        <w:jc w:val="both"/>
        <w:rPr>
          <w:rFonts w:ascii="Arial" w:hAnsi="Arial" w:cs="Arial"/>
          <w:b/>
          <w:bCs/>
          <w:color w:val="000000" w:themeColor="text1"/>
        </w:rPr>
      </w:pPr>
      <w:r w:rsidRPr="004B5C4D">
        <w:rPr>
          <w:rFonts w:ascii="Arial" w:hAnsi="Arial" w:cs="Arial"/>
          <w:b/>
          <w:bCs/>
          <w:color w:val="000000" w:themeColor="text1"/>
        </w:rPr>
        <w:t>Figure S4</w:t>
      </w:r>
      <w:r w:rsidRPr="004B5C4D">
        <w:rPr>
          <w:rFonts w:ascii="Arial" w:hAnsi="Arial" w:cs="Arial"/>
          <w:color w:val="000000" w:themeColor="text1"/>
        </w:rPr>
        <w:t xml:space="preserve">. </w:t>
      </w:r>
      <w:r w:rsidRPr="004B5C4D">
        <w:rPr>
          <w:rFonts w:ascii="Arial" w:hAnsi="Arial" w:cs="Arial"/>
          <w:b/>
          <w:bCs/>
          <w:color w:val="000000" w:themeColor="text1"/>
        </w:rPr>
        <w:t xml:space="preserve">Principal component (PC) analysis and feature selection of top 1000 PC1 genes. </w:t>
      </w:r>
      <w:r w:rsidRPr="004B5C4D">
        <w:rPr>
          <w:rFonts w:ascii="Arial" w:hAnsi="Arial" w:cs="Arial"/>
          <w:color w:val="000000" w:themeColor="text1"/>
        </w:rPr>
        <w:t>(</w:t>
      </w:r>
      <w:r w:rsidRPr="004B5C4D">
        <w:rPr>
          <w:rFonts w:ascii="Arial" w:hAnsi="Arial" w:cs="Arial"/>
          <w:b/>
          <w:bCs/>
          <w:color w:val="000000" w:themeColor="text1"/>
        </w:rPr>
        <w:t>A</w:t>
      </w:r>
      <w:r w:rsidRPr="004B5C4D">
        <w:rPr>
          <w:rFonts w:ascii="Arial" w:hAnsi="Arial" w:cs="Arial"/>
          <w:color w:val="000000" w:themeColor="text1"/>
        </w:rPr>
        <w:t xml:space="preserve">) Principal component analysis of all the young (blue) and aged (red) microglia samples considered in the study. Data from a follow-up experiment on another set of aged mice (green) with similar 1-(smaller data point) and 3-months (larger data point) PBS (dot) and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(triangle) treatment has also been included. PC1 (25.78% contribution) separates the young from the aged mice indicating that it comprises of age-associated genes.</w:t>
      </w:r>
      <w:r w:rsidRPr="004B5C4D">
        <w:rPr>
          <w:rFonts w:ascii="Arial" w:hAnsi="Arial" w:cs="Arial"/>
          <w:b/>
          <w:bCs/>
          <w:color w:val="000000" w:themeColor="text1"/>
        </w:rPr>
        <w:t xml:space="preserve"> </w:t>
      </w:r>
      <w:r w:rsidRPr="004B5C4D">
        <w:rPr>
          <w:rFonts w:ascii="Arial" w:hAnsi="Arial" w:cs="Arial"/>
          <w:color w:val="000000" w:themeColor="text1"/>
        </w:rPr>
        <w:t>(</w:t>
      </w:r>
      <w:r w:rsidRPr="004B5C4D">
        <w:rPr>
          <w:rFonts w:ascii="Arial" w:hAnsi="Arial" w:cs="Arial"/>
          <w:b/>
          <w:bCs/>
          <w:color w:val="000000" w:themeColor="text1"/>
        </w:rPr>
        <w:t>B</w:t>
      </w:r>
      <w:r w:rsidRPr="004B5C4D">
        <w:rPr>
          <w:rFonts w:ascii="Arial" w:hAnsi="Arial" w:cs="Arial"/>
          <w:color w:val="000000" w:themeColor="text1"/>
        </w:rPr>
        <w:t>) Using lasso regression method for feature selection, top 1000 PC1 genes were picked of which 228 most variable genes have been mentioned. The 69 highlighted genes are the ones that also change with age (</w:t>
      </w:r>
      <w:r w:rsidRPr="004B5C4D">
        <w:rPr>
          <w:rFonts w:ascii="Arial" w:hAnsi="Arial" w:cs="Arial"/>
          <w:color w:val="000000" w:themeColor="text1"/>
          <w:u w:val="single"/>
        </w:rPr>
        <w:t>&gt;</w:t>
      </w:r>
      <w:r w:rsidRPr="004B5C4D">
        <w:rPr>
          <w:rFonts w:ascii="Arial" w:hAnsi="Arial" w:cs="Arial"/>
          <w:color w:val="000000" w:themeColor="text1"/>
        </w:rPr>
        <w:t xml:space="preserve">2-fold, </w:t>
      </w:r>
      <w:r w:rsidRPr="004B5C4D">
        <w:rPr>
          <w:rFonts w:ascii="Arial" w:hAnsi="Arial" w:cs="Arial"/>
          <w:color w:val="000000" w:themeColor="text1"/>
          <w:u w:val="single"/>
        </w:rPr>
        <w:t>p</w:t>
      </w:r>
      <w:r w:rsidRPr="004B5C4D">
        <w:rPr>
          <w:rFonts w:ascii="Arial" w:hAnsi="Arial" w:cs="Arial"/>
          <w:color w:val="000000" w:themeColor="text1"/>
        </w:rPr>
        <w:t>&lt;0.05). Significance of overlap of 69 genes was confirmed by hypergeometric test.</w:t>
      </w:r>
    </w:p>
    <w:p w14:paraId="403B37E9" w14:textId="77777777" w:rsidR="00433666" w:rsidRPr="004B5C4D" w:rsidRDefault="00433666" w:rsidP="00433666">
      <w:pPr>
        <w:spacing w:line="360" w:lineRule="auto"/>
        <w:jc w:val="both"/>
        <w:rPr>
          <w:rFonts w:ascii="Arial" w:hAnsi="Arial" w:cs="Arial"/>
          <w:b/>
          <w:bCs/>
          <w:strike/>
          <w:color w:val="000000" w:themeColor="text1"/>
        </w:rPr>
      </w:pPr>
    </w:p>
    <w:p w14:paraId="76F5EA22" w14:textId="77777777" w:rsidR="00433666" w:rsidRDefault="00433666" w:rsidP="00433666">
      <w:pPr>
        <w:spacing w:line="360" w:lineRule="auto"/>
        <w:jc w:val="both"/>
        <w:rPr>
          <w:rFonts w:ascii="Arial" w:hAnsi="Arial" w:cs="Arial"/>
          <w:b/>
          <w:bCs/>
          <w:color w:val="000000" w:themeColor="text1"/>
        </w:rPr>
      </w:pPr>
      <w:r>
        <w:rPr>
          <w:rFonts w:ascii="Arial" w:hAnsi="Arial" w:cs="Arial"/>
          <w:b/>
          <w:bCs/>
          <w:color w:val="000000" w:themeColor="text1"/>
        </w:rPr>
        <w:br w:type="page"/>
      </w:r>
    </w:p>
    <w:p w14:paraId="0F500B0D" w14:textId="77777777" w:rsidR="00452C79" w:rsidRDefault="00452C79" w:rsidP="00433666">
      <w:pPr>
        <w:spacing w:line="360" w:lineRule="auto"/>
        <w:jc w:val="both"/>
        <w:rPr>
          <w:rFonts w:ascii="Arial" w:hAnsi="Arial" w:cs="Arial"/>
          <w:b/>
          <w:bCs/>
          <w:color w:val="000000" w:themeColor="text1"/>
        </w:rPr>
      </w:pPr>
      <w:r>
        <w:rPr>
          <w:rFonts w:ascii="Arial" w:hAnsi="Arial" w:cs="Arial"/>
          <w:b/>
          <w:bCs/>
          <w:noProof/>
          <w:color w:val="000000" w:themeColor="text1"/>
        </w:rPr>
        <w:lastRenderedPageBreak/>
        <w:drawing>
          <wp:inline distT="0" distB="0" distL="0" distR="0" wp14:anchorId="57D598C3" wp14:editId="4305FD2D">
            <wp:extent cx="6400800" cy="3421282"/>
            <wp:effectExtent l="0" t="0" r="0" b="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27371" cy="3435484"/>
                    </a:xfrm>
                    <a:prstGeom prst="rect">
                      <a:avLst/>
                    </a:prstGeom>
                  </pic:spPr>
                </pic:pic>
              </a:graphicData>
            </a:graphic>
          </wp:inline>
        </w:drawing>
      </w:r>
    </w:p>
    <w:p w14:paraId="6D7898EA" w14:textId="77777777" w:rsidR="00452C79" w:rsidRDefault="00452C79" w:rsidP="00433666">
      <w:pPr>
        <w:spacing w:line="360" w:lineRule="auto"/>
        <w:jc w:val="both"/>
        <w:rPr>
          <w:rFonts w:ascii="Arial" w:hAnsi="Arial" w:cs="Arial"/>
          <w:b/>
          <w:bCs/>
          <w:color w:val="000000" w:themeColor="text1"/>
        </w:rPr>
      </w:pPr>
    </w:p>
    <w:p w14:paraId="3ADCCB8C" w14:textId="0CC49AF0" w:rsidR="00433666" w:rsidRPr="004B5C4D" w:rsidRDefault="00433666" w:rsidP="00433666">
      <w:pPr>
        <w:spacing w:line="360" w:lineRule="auto"/>
        <w:jc w:val="both"/>
        <w:rPr>
          <w:rFonts w:ascii="Arial" w:hAnsi="Arial" w:cs="Arial"/>
          <w:color w:val="000000" w:themeColor="text1"/>
        </w:rPr>
      </w:pPr>
      <w:r w:rsidRPr="004B5C4D">
        <w:rPr>
          <w:rFonts w:ascii="Arial" w:hAnsi="Arial" w:cs="Arial"/>
          <w:b/>
          <w:bCs/>
          <w:color w:val="000000" w:themeColor="text1"/>
        </w:rPr>
        <w:t>Figure S5</w:t>
      </w:r>
      <w:r w:rsidRPr="004B5C4D">
        <w:rPr>
          <w:rFonts w:ascii="Arial" w:hAnsi="Arial" w:cs="Arial"/>
          <w:color w:val="000000" w:themeColor="text1"/>
        </w:rPr>
        <w:t xml:space="preserve">. </w:t>
      </w:r>
      <w:r w:rsidRPr="004B5C4D">
        <w:rPr>
          <w:rFonts w:ascii="Arial" w:hAnsi="Arial" w:cs="Arial"/>
          <w:b/>
          <w:bCs/>
          <w:color w:val="000000" w:themeColor="text1"/>
        </w:rPr>
        <w:t xml:space="preserve">Pathway analysis with functions and diseases along with </w:t>
      </w:r>
      <w:proofErr w:type="spellStart"/>
      <w:r w:rsidRPr="004B5C4D">
        <w:rPr>
          <w:rFonts w:ascii="Arial" w:hAnsi="Arial" w:cs="Arial"/>
          <w:b/>
          <w:bCs/>
          <w:color w:val="000000" w:themeColor="text1"/>
        </w:rPr>
        <w:t>qRT</w:t>
      </w:r>
      <w:proofErr w:type="spellEnd"/>
      <w:r w:rsidRPr="004B5C4D">
        <w:rPr>
          <w:rFonts w:ascii="Arial" w:hAnsi="Arial" w:cs="Arial"/>
          <w:b/>
          <w:bCs/>
          <w:color w:val="000000" w:themeColor="text1"/>
        </w:rPr>
        <w:t xml:space="preserve">-PCR validation of age-associated genes. (A) </w:t>
      </w:r>
      <w:r w:rsidRPr="004B5C4D">
        <w:rPr>
          <w:rFonts w:ascii="Arial" w:hAnsi="Arial" w:cs="Arial"/>
          <w:color w:val="000000" w:themeColor="text1"/>
        </w:rPr>
        <w:t xml:space="preserve">Top </w:t>
      </w:r>
      <w:r>
        <w:rPr>
          <w:rFonts w:ascii="Arial" w:hAnsi="Arial" w:cs="Arial"/>
          <w:color w:val="000000" w:themeColor="text1"/>
        </w:rPr>
        <w:t>14</w:t>
      </w:r>
      <w:r w:rsidRPr="004B5C4D">
        <w:rPr>
          <w:rFonts w:ascii="Arial" w:hAnsi="Arial" w:cs="Arial"/>
          <w:color w:val="000000" w:themeColor="text1"/>
        </w:rPr>
        <w:t xml:space="preserve"> functions and diseases associated with genes dysregulated with age. </w:t>
      </w:r>
      <w:r w:rsidRPr="004B5C4D">
        <w:rPr>
          <w:rFonts w:ascii="Arial" w:hAnsi="Arial" w:cs="Arial"/>
          <w:b/>
          <w:bCs/>
          <w:color w:val="000000" w:themeColor="text1"/>
        </w:rPr>
        <w:t xml:space="preserve"> (B-C)</w:t>
      </w:r>
      <w:r w:rsidRPr="004B5C4D">
        <w:rPr>
          <w:rFonts w:ascii="Arial" w:hAnsi="Arial" w:cs="Arial"/>
          <w:color w:val="000000" w:themeColor="text1"/>
        </w:rPr>
        <w:t xml:space="preserve"> Few of genes up- or downregulated with age in old mice were validated by qPCR.</w:t>
      </w:r>
      <w:r w:rsidRPr="004B5C4D">
        <w:rPr>
          <w:rFonts w:ascii="Arial" w:hAnsi="Arial" w:cs="Arial"/>
          <w:b/>
          <w:bCs/>
          <w:color w:val="000000" w:themeColor="text1"/>
        </w:rPr>
        <w:t xml:space="preserve"> </w:t>
      </w:r>
      <w:r w:rsidRPr="004B5C4D">
        <w:rPr>
          <w:rFonts w:ascii="Arial" w:hAnsi="Arial" w:cs="Arial"/>
          <w:color w:val="000000" w:themeColor="text1"/>
        </w:rPr>
        <w:t xml:space="preserve">The genes were run in duplicate in all PBS injected mice with sufficient RNA. The genes were normalized against </w:t>
      </w:r>
      <w:proofErr w:type="spellStart"/>
      <w:r w:rsidRPr="004B5C4D">
        <w:rPr>
          <w:rFonts w:ascii="Arial" w:hAnsi="Arial" w:cs="Arial"/>
          <w:i/>
          <w:iCs/>
          <w:color w:val="000000" w:themeColor="text1"/>
        </w:rPr>
        <w:t>Gapdh</w:t>
      </w:r>
      <w:proofErr w:type="spellEnd"/>
      <w:r w:rsidRPr="004B5C4D">
        <w:rPr>
          <w:rFonts w:ascii="Arial" w:hAnsi="Arial" w:cs="Arial"/>
          <w:color w:val="000000" w:themeColor="text1"/>
        </w:rPr>
        <w:t xml:space="preserve">. The mean and the standard error are derived from combining all the 1- and 3-month PBS injected mice in each of the age groups. </w:t>
      </w:r>
      <w:r w:rsidRPr="004B5C4D">
        <w:rPr>
          <w:rFonts w:ascii="Arial" w:hAnsi="Arial" w:cs="Arial"/>
          <w:b/>
          <w:bCs/>
          <w:color w:val="000000" w:themeColor="text1"/>
        </w:rPr>
        <w:t>(B)</w:t>
      </w:r>
      <w:r w:rsidRPr="004B5C4D">
        <w:rPr>
          <w:rFonts w:ascii="Arial" w:hAnsi="Arial" w:cs="Arial"/>
          <w:color w:val="000000" w:themeColor="text1"/>
        </w:rPr>
        <w:t xml:space="preserve"> Bar graph on the top shows the qPCR results of the genes that are upregulated with age in RNA-Seq (</w:t>
      </w:r>
      <w:r w:rsidRPr="004B5C4D">
        <w:rPr>
          <w:rFonts w:ascii="Arial" w:hAnsi="Arial" w:cs="Arial"/>
          <w:i/>
          <w:iCs/>
          <w:color w:val="000000" w:themeColor="text1"/>
        </w:rPr>
        <w:t>Il1rn</w:t>
      </w:r>
      <w:r w:rsidRPr="004B5C4D">
        <w:rPr>
          <w:rFonts w:ascii="Arial" w:hAnsi="Arial" w:cs="Arial"/>
          <w:color w:val="000000" w:themeColor="text1"/>
        </w:rPr>
        <w:t xml:space="preserve">, </w:t>
      </w:r>
      <w:proofErr w:type="spellStart"/>
      <w:r w:rsidRPr="004B5C4D">
        <w:rPr>
          <w:rFonts w:ascii="Arial" w:hAnsi="Arial" w:cs="Arial"/>
          <w:i/>
          <w:iCs/>
          <w:color w:val="000000" w:themeColor="text1"/>
        </w:rPr>
        <w:t>Pianp</w:t>
      </w:r>
      <w:proofErr w:type="spellEnd"/>
      <w:r w:rsidRPr="004B5C4D">
        <w:rPr>
          <w:rFonts w:ascii="Arial" w:hAnsi="Arial" w:cs="Arial"/>
          <w:color w:val="000000" w:themeColor="text1"/>
        </w:rPr>
        <w:t xml:space="preserve">, </w:t>
      </w:r>
      <w:r w:rsidRPr="004B5C4D">
        <w:rPr>
          <w:rFonts w:ascii="Arial" w:hAnsi="Arial" w:cs="Arial"/>
          <w:i/>
          <w:iCs/>
          <w:color w:val="000000" w:themeColor="text1"/>
        </w:rPr>
        <w:t>Ifit3</w:t>
      </w:r>
      <w:r w:rsidRPr="004B5C4D">
        <w:rPr>
          <w:rFonts w:ascii="Arial" w:hAnsi="Arial" w:cs="Arial"/>
          <w:color w:val="000000" w:themeColor="text1"/>
        </w:rPr>
        <w:t xml:space="preserve">, </w:t>
      </w:r>
      <w:r w:rsidRPr="004B5C4D">
        <w:rPr>
          <w:rFonts w:ascii="Arial" w:hAnsi="Arial" w:cs="Arial"/>
          <w:i/>
          <w:iCs/>
          <w:color w:val="000000" w:themeColor="text1"/>
        </w:rPr>
        <w:t>Fxdy5</w:t>
      </w:r>
      <w:r w:rsidRPr="004B5C4D">
        <w:rPr>
          <w:rFonts w:ascii="Arial" w:hAnsi="Arial" w:cs="Arial"/>
          <w:color w:val="000000" w:themeColor="text1"/>
        </w:rPr>
        <w:t xml:space="preserve">, </w:t>
      </w:r>
      <w:r w:rsidRPr="004B5C4D">
        <w:rPr>
          <w:rFonts w:ascii="Arial" w:hAnsi="Arial" w:cs="Arial"/>
          <w:i/>
          <w:iCs/>
          <w:color w:val="000000" w:themeColor="text1"/>
        </w:rPr>
        <w:t>Cxcr4</w:t>
      </w:r>
      <w:r w:rsidRPr="004B5C4D">
        <w:rPr>
          <w:rFonts w:ascii="Arial" w:hAnsi="Arial" w:cs="Arial"/>
          <w:color w:val="000000" w:themeColor="text1"/>
        </w:rPr>
        <w:t xml:space="preserve">) need to change font in </w:t>
      </w:r>
      <w:proofErr w:type="spellStart"/>
      <w:r w:rsidRPr="004B5C4D">
        <w:rPr>
          <w:rFonts w:ascii="Arial" w:hAnsi="Arial" w:cs="Arial"/>
          <w:color w:val="000000" w:themeColor="text1"/>
        </w:rPr>
        <w:t>graphpad</w:t>
      </w:r>
      <w:proofErr w:type="spellEnd"/>
      <w:r w:rsidRPr="004B5C4D">
        <w:rPr>
          <w:rFonts w:ascii="Arial" w:hAnsi="Arial" w:cs="Arial"/>
          <w:color w:val="000000" w:themeColor="text1"/>
        </w:rPr>
        <w:t xml:space="preserve"> file. Gene names are in uppercase in the figures) (</w:t>
      </w:r>
      <w:r w:rsidRPr="004B5C4D">
        <w:rPr>
          <w:rFonts w:ascii="Arial" w:hAnsi="Arial" w:cs="Arial"/>
          <w:b/>
          <w:bCs/>
          <w:color w:val="000000" w:themeColor="text1"/>
        </w:rPr>
        <w:t>C</w:t>
      </w:r>
      <w:r w:rsidRPr="004B5C4D">
        <w:rPr>
          <w:rFonts w:ascii="Arial" w:hAnsi="Arial" w:cs="Arial"/>
          <w:color w:val="000000" w:themeColor="text1"/>
        </w:rPr>
        <w:t>)Bar graph on the bottom shows the qPCR results of the genes that are downregulated with age in RNA-Seq (</w:t>
      </w:r>
      <w:r w:rsidRPr="004B5C4D">
        <w:rPr>
          <w:rFonts w:ascii="Arial" w:hAnsi="Arial" w:cs="Arial"/>
          <w:i/>
          <w:iCs/>
          <w:color w:val="000000" w:themeColor="text1"/>
        </w:rPr>
        <w:t>Col9a3</w:t>
      </w:r>
      <w:r w:rsidRPr="004B5C4D">
        <w:rPr>
          <w:rFonts w:ascii="Arial" w:hAnsi="Arial" w:cs="Arial"/>
          <w:color w:val="000000" w:themeColor="text1"/>
        </w:rPr>
        <w:t xml:space="preserve">, </w:t>
      </w:r>
      <w:r w:rsidRPr="004B5C4D">
        <w:rPr>
          <w:rFonts w:ascii="Arial" w:hAnsi="Arial" w:cs="Arial"/>
          <w:i/>
          <w:iCs/>
          <w:color w:val="000000" w:themeColor="text1"/>
        </w:rPr>
        <w:t>Gpr165</w:t>
      </w:r>
      <w:r w:rsidRPr="004B5C4D">
        <w:rPr>
          <w:rFonts w:ascii="Arial" w:hAnsi="Arial" w:cs="Arial"/>
          <w:color w:val="000000" w:themeColor="text1"/>
        </w:rPr>
        <w:t xml:space="preserve">, </w:t>
      </w:r>
      <w:r w:rsidRPr="004B5C4D">
        <w:rPr>
          <w:rFonts w:ascii="Arial" w:hAnsi="Arial" w:cs="Arial"/>
          <w:i/>
          <w:iCs/>
          <w:color w:val="000000" w:themeColor="text1"/>
        </w:rPr>
        <w:t>Kcnj13</w:t>
      </w:r>
      <w:r w:rsidRPr="004B5C4D">
        <w:rPr>
          <w:rFonts w:ascii="Arial" w:hAnsi="Arial" w:cs="Arial"/>
          <w:color w:val="000000" w:themeColor="text1"/>
        </w:rPr>
        <w:t xml:space="preserve">, </w:t>
      </w:r>
      <w:r w:rsidRPr="004B5C4D">
        <w:rPr>
          <w:rFonts w:ascii="Arial" w:hAnsi="Arial" w:cs="Arial"/>
          <w:i/>
          <w:iCs/>
          <w:color w:val="000000" w:themeColor="text1"/>
        </w:rPr>
        <w:t>Igf2</w:t>
      </w:r>
      <w:r w:rsidRPr="004B5C4D">
        <w:rPr>
          <w:rFonts w:ascii="Arial" w:hAnsi="Arial" w:cs="Arial"/>
          <w:color w:val="000000" w:themeColor="text1"/>
        </w:rPr>
        <w:t xml:space="preserve"> and </w:t>
      </w:r>
      <w:r w:rsidRPr="004B5C4D">
        <w:rPr>
          <w:rFonts w:ascii="Arial" w:hAnsi="Arial" w:cs="Arial"/>
          <w:i/>
          <w:iCs/>
          <w:color w:val="000000" w:themeColor="text1"/>
        </w:rPr>
        <w:t>Ki</w:t>
      </w:r>
      <w:r w:rsidRPr="004B5C4D">
        <w:rPr>
          <w:rFonts w:ascii="Arial" w:hAnsi="Arial" w:cs="Arial"/>
          <w:color w:val="000000" w:themeColor="text1"/>
        </w:rPr>
        <w:t xml:space="preserve">) </w:t>
      </w:r>
    </w:p>
    <w:p w14:paraId="437994E6" w14:textId="77777777" w:rsidR="00433666" w:rsidRPr="004B5C4D" w:rsidRDefault="00433666" w:rsidP="00433666">
      <w:pPr>
        <w:spacing w:line="360" w:lineRule="auto"/>
        <w:jc w:val="both"/>
        <w:rPr>
          <w:rFonts w:ascii="Arial" w:hAnsi="Arial" w:cs="Arial"/>
          <w:color w:val="000000" w:themeColor="text1"/>
        </w:rPr>
      </w:pPr>
    </w:p>
    <w:p w14:paraId="36F266AE" w14:textId="77777777" w:rsidR="00433666" w:rsidRDefault="00433666" w:rsidP="00433666">
      <w:pPr>
        <w:spacing w:line="360" w:lineRule="auto"/>
        <w:jc w:val="both"/>
        <w:rPr>
          <w:rFonts w:ascii="Arial" w:hAnsi="Arial" w:cs="Arial"/>
          <w:b/>
          <w:bCs/>
          <w:color w:val="000000" w:themeColor="text1"/>
        </w:rPr>
      </w:pPr>
      <w:r>
        <w:rPr>
          <w:rFonts w:ascii="Arial" w:hAnsi="Arial" w:cs="Arial"/>
          <w:b/>
          <w:bCs/>
          <w:color w:val="000000" w:themeColor="text1"/>
        </w:rPr>
        <w:br w:type="page"/>
      </w:r>
    </w:p>
    <w:p w14:paraId="70159504" w14:textId="004661D2" w:rsidR="00433666" w:rsidRDefault="00452C79" w:rsidP="00433666">
      <w:pPr>
        <w:spacing w:line="360" w:lineRule="auto"/>
        <w:jc w:val="both"/>
        <w:rPr>
          <w:rFonts w:ascii="Arial" w:hAnsi="Arial" w:cs="Arial"/>
          <w:b/>
          <w:bCs/>
          <w:color w:val="000000" w:themeColor="text1"/>
        </w:rPr>
      </w:pPr>
      <w:r>
        <w:rPr>
          <w:rFonts w:ascii="Arial" w:hAnsi="Arial" w:cs="Arial"/>
          <w:b/>
          <w:bCs/>
          <w:noProof/>
          <w:color w:val="000000" w:themeColor="text1"/>
        </w:rPr>
        <w:lastRenderedPageBreak/>
        <w:drawing>
          <wp:inline distT="0" distB="0" distL="0" distR="0" wp14:anchorId="272370C9" wp14:editId="5BB8A036">
            <wp:extent cx="6408549" cy="4907744"/>
            <wp:effectExtent l="0" t="0" r="5080" b="0"/>
            <wp:docPr id="6" name="Picture 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23201" cy="4918965"/>
                    </a:xfrm>
                    <a:prstGeom prst="rect">
                      <a:avLst/>
                    </a:prstGeom>
                  </pic:spPr>
                </pic:pic>
              </a:graphicData>
            </a:graphic>
          </wp:inline>
        </w:drawing>
      </w:r>
    </w:p>
    <w:p w14:paraId="4F460061" w14:textId="77777777" w:rsidR="00452C79" w:rsidRDefault="00452C79" w:rsidP="00433666">
      <w:pPr>
        <w:spacing w:line="360" w:lineRule="auto"/>
        <w:jc w:val="both"/>
        <w:rPr>
          <w:rFonts w:ascii="Arial" w:hAnsi="Arial" w:cs="Arial"/>
          <w:b/>
          <w:bCs/>
          <w:color w:val="000000" w:themeColor="text1"/>
        </w:rPr>
      </w:pPr>
    </w:p>
    <w:p w14:paraId="2A5209A2" w14:textId="27ED2235" w:rsidR="00433666" w:rsidRPr="004B5C4D" w:rsidRDefault="00433666" w:rsidP="00433666">
      <w:pPr>
        <w:spacing w:line="360" w:lineRule="auto"/>
        <w:jc w:val="both"/>
        <w:rPr>
          <w:rFonts w:ascii="Arial" w:hAnsi="Arial" w:cs="Arial"/>
          <w:color w:val="000000" w:themeColor="text1"/>
        </w:rPr>
      </w:pPr>
      <w:r w:rsidRPr="004B5C4D">
        <w:rPr>
          <w:rFonts w:ascii="Arial" w:hAnsi="Arial" w:cs="Arial"/>
          <w:b/>
          <w:bCs/>
          <w:color w:val="000000" w:themeColor="text1"/>
        </w:rPr>
        <w:t>Figure S6</w:t>
      </w:r>
      <w:r w:rsidRPr="004B5C4D">
        <w:rPr>
          <w:rFonts w:ascii="Arial" w:hAnsi="Arial" w:cs="Arial"/>
          <w:color w:val="000000" w:themeColor="text1"/>
        </w:rPr>
        <w:t xml:space="preserve">. </w:t>
      </w:r>
      <w:r w:rsidRPr="004B5C4D">
        <w:rPr>
          <w:rFonts w:ascii="Arial" w:hAnsi="Arial" w:cs="Arial"/>
          <w:b/>
          <w:bCs/>
          <w:color w:val="000000" w:themeColor="text1"/>
        </w:rPr>
        <w:t xml:space="preserve">Pathway and molecular characterization of genes associated with ɑ-syn </w:t>
      </w:r>
      <w:proofErr w:type="spellStart"/>
      <w:r w:rsidRPr="004B5C4D">
        <w:rPr>
          <w:rFonts w:ascii="Arial" w:hAnsi="Arial" w:cs="Arial"/>
          <w:b/>
          <w:bCs/>
          <w:color w:val="000000" w:themeColor="text1"/>
        </w:rPr>
        <w:t>pff</w:t>
      </w:r>
      <w:proofErr w:type="spellEnd"/>
      <w:r w:rsidRPr="004B5C4D">
        <w:rPr>
          <w:rFonts w:ascii="Arial" w:hAnsi="Arial" w:cs="Arial"/>
          <w:b/>
          <w:bCs/>
          <w:color w:val="000000" w:themeColor="text1"/>
        </w:rPr>
        <w:t xml:space="preserve"> treatment along with qPCR validation. </w:t>
      </w:r>
      <w:r w:rsidRPr="004B5C4D">
        <w:rPr>
          <w:rFonts w:ascii="Arial" w:hAnsi="Arial" w:cs="Arial"/>
          <w:color w:val="000000" w:themeColor="text1"/>
        </w:rPr>
        <w:t>(</w:t>
      </w:r>
      <w:r w:rsidRPr="004B5C4D">
        <w:rPr>
          <w:rFonts w:ascii="Arial" w:hAnsi="Arial" w:cs="Arial"/>
          <w:b/>
          <w:bCs/>
          <w:color w:val="000000" w:themeColor="text1"/>
        </w:rPr>
        <w:t>A</w:t>
      </w:r>
      <w:r w:rsidRPr="004B5C4D">
        <w:rPr>
          <w:rFonts w:ascii="Arial" w:hAnsi="Arial" w:cs="Arial"/>
          <w:color w:val="000000" w:themeColor="text1"/>
        </w:rPr>
        <w:t xml:space="preserve">) DESeq2 identified a list of genes that were up- or downregulated by &gt;2-fold with 1- or 3-months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injection in young and aged mice (p&lt;0.05). Row Z-score calculated from </w:t>
      </w:r>
      <w:proofErr w:type="spellStart"/>
      <w:r w:rsidRPr="004B5C4D">
        <w:rPr>
          <w:rFonts w:ascii="Arial" w:hAnsi="Arial" w:cs="Arial"/>
          <w:color w:val="000000" w:themeColor="text1"/>
        </w:rPr>
        <w:t>TpM</w:t>
      </w:r>
      <w:proofErr w:type="spellEnd"/>
      <w:r w:rsidRPr="004B5C4D">
        <w:rPr>
          <w:rFonts w:ascii="Arial" w:hAnsi="Arial" w:cs="Arial"/>
          <w:color w:val="000000" w:themeColor="text1"/>
        </w:rPr>
        <w:t xml:space="preserve"> normalized counts have been used to construct the heatmaps of the DEGs across samples in both the PBS and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injection groups. The direction of deregulation is mentioned on the left of the heatmaps with the gene count in parenthesis. The pie-chart depicts the proportion of genes that were protein coding (yellow) vs non-protein coding (grey) in each group (percentage mentioned inside pie charts). The top 5 Gene ontology IDs (GO IDs) for each group were evaluated from </w:t>
      </w:r>
      <w:proofErr w:type="spellStart"/>
      <w:r w:rsidRPr="004B5C4D">
        <w:rPr>
          <w:rFonts w:ascii="Arial" w:hAnsi="Arial" w:cs="Arial"/>
          <w:color w:val="000000" w:themeColor="text1"/>
        </w:rPr>
        <w:t>ToppGene</w:t>
      </w:r>
      <w:proofErr w:type="spellEnd"/>
      <w:r w:rsidRPr="004B5C4D">
        <w:rPr>
          <w:rFonts w:ascii="Arial" w:hAnsi="Arial" w:cs="Arial"/>
          <w:color w:val="000000" w:themeColor="text1"/>
        </w:rPr>
        <w:t xml:space="preserve"> database and has been mentioned along with the name of the pathway and associated details (FDR p-value, number of DEGs in that pathway and total number of genes considered for the enrichment </w:t>
      </w:r>
      <w:r w:rsidRPr="004B5C4D">
        <w:rPr>
          <w:rFonts w:ascii="Arial" w:hAnsi="Arial" w:cs="Arial"/>
          <w:color w:val="000000" w:themeColor="text1"/>
        </w:rPr>
        <w:lastRenderedPageBreak/>
        <w:t xml:space="preserve">analyses). </w:t>
      </w:r>
      <w:r w:rsidRPr="00240BAE">
        <w:rPr>
          <w:rFonts w:ascii="Arial" w:hAnsi="Arial" w:cs="Arial"/>
          <w:color w:val="000000" w:themeColor="text1"/>
        </w:rPr>
        <w:t>(</w:t>
      </w:r>
      <w:r w:rsidRPr="004B5C4D">
        <w:rPr>
          <w:rFonts w:ascii="Arial" w:hAnsi="Arial" w:cs="Arial"/>
          <w:b/>
          <w:bCs/>
          <w:color w:val="000000" w:themeColor="text1"/>
        </w:rPr>
        <w:t>B</w:t>
      </w:r>
      <w:r w:rsidRPr="00240BAE">
        <w:rPr>
          <w:rFonts w:ascii="Arial" w:hAnsi="Arial" w:cs="Arial"/>
          <w:color w:val="000000" w:themeColor="text1"/>
        </w:rPr>
        <w:t>)</w:t>
      </w:r>
      <w:r w:rsidRPr="004B5C4D">
        <w:rPr>
          <w:rFonts w:ascii="Arial" w:hAnsi="Arial" w:cs="Arial"/>
          <w:color w:val="000000" w:themeColor="text1"/>
        </w:rPr>
        <w:t xml:space="preserve">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treatment associated</w:t>
      </w:r>
      <w:r w:rsidRPr="004B5C4D">
        <w:rPr>
          <w:rFonts w:ascii="Arial" w:hAnsi="Arial" w:cs="Arial"/>
          <w:b/>
          <w:bCs/>
          <w:color w:val="000000" w:themeColor="text1"/>
        </w:rPr>
        <w:t xml:space="preserve"> </w:t>
      </w:r>
      <w:r w:rsidRPr="004B5C4D">
        <w:rPr>
          <w:rFonts w:ascii="Arial" w:hAnsi="Arial" w:cs="Arial"/>
          <w:color w:val="000000" w:themeColor="text1"/>
        </w:rPr>
        <w:t>up- and downregulated genes (</w:t>
      </w:r>
      <w:r w:rsidRPr="004B5C4D">
        <w:rPr>
          <w:rFonts w:ascii="Arial" w:hAnsi="Arial" w:cs="Arial"/>
          <w:color w:val="000000" w:themeColor="text1"/>
          <w:u w:val="single"/>
        </w:rPr>
        <w:t>&gt;</w:t>
      </w:r>
      <w:r w:rsidRPr="004B5C4D">
        <w:rPr>
          <w:rFonts w:ascii="Arial" w:hAnsi="Arial" w:cs="Arial"/>
          <w:color w:val="000000" w:themeColor="text1"/>
        </w:rPr>
        <w:t>1.5-fold, p</w:t>
      </w:r>
      <w:r w:rsidRPr="004B5C4D">
        <w:rPr>
          <w:rFonts w:ascii="Arial" w:hAnsi="Arial" w:cs="Arial"/>
          <w:color w:val="000000" w:themeColor="text1"/>
          <w:u w:val="single"/>
        </w:rPr>
        <w:t>&lt;</w:t>
      </w:r>
      <w:r w:rsidRPr="004B5C4D">
        <w:rPr>
          <w:rFonts w:ascii="Arial" w:hAnsi="Arial" w:cs="Arial"/>
          <w:color w:val="000000" w:themeColor="text1"/>
        </w:rPr>
        <w:t>0.01) were processed through IPA to identify and compare the activation score of the top canonical pathways, upstream transcriptional regulators and functions and diseases across the different groups (young 1- and 3-months, aged 1- and 3-months). Top canonical pathways (left) are associated with neuronal system, neuroinflammation and leucocyte signaling (highlighted in yellow) which are uniformly repressed (blue) across the four groups. Most of the upstream transcriptional regulators of the DEGs behave uniformly across all the groups (center) and similar results are found for the functions and diseases (right).</w:t>
      </w:r>
      <w:r w:rsidRPr="004B5C4D">
        <w:rPr>
          <w:rFonts w:ascii="Arial" w:hAnsi="Arial" w:cs="Arial"/>
          <w:b/>
          <w:bCs/>
          <w:color w:val="000000" w:themeColor="text1"/>
        </w:rPr>
        <w:t xml:space="preserve"> </w:t>
      </w:r>
      <w:r w:rsidRPr="004B5C4D">
        <w:rPr>
          <w:rFonts w:ascii="Arial" w:hAnsi="Arial" w:cs="Arial"/>
          <w:color w:val="000000" w:themeColor="text1"/>
        </w:rPr>
        <w:t>(</w:t>
      </w:r>
      <w:r w:rsidRPr="004B5C4D">
        <w:rPr>
          <w:rFonts w:ascii="Arial" w:hAnsi="Arial" w:cs="Arial"/>
          <w:b/>
          <w:bCs/>
          <w:color w:val="000000" w:themeColor="text1"/>
        </w:rPr>
        <w:t>C</w:t>
      </w:r>
      <w:r w:rsidRPr="004B5C4D">
        <w:rPr>
          <w:rFonts w:ascii="Arial" w:hAnsi="Arial" w:cs="Arial"/>
          <w:color w:val="000000" w:themeColor="text1"/>
        </w:rPr>
        <w:t xml:space="preserve">) Selected genes that went up with both age and ɑ-syn </w:t>
      </w:r>
      <w:proofErr w:type="spellStart"/>
      <w:r w:rsidRPr="004B5C4D">
        <w:rPr>
          <w:rFonts w:ascii="Arial" w:hAnsi="Arial" w:cs="Arial"/>
          <w:color w:val="000000" w:themeColor="text1"/>
        </w:rPr>
        <w:t>pff</w:t>
      </w:r>
      <w:proofErr w:type="spellEnd"/>
      <w:r w:rsidRPr="004B5C4D">
        <w:rPr>
          <w:rFonts w:ascii="Arial" w:hAnsi="Arial" w:cs="Arial"/>
          <w:b/>
          <w:bCs/>
          <w:color w:val="000000" w:themeColor="text1"/>
        </w:rPr>
        <w:t xml:space="preserve"> </w:t>
      </w:r>
      <w:r w:rsidRPr="004B5C4D">
        <w:rPr>
          <w:rFonts w:ascii="Arial" w:hAnsi="Arial" w:cs="Arial"/>
          <w:color w:val="000000" w:themeColor="text1"/>
        </w:rPr>
        <w:t xml:space="preserve">treatment were validated by </w:t>
      </w:r>
      <w:proofErr w:type="spellStart"/>
      <w:r w:rsidRPr="004B5C4D">
        <w:rPr>
          <w:rFonts w:ascii="Arial" w:hAnsi="Arial" w:cs="Arial"/>
          <w:color w:val="000000" w:themeColor="text1"/>
        </w:rPr>
        <w:t>qRT</w:t>
      </w:r>
      <w:proofErr w:type="spellEnd"/>
      <w:r w:rsidRPr="004B5C4D">
        <w:rPr>
          <w:rFonts w:ascii="Arial" w:hAnsi="Arial" w:cs="Arial"/>
          <w:color w:val="000000" w:themeColor="text1"/>
        </w:rPr>
        <w:t>-PCR (</w:t>
      </w:r>
      <w:r w:rsidRPr="004B5C4D">
        <w:rPr>
          <w:rFonts w:ascii="Arial" w:hAnsi="Arial" w:cs="Arial"/>
          <w:i/>
          <w:iCs/>
          <w:color w:val="000000" w:themeColor="text1"/>
        </w:rPr>
        <w:t>C3</w:t>
      </w:r>
      <w:r w:rsidRPr="004B5C4D">
        <w:rPr>
          <w:rFonts w:ascii="Arial" w:hAnsi="Arial" w:cs="Arial"/>
          <w:color w:val="000000" w:themeColor="text1"/>
        </w:rPr>
        <w:t xml:space="preserve">, </w:t>
      </w:r>
      <w:r w:rsidRPr="004B5C4D">
        <w:rPr>
          <w:rFonts w:ascii="Arial" w:hAnsi="Arial" w:cs="Arial"/>
          <w:i/>
          <w:iCs/>
          <w:color w:val="000000" w:themeColor="text1"/>
        </w:rPr>
        <w:t>Cxcr4</w:t>
      </w:r>
      <w:r w:rsidRPr="004B5C4D">
        <w:rPr>
          <w:rFonts w:ascii="Arial" w:hAnsi="Arial" w:cs="Arial"/>
          <w:color w:val="000000" w:themeColor="text1"/>
        </w:rPr>
        <w:t xml:space="preserve">, </w:t>
      </w:r>
      <w:r w:rsidRPr="004B5C4D">
        <w:rPr>
          <w:rFonts w:ascii="Arial" w:hAnsi="Arial" w:cs="Arial"/>
          <w:i/>
          <w:iCs/>
          <w:color w:val="000000" w:themeColor="text1"/>
        </w:rPr>
        <w:t xml:space="preserve">Lcn2 </w:t>
      </w:r>
      <w:r w:rsidRPr="004B5C4D">
        <w:rPr>
          <w:rFonts w:ascii="Arial" w:hAnsi="Arial" w:cs="Arial"/>
          <w:color w:val="000000" w:themeColor="text1"/>
        </w:rPr>
        <w:t xml:space="preserve">and </w:t>
      </w:r>
      <w:r w:rsidRPr="004B5C4D">
        <w:rPr>
          <w:rFonts w:ascii="Arial" w:hAnsi="Arial" w:cs="Arial"/>
          <w:i/>
          <w:iCs/>
          <w:color w:val="000000" w:themeColor="text1"/>
        </w:rPr>
        <w:t>Mmp8</w:t>
      </w:r>
      <w:r w:rsidRPr="004B5C4D">
        <w:rPr>
          <w:rFonts w:ascii="Arial" w:hAnsi="Arial" w:cs="Arial"/>
          <w:color w:val="000000" w:themeColor="text1"/>
        </w:rPr>
        <w:t>) (p values from t-test mentioned above the bars).</w:t>
      </w:r>
      <w:r w:rsidRPr="004B5C4D">
        <w:rPr>
          <w:rFonts w:ascii="Arial" w:hAnsi="Arial" w:cs="Arial"/>
          <w:b/>
          <w:bCs/>
          <w:color w:val="000000" w:themeColor="text1"/>
        </w:rPr>
        <w:t xml:space="preserve"> </w:t>
      </w:r>
      <w:r w:rsidRPr="004B5C4D">
        <w:rPr>
          <w:rFonts w:ascii="Arial" w:hAnsi="Arial" w:cs="Arial"/>
          <w:color w:val="000000" w:themeColor="text1"/>
        </w:rPr>
        <w:t xml:space="preserve"> (</w:t>
      </w:r>
      <w:r w:rsidRPr="004B5C4D">
        <w:rPr>
          <w:rFonts w:ascii="Arial" w:hAnsi="Arial" w:cs="Arial"/>
          <w:b/>
          <w:bCs/>
          <w:color w:val="000000" w:themeColor="text1"/>
        </w:rPr>
        <w:t>D</w:t>
      </w:r>
      <w:r w:rsidRPr="00240BAE">
        <w:rPr>
          <w:rFonts w:ascii="Arial" w:hAnsi="Arial" w:cs="Arial"/>
          <w:color w:val="000000" w:themeColor="text1"/>
        </w:rPr>
        <w:t>)</w:t>
      </w:r>
      <w:r w:rsidRPr="004B5C4D">
        <w:rPr>
          <w:rFonts w:ascii="Arial" w:hAnsi="Arial" w:cs="Arial"/>
          <w:color w:val="000000" w:themeColor="text1"/>
        </w:rPr>
        <w:t xml:space="preserve"> In order to characterize the genes that got upregulated with both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treatment and aging in young as well as in aged mice, the genes were matched against inflammation-associated genes in mouse downloaded from </w:t>
      </w:r>
      <w:proofErr w:type="spellStart"/>
      <w:r w:rsidRPr="004B5C4D">
        <w:rPr>
          <w:rFonts w:ascii="Arial" w:hAnsi="Arial" w:cs="Arial"/>
          <w:color w:val="000000" w:themeColor="text1"/>
        </w:rPr>
        <w:t>MouseMine</w:t>
      </w:r>
      <w:proofErr w:type="spellEnd"/>
      <w:r w:rsidRPr="004B5C4D">
        <w:rPr>
          <w:rFonts w:ascii="Arial" w:hAnsi="Arial" w:cs="Arial"/>
          <w:color w:val="000000" w:themeColor="text1"/>
        </w:rPr>
        <w:t xml:space="preserve"> database. The bar graphs show the proportion of genes that are upregulated with ɑ-syn </w:t>
      </w:r>
      <w:proofErr w:type="spellStart"/>
      <w:r w:rsidRPr="004B5C4D">
        <w:rPr>
          <w:rFonts w:ascii="Arial" w:hAnsi="Arial" w:cs="Arial"/>
          <w:color w:val="000000" w:themeColor="text1"/>
        </w:rPr>
        <w:t>pff</w:t>
      </w:r>
      <w:proofErr w:type="spellEnd"/>
      <w:r w:rsidRPr="004B5C4D">
        <w:rPr>
          <w:rFonts w:ascii="Arial" w:hAnsi="Arial" w:cs="Arial"/>
          <w:color w:val="000000" w:themeColor="text1"/>
        </w:rPr>
        <w:t xml:space="preserve"> injection, are associated with inflammatory pathway and overlap with either age-associated upregulated genes (blue), age-associated downregulated genes (yellow) or no overlap with age-associated genes (green). The comparison was done for both 1- and 3-months treatment groups in both the age groups. </w:t>
      </w:r>
    </w:p>
    <w:p w14:paraId="284849AB" w14:textId="77777777" w:rsidR="00433666" w:rsidRPr="004B5C4D" w:rsidRDefault="00433666" w:rsidP="00433666">
      <w:pPr>
        <w:spacing w:line="360" w:lineRule="auto"/>
        <w:jc w:val="both"/>
        <w:rPr>
          <w:rFonts w:ascii="Arial" w:hAnsi="Arial" w:cs="Arial"/>
          <w:b/>
          <w:bCs/>
          <w:color w:val="000000" w:themeColor="text1"/>
        </w:rPr>
      </w:pPr>
    </w:p>
    <w:p w14:paraId="4E94A33E" w14:textId="77777777" w:rsidR="00433666" w:rsidRDefault="00433666" w:rsidP="00433666">
      <w:pPr>
        <w:spacing w:line="360" w:lineRule="auto"/>
        <w:jc w:val="both"/>
        <w:rPr>
          <w:rFonts w:ascii="Arial" w:hAnsi="Arial" w:cs="Arial"/>
          <w:b/>
          <w:bCs/>
          <w:color w:val="000000" w:themeColor="text1"/>
        </w:rPr>
      </w:pPr>
      <w:r>
        <w:rPr>
          <w:rFonts w:ascii="Arial" w:hAnsi="Arial" w:cs="Arial"/>
          <w:b/>
          <w:bCs/>
          <w:color w:val="000000" w:themeColor="text1"/>
        </w:rPr>
        <w:br w:type="page"/>
      </w:r>
    </w:p>
    <w:p w14:paraId="4891448F" w14:textId="6F6BB64A" w:rsidR="00433666" w:rsidRDefault="00452C79" w:rsidP="00452C79">
      <w:pPr>
        <w:spacing w:line="360" w:lineRule="auto"/>
        <w:jc w:val="center"/>
        <w:rPr>
          <w:rFonts w:ascii="Arial" w:hAnsi="Arial" w:cs="Arial"/>
          <w:b/>
          <w:bCs/>
          <w:color w:val="000000" w:themeColor="text1"/>
        </w:rPr>
      </w:pPr>
      <w:r>
        <w:rPr>
          <w:rFonts w:ascii="Arial" w:hAnsi="Arial" w:cs="Arial"/>
          <w:b/>
          <w:bCs/>
          <w:noProof/>
          <w:color w:val="000000" w:themeColor="text1"/>
        </w:rPr>
        <w:lastRenderedPageBreak/>
        <w:drawing>
          <wp:inline distT="0" distB="0" distL="0" distR="0" wp14:anchorId="123D31B7" wp14:editId="141D2FB1">
            <wp:extent cx="5943600" cy="72771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277100"/>
                    </a:xfrm>
                    <a:prstGeom prst="rect">
                      <a:avLst/>
                    </a:prstGeom>
                  </pic:spPr>
                </pic:pic>
              </a:graphicData>
            </a:graphic>
          </wp:inline>
        </w:drawing>
      </w:r>
    </w:p>
    <w:p w14:paraId="31410E31" w14:textId="77777777" w:rsidR="00452C79" w:rsidRDefault="00452C79" w:rsidP="00433666">
      <w:pPr>
        <w:spacing w:line="360" w:lineRule="auto"/>
        <w:jc w:val="both"/>
        <w:rPr>
          <w:rFonts w:ascii="Arial" w:hAnsi="Arial" w:cs="Arial"/>
          <w:b/>
          <w:bCs/>
          <w:color w:val="000000" w:themeColor="text1"/>
        </w:rPr>
      </w:pPr>
    </w:p>
    <w:p w14:paraId="783EF956" w14:textId="473B0977" w:rsidR="00433666" w:rsidRPr="004B5C4D" w:rsidRDefault="00433666" w:rsidP="00433666">
      <w:pPr>
        <w:spacing w:line="360" w:lineRule="auto"/>
        <w:jc w:val="both"/>
        <w:rPr>
          <w:rFonts w:ascii="Arial" w:hAnsi="Arial" w:cs="Arial"/>
          <w:color w:val="000000" w:themeColor="text1"/>
        </w:rPr>
      </w:pPr>
      <w:r w:rsidRPr="004B5C4D">
        <w:rPr>
          <w:rFonts w:ascii="Arial" w:hAnsi="Arial" w:cs="Arial"/>
          <w:b/>
          <w:bCs/>
          <w:color w:val="000000" w:themeColor="text1"/>
        </w:rPr>
        <w:t>Figure S7</w:t>
      </w:r>
      <w:r w:rsidRPr="004B5C4D">
        <w:rPr>
          <w:rFonts w:ascii="Arial" w:hAnsi="Arial" w:cs="Arial"/>
          <w:color w:val="000000" w:themeColor="text1"/>
        </w:rPr>
        <w:t xml:space="preserve">. </w:t>
      </w:r>
      <w:r w:rsidRPr="004B5C4D">
        <w:rPr>
          <w:rFonts w:ascii="Arial" w:hAnsi="Arial" w:cs="Arial"/>
          <w:b/>
          <w:bCs/>
          <w:color w:val="000000" w:themeColor="text1"/>
        </w:rPr>
        <w:t xml:space="preserve">Schematic depiction of the potential </w:t>
      </w:r>
      <w:r w:rsidR="00452C79" w:rsidRPr="004B5C4D">
        <w:rPr>
          <w:rFonts w:ascii="Arial" w:hAnsi="Arial" w:cs="Arial"/>
          <w:b/>
          <w:bCs/>
          <w:color w:val="000000" w:themeColor="text1"/>
        </w:rPr>
        <w:t>overlapping</w:t>
      </w:r>
      <w:r w:rsidRPr="004B5C4D">
        <w:rPr>
          <w:rFonts w:ascii="Arial" w:hAnsi="Arial" w:cs="Arial"/>
          <w:b/>
          <w:bCs/>
          <w:color w:val="000000" w:themeColor="text1"/>
        </w:rPr>
        <w:t xml:space="preserve"> </w:t>
      </w:r>
      <w:r>
        <w:rPr>
          <w:rFonts w:ascii="Arial" w:hAnsi="Arial" w:cs="Arial"/>
          <w:b/>
          <w:bCs/>
          <w:color w:val="000000" w:themeColor="text1"/>
        </w:rPr>
        <w:t xml:space="preserve">microglial </w:t>
      </w:r>
      <w:r w:rsidRPr="004B5C4D">
        <w:rPr>
          <w:rFonts w:ascii="Arial" w:hAnsi="Arial" w:cs="Arial"/>
          <w:b/>
          <w:bCs/>
          <w:color w:val="000000" w:themeColor="text1"/>
        </w:rPr>
        <w:t>networks and pathways that interac</w:t>
      </w:r>
      <w:r>
        <w:rPr>
          <w:rFonts w:ascii="Arial" w:hAnsi="Arial" w:cs="Arial"/>
          <w:b/>
          <w:bCs/>
          <w:color w:val="000000" w:themeColor="text1"/>
        </w:rPr>
        <w:t>t</w:t>
      </w:r>
      <w:r w:rsidRPr="004B5C4D">
        <w:rPr>
          <w:rFonts w:ascii="Arial" w:hAnsi="Arial" w:cs="Arial"/>
          <w:b/>
          <w:bCs/>
          <w:color w:val="000000" w:themeColor="text1"/>
        </w:rPr>
        <w:t xml:space="preserve"> in aging and synucleinopathies</w:t>
      </w:r>
      <w:r>
        <w:rPr>
          <w:rFonts w:ascii="Arial" w:hAnsi="Arial" w:cs="Arial"/>
          <w:color w:val="000000" w:themeColor="text1"/>
        </w:rPr>
        <w:t xml:space="preserve">. The effects of aging processes and </w:t>
      </w:r>
      <w:r>
        <w:rPr>
          <w:rFonts w:ascii="Arial" w:hAnsi="Arial" w:cs="Arial"/>
          <w:color w:val="000000" w:themeColor="text1"/>
        </w:rPr>
        <w:lastRenderedPageBreak/>
        <w:t xml:space="preserve">extracellular </w:t>
      </w:r>
      <w:r w:rsidRPr="004B5C4D">
        <w:rPr>
          <w:rFonts w:ascii="Arial" w:hAnsi="Arial" w:cs="Arial"/>
          <w:color w:val="000000" w:themeColor="text1"/>
        </w:rPr>
        <w:t>ɑ-syn</w:t>
      </w:r>
      <w:r>
        <w:rPr>
          <w:rFonts w:ascii="Arial" w:hAnsi="Arial" w:cs="Arial"/>
          <w:color w:val="000000" w:themeColor="text1"/>
        </w:rPr>
        <w:t xml:space="preserve"> convergence in the macrophages/microglia in the CNS probably by engaging both Toll</w:t>
      </w:r>
      <w:r w:rsidR="00452C79">
        <w:rPr>
          <w:rFonts w:ascii="Arial" w:hAnsi="Arial" w:cs="Arial"/>
          <w:color w:val="000000" w:themeColor="text1"/>
        </w:rPr>
        <w:t>-</w:t>
      </w:r>
      <w:r>
        <w:rPr>
          <w:rFonts w:ascii="Arial" w:hAnsi="Arial" w:cs="Arial"/>
          <w:color w:val="000000" w:themeColor="text1"/>
        </w:rPr>
        <w:t xml:space="preserve">like receptors (TLR’s) such as TLR2 and colony stimulating factor receptors (CSF-R) that in turn activate pro-inflammatory LPS-like pathways with increased production of cytokines including </w:t>
      </w:r>
      <w:proofErr w:type="spellStart"/>
      <w:r>
        <w:rPr>
          <w:rFonts w:ascii="Arial" w:hAnsi="Arial" w:cs="Arial"/>
          <w:color w:val="000000" w:themeColor="text1"/>
        </w:rPr>
        <w:t>TNF</w:t>
      </w:r>
      <w:r w:rsidRPr="004B5C4D">
        <w:rPr>
          <w:rFonts w:ascii="Arial" w:hAnsi="Arial" w:cs="Arial"/>
          <w:color w:val="000000" w:themeColor="text1"/>
        </w:rPr>
        <w:t>ɑ</w:t>
      </w:r>
      <w:proofErr w:type="spellEnd"/>
      <w:r>
        <w:rPr>
          <w:rFonts w:ascii="Arial" w:hAnsi="Arial" w:cs="Arial"/>
          <w:color w:val="000000" w:themeColor="text1"/>
        </w:rPr>
        <w:t>, IL6, IL1</w:t>
      </w:r>
      <w:r w:rsidRPr="004B5C4D">
        <w:rPr>
          <w:rFonts w:ascii="Arial" w:hAnsi="Arial" w:cs="Arial"/>
          <w:color w:val="000000" w:themeColor="text1"/>
        </w:rPr>
        <w:t>ɑ</w:t>
      </w:r>
      <w:r>
        <w:rPr>
          <w:rFonts w:ascii="Arial" w:hAnsi="Arial" w:cs="Arial"/>
          <w:color w:val="000000" w:themeColor="text1"/>
        </w:rPr>
        <w:t xml:space="preserve"> and activation of networks involving CSF2. This in turn results in a cascade of events involving further activation of microglia, astrocytes and trafficking of T cells </w:t>
      </w:r>
      <w:proofErr w:type="gramStart"/>
      <w:r>
        <w:rPr>
          <w:rFonts w:ascii="Arial" w:hAnsi="Arial" w:cs="Arial"/>
          <w:color w:val="000000" w:themeColor="text1"/>
        </w:rPr>
        <w:t>in to</w:t>
      </w:r>
      <w:proofErr w:type="gramEnd"/>
      <w:r>
        <w:rPr>
          <w:rFonts w:ascii="Arial" w:hAnsi="Arial" w:cs="Arial"/>
          <w:color w:val="000000" w:themeColor="text1"/>
        </w:rPr>
        <w:t xml:space="preserve"> the CNS parenchyma that jointly produce pro-inflammatory neurotoxic factors leading to neurodegeneration.</w:t>
      </w:r>
    </w:p>
    <w:p w14:paraId="223DD99D" w14:textId="77777777" w:rsidR="0019413B" w:rsidRDefault="0019413B"/>
    <w:sectPr w:rsidR="0019413B" w:rsidSect="00452C79">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6"/>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3666"/>
    <w:rsid w:val="000036EE"/>
    <w:rsid w:val="00027462"/>
    <w:rsid w:val="000276D4"/>
    <w:rsid w:val="00031851"/>
    <w:rsid w:val="00032FE8"/>
    <w:rsid w:val="00052B9D"/>
    <w:rsid w:val="000916BE"/>
    <w:rsid w:val="000A4289"/>
    <w:rsid w:val="000C3B34"/>
    <w:rsid w:val="000D2770"/>
    <w:rsid w:val="001218B0"/>
    <w:rsid w:val="00133E14"/>
    <w:rsid w:val="001504A6"/>
    <w:rsid w:val="00167022"/>
    <w:rsid w:val="00173412"/>
    <w:rsid w:val="001838FF"/>
    <w:rsid w:val="0019413B"/>
    <w:rsid w:val="0023053D"/>
    <w:rsid w:val="00240F50"/>
    <w:rsid w:val="00260511"/>
    <w:rsid w:val="002610C0"/>
    <w:rsid w:val="002C2A77"/>
    <w:rsid w:val="00306F27"/>
    <w:rsid w:val="00322172"/>
    <w:rsid w:val="00340BC1"/>
    <w:rsid w:val="00353FE4"/>
    <w:rsid w:val="00374F81"/>
    <w:rsid w:val="00375571"/>
    <w:rsid w:val="003940D1"/>
    <w:rsid w:val="003E0B3B"/>
    <w:rsid w:val="00400025"/>
    <w:rsid w:val="0041665C"/>
    <w:rsid w:val="00433666"/>
    <w:rsid w:val="00434C04"/>
    <w:rsid w:val="00452211"/>
    <w:rsid w:val="00452C79"/>
    <w:rsid w:val="00465FC4"/>
    <w:rsid w:val="004E1B02"/>
    <w:rsid w:val="005022CB"/>
    <w:rsid w:val="005023FD"/>
    <w:rsid w:val="00533002"/>
    <w:rsid w:val="00536BD7"/>
    <w:rsid w:val="00561426"/>
    <w:rsid w:val="00573EB7"/>
    <w:rsid w:val="005D7445"/>
    <w:rsid w:val="005E1D27"/>
    <w:rsid w:val="00634813"/>
    <w:rsid w:val="006505A7"/>
    <w:rsid w:val="00655355"/>
    <w:rsid w:val="006601D4"/>
    <w:rsid w:val="00667AAC"/>
    <w:rsid w:val="006A44E5"/>
    <w:rsid w:val="00710050"/>
    <w:rsid w:val="00724AE5"/>
    <w:rsid w:val="00737B20"/>
    <w:rsid w:val="00744198"/>
    <w:rsid w:val="00753314"/>
    <w:rsid w:val="007D02F4"/>
    <w:rsid w:val="007D61EC"/>
    <w:rsid w:val="007D7DA9"/>
    <w:rsid w:val="007E3685"/>
    <w:rsid w:val="007E53C5"/>
    <w:rsid w:val="00812ACC"/>
    <w:rsid w:val="0081371D"/>
    <w:rsid w:val="008353A3"/>
    <w:rsid w:val="00846754"/>
    <w:rsid w:val="0085316E"/>
    <w:rsid w:val="00856228"/>
    <w:rsid w:val="00864CEE"/>
    <w:rsid w:val="00872BE4"/>
    <w:rsid w:val="00874695"/>
    <w:rsid w:val="00874FD8"/>
    <w:rsid w:val="00883B61"/>
    <w:rsid w:val="00885F7D"/>
    <w:rsid w:val="008B67AC"/>
    <w:rsid w:val="008D6CC0"/>
    <w:rsid w:val="008F2FC6"/>
    <w:rsid w:val="008F3EC6"/>
    <w:rsid w:val="00932A4F"/>
    <w:rsid w:val="00944400"/>
    <w:rsid w:val="009460C1"/>
    <w:rsid w:val="009847DF"/>
    <w:rsid w:val="009A5B8E"/>
    <w:rsid w:val="009A61A1"/>
    <w:rsid w:val="009D26C4"/>
    <w:rsid w:val="00A25AF4"/>
    <w:rsid w:val="00A50FD9"/>
    <w:rsid w:val="00A513DA"/>
    <w:rsid w:val="00A544E3"/>
    <w:rsid w:val="00A96A6F"/>
    <w:rsid w:val="00AA535C"/>
    <w:rsid w:val="00AA53A1"/>
    <w:rsid w:val="00AB3800"/>
    <w:rsid w:val="00AC0192"/>
    <w:rsid w:val="00B214BF"/>
    <w:rsid w:val="00B233D7"/>
    <w:rsid w:val="00B9566B"/>
    <w:rsid w:val="00C1331F"/>
    <w:rsid w:val="00C224F6"/>
    <w:rsid w:val="00C54EBF"/>
    <w:rsid w:val="00C640BC"/>
    <w:rsid w:val="00C8302D"/>
    <w:rsid w:val="00C87E05"/>
    <w:rsid w:val="00D0239D"/>
    <w:rsid w:val="00D0353E"/>
    <w:rsid w:val="00D113AC"/>
    <w:rsid w:val="00D24445"/>
    <w:rsid w:val="00D27AAB"/>
    <w:rsid w:val="00D31882"/>
    <w:rsid w:val="00D53F50"/>
    <w:rsid w:val="00D730E0"/>
    <w:rsid w:val="00DC006E"/>
    <w:rsid w:val="00DD4AB0"/>
    <w:rsid w:val="00E06A5B"/>
    <w:rsid w:val="00E12FD7"/>
    <w:rsid w:val="00E53512"/>
    <w:rsid w:val="00E7447D"/>
    <w:rsid w:val="00E84072"/>
    <w:rsid w:val="00E8436C"/>
    <w:rsid w:val="00E9317D"/>
    <w:rsid w:val="00EA0547"/>
    <w:rsid w:val="00EA2ACE"/>
    <w:rsid w:val="00EB08A5"/>
    <w:rsid w:val="00EB09BA"/>
    <w:rsid w:val="00ED630C"/>
    <w:rsid w:val="00EE311D"/>
    <w:rsid w:val="00F138D0"/>
    <w:rsid w:val="00F42F1E"/>
    <w:rsid w:val="00F765DA"/>
    <w:rsid w:val="00F87C8E"/>
    <w:rsid w:val="00F92B71"/>
    <w:rsid w:val="00FA4C38"/>
    <w:rsid w:val="00FB36AA"/>
    <w:rsid w:val="00FC206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7E712E"/>
  <w15:chartTrackingRefBased/>
  <w15:docId w15:val="{24E142A2-797B-AD43-8938-BA80BF6A3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3666"/>
    <w:rPr>
      <w:rFonts w:ascii="Times New Roman" w:eastAsia="Times New Roman" w:hAnsi="Times New Roman"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12</Pages>
  <Words>1309</Words>
  <Characters>7463</Characters>
  <Application>Microsoft Office Word</Application>
  <DocSecurity>0</DocSecurity>
  <Lines>62</Lines>
  <Paragraphs>17</Paragraphs>
  <ScaleCrop>false</ScaleCrop>
  <Company/>
  <LinksUpToDate>false</LinksUpToDate>
  <CharactersWithSpaces>8755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Changyoun (NIH/NIA/IRP) [E]</dc:creator>
  <cp:keywords/>
  <dc:description/>
  <cp:lastModifiedBy>Kim, Changyoun (NIH/NIA/IRP) [E]</cp:lastModifiedBy>
  <cp:revision>3</cp:revision>
  <dcterms:created xsi:type="dcterms:W3CDTF">2021-01-05T15:30:00Z</dcterms:created>
  <dcterms:modified xsi:type="dcterms:W3CDTF">2021-02-05T21:23:00Z</dcterms:modified>
</cp:coreProperties>
</file>