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0AD4" w:rsidRDefault="003D0AD4">
      <w:pPr>
        <w:widowControl/>
        <w:jc w:val="center"/>
        <w:rPr>
          <w:rFonts w:ascii="Times New Roman" w:hAnsi="Times New Roman" w:cs="Times New Roman"/>
        </w:rPr>
      </w:pPr>
    </w:p>
    <w:tbl>
      <w:tblPr>
        <w:tblW w:w="4655" w:type="pct"/>
        <w:jc w:val="center"/>
        <w:tblLayout w:type="fixed"/>
        <w:tblLook w:val="04A0" w:firstRow="1" w:lastRow="0" w:firstColumn="1" w:lastColumn="0" w:noHBand="0" w:noVBand="1"/>
      </w:tblPr>
      <w:tblGrid>
        <w:gridCol w:w="2243"/>
        <w:gridCol w:w="4152"/>
        <w:gridCol w:w="3220"/>
        <w:gridCol w:w="2380"/>
        <w:gridCol w:w="130"/>
        <w:gridCol w:w="142"/>
      </w:tblGrid>
      <w:tr w:rsidR="003D0AD4">
        <w:trPr>
          <w:gridAfter w:val="1"/>
          <w:wAfter w:w="57" w:type="pct"/>
          <w:trHeight w:val="133"/>
          <w:jc w:val="center"/>
        </w:trPr>
        <w:tc>
          <w:tcPr>
            <w:tcW w:w="91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Category</w:t>
            </w:r>
          </w:p>
        </w:tc>
        <w:tc>
          <w:tcPr>
            <w:tcW w:w="169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233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Wheat yield 0.067 ha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-1</w:t>
            </w:r>
          </w:p>
        </w:tc>
      </w:tr>
      <w:tr w:rsidR="003D0AD4">
        <w:trPr>
          <w:gridAfter w:val="2"/>
          <w:wAfter w:w="110" w:type="pct"/>
          <w:trHeight w:val="133"/>
          <w:jc w:val="center"/>
        </w:trPr>
        <w:tc>
          <w:tcPr>
            <w:tcW w:w="914" w:type="pct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D0AD4" w:rsidRDefault="003D0AD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169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D0AD4" w:rsidRDefault="003D0AD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t-value</w:t>
            </w:r>
          </w:p>
        </w:tc>
      </w:tr>
      <w:tr w:rsidR="003D0AD4">
        <w:trPr>
          <w:gridAfter w:val="2"/>
          <w:wAfter w:w="110" w:type="pct"/>
          <w:trHeight w:val="133"/>
          <w:jc w:val="center"/>
        </w:trPr>
        <w:tc>
          <w:tcPr>
            <w:tcW w:w="914" w:type="pct"/>
            <w:vMerge w:val="restar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Input-output variables</w:t>
            </w: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Chemical fertilizer application (ln)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2.240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Seed input (ln)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1.490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Labor input (ln)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2.210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Mechanical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fuel input (ln)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1.750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 w:val="restar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Household demographic characteristics</w:t>
            </w: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Number of family members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(0.007)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 of labor force population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(0.011)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-0.960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 w:val="restar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Land Characteristics</w:t>
            </w: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Farm size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 xml:space="preserve"> (ln)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(0.008)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4.930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:lang w:bidi="ar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and transfer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(0.030)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-0.150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Land fragmentation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(0.003)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-2.680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Soil with or without barrier factor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(0.016)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Convenience of cultivation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(0.027)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7.280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Soil fertility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(0.014)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3.780</w:t>
            </w:r>
          </w:p>
        </w:tc>
      </w:tr>
      <w:tr w:rsidR="003D0AD4">
        <w:trPr>
          <w:gridAfter w:val="2"/>
          <w:wAfter w:w="110" w:type="pct"/>
          <w:trHeight w:val="257"/>
          <w:jc w:val="center"/>
        </w:trPr>
        <w:tc>
          <w:tcPr>
            <w:tcW w:w="914" w:type="pct"/>
            <w:vMerge w:val="restar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Household management Characteristics</w:t>
            </w: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 xml:space="preserve">Whether smallholder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purchased and owned machinery and equipment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(0.017)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0.180</w:t>
            </w:r>
          </w:p>
        </w:tc>
      </w:tr>
      <w:tr w:rsidR="003D0AD4">
        <w:trPr>
          <w:gridAfter w:val="2"/>
          <w:wAfter w:w="110" w:type="pct"/>
          <w:trHeight w:val="257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Whether smallholder ha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:lang w:bidi="ar"/>
              </w:rPr>
              <w:t>d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 xml:space="preserve"> agricultural insurance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(0.017)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-0.790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The distance between home and the plot (ln)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(0.008)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-0.340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 w:val="restar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Income characteristics</w:t>
            </w: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The level of household income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(0.012)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The structure of household income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-0.047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(0.031)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-1.520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 w:val="restar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Smallholders Characteristics</w:t>
            </w: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-0.021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(0.029)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-0.730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Age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(0.001)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3.470</w:t>
            </w:r>
          </w:p>
        </w:tc>
      </w:tr>
      <w:tr w:rsidR="003D0AD4">
        <w:trPr>
          <w:gridAfter w:val="2"/>
          <w:wAfter w:w="110" w:type="pct"/>
          <w:trHeight w:val="90"/>
          <w:jc w:val="center"/>
        </w:trPr>
        <w:tc>
          <w:tcPr>
            <w:tcW w:w="914" w:type="pct"/>
            <w:vMerge/>
            <w:shd w:val="clear" w:color="auto" w:fill="auto"/>
            <w:noWrap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Education level of household head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(0.003)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0.540</w:t>
            </w:r>
          </w:p>
        </w:tc>
      </w:tr>
      <w:tr w:rsidR="003D0AD4">
        <w:trPr>
          <w:gridAfter w:val="2"/>
          <w:wAfter w:w="110" w:type="pct"/>
          <w:trHeight w:val="129"/>
          <w:jc w:val="center"/>
        </w:trPr>
        <w:tc>
          <w:tcPr>
            <w:tcW w:w="26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_cons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4.968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(0.201)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24.670</w:t>
            </w:r>
          </w:p>
        </w:tc>
      </w:tr>
      <w:tr w:rsidR="003D0AD4">
        <w:trPr>
          <w:trHeight w:val="133"/>
          <w:jc w:val="center"/>
        </w:trPr>
        <w:tc>
          <w:tcPr>
            <w:tcW w:w="914" w:type="pct"/>
            <w:tcBorders>
              <w:bottom w:val="nil"/>
            </w:tcBorders>
            <w:shd w:val="clear" w:color="auto" w:fill="auto"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tcBorders>
              <w:bottom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F-test</w:t>
            </w:r>
          </w:p>
        </w:tc>
        <w:tc>
          <w:tcPr>
            <w:tcW w:w="239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8.900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</w:tr>
      <w:tr w:rsidR="003D0AD4">
        <w:trPr>
          <w:trHeight w:val="129"/>
          <w:jc w:val="center"/>
        </w:trPr>
        <w:tc>
          <w:tcPr>
            <w:tcW w:w="91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R-squared</w:t>
            </w:r>
          </w:p>
        </w:tc>
        <w:tc>
          <w:tcPr>
            <w:tcW w:w="239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0.140</w:t>
            </w:r>
          </w:p>
        </w:tc>
      </w:tr>
      <w:tr w:rsidR="003D0AD4">
        <w:trPr>
          <w:trHeight w:val="133"/>
          <w:jc w:val="center"/>
        </w:trPr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3D0A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Sample size</w:t>
            </w:r>
          </w:p>
        </w:tc>
        <w:tc>
          <w:tcPr>
            <w:tcW w:w="239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1112</w:t>
            </w:r>
          </w:p>
        </w:tc>
      </w:tr>
    </w:tbl>
    <w:p w:rsidR="003D0AD4" w:rsidRDefault="008660F9">
      <w:pPr>
        <w:widowControl/>
        <w:spacing w:beforeLines="50" w:before="156" w:line="240" w:lineRule="atLeast"/>
        <w:ind w:firstLineChars="400" w:firstLine="803"/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>
        <w:rPr>
          <w:rFonts w:ascii="Arial" w:eastAsia="宋体" w:hAnsi="Arial" w:cs="Arial"/>
          <w:b/>
          <w:bCs/>
          <w:kern w:val="0"/>
          <w:sz w:val="20"/>
          <w:szCs w:val="20"/>
          <w:lang w:bidi="ar"/>
        </w:rPr>
        <w:t>Table S1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>.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 xml:space="preserve"> Estimation results of C-D production function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>. (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 xml:space="preserve">Note: </w:t>
      </w:r>
      <w:r>
        <w:rPr>
          <w:rFonts w:ascii="Times New Roman" w:eastAsia="宋体" w:hAnsi="Times New Roman" w:cs="Times New Roman"/>
          <w:kern w:val="0"/>
          <w:sz w:val="20"/>
          <w:szCs w:val="20"/>
          <w:vertAlign w:val="superscript"/>
          <w:lang w:bidi="ar"/>
        </w:rPr>
        <w:t>*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20"/>
          <w:szCs w:val="20"/>
          <w:vertAlign w:val="superscript"/>
          <w:lang w:bidi="ar"/>
        </w:rPr>
        <w:t xml:space="preserve"> **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 xml:space="preserve">, </w:t>
      </w:r>
      <w:r>
        <w:rPr>
          <w:rFonts w:ascii="Times New Roman" w:eastAsia="宋体" w:hAnsi="Times New Roman" w:cs="Times New Roman"/>
          <w:kern w:val="0"/>
          <w:sz w:val="20"/>
          <w:szCs w:val="20"/>
          <w:vertAlign w:val="superscript"/>
          <w:lang w:bidi="ar"/>
        </w:rPr>
        <w:t>***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 xml:space="preserve"> denote significant at the 10%, 5%, and 1% levels, respectively. Standard errors are shown in brackets.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>)</w:t>
      </w:r>
    </w:p>
    <w:p w:rsidR="003D0AD4" w:rsidRDefault="003D0AD4">
      <w:pPr>
        <w:pStyle w:val="a3"/>
        <w:jc w:val="center"/>
        <w:rPr>
          <w:rFonts w:ascii="Times New Roman" w:eastAsia="宋体" w:hAnsi="Times New Roman"/>
          <w:b/>
          <w:bCs/>
          <w:sz w:val="18"/>
          <w:szCs w:val="18"/>
        </w:rPr>
        <w:sectPr w:rsidR="003D0AD4">
          <w:pgSz w:w="15840" w:h="12240" w:orient="landscape"/>
          <w:pgMar w:top="1800" w:right="1440" w:bottom="1800" w:left="1440" w:header="720" w:footer="720" w:gutter="0"/>
          <w:cols w:space="425"/>
          <w:docGrid w:type="lines" w:linePitch="312"/>
        </w:sectPr>
      </w:pPr>
    </w:p>
    <w:tbl>
      <w:tblPr>
        <w:tblW w:w="5031" w:type="pct"/>
        <w:jc w:val="center"/>
        <w:tblLayout w:type="fixed"/>
        <w:tblLook w:val="04A0" w:firstRow="1" w:lastRow="0" w:firstColumn="1" w:lastColumn="0" w:noHBand="0" w:noVBand="1"/>
      </w:tblPr>
      <w:tblGrid>
        <w:gridCol w:w="4212"/>
        <w:gridCol w:w="1639"/>
        <w:gridCol w:w="1427"/>
        <w:gridCol w:w="1517"/>
        <w:gridCol w:w="1456"/>
        <w:gridCol w:w="1517"/>
        <w:gridCol w:w="1490"/>
      </w:tblGrid>
      <w:tr w:rsidR="003D0AD4" w:rsidTr="008660F9">
        <w:trPr>
          <w:trHeight w:val="171"/>
          <w:jc w:val="center"/>
        </w:trPr>
        <w:tc>
          <w:tcPr>
            <w:tcW w:w="158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Variables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Degree of optimal chemical fertilizer application</w:t>
            </w:r>
          </w:p>
        </w:tc>
        <w:tc>
          <w:tcPr>
            <w:tcW w:w="11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optimal chemical fertilizer application</w:t>
            </w:r>
          </w:p>
        </w:tc>
        <w:tc>
          <w:tcPr>
            <w:tcW w:w="11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Average optimal chemical fertilizer application value 0.067 ha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-1</w:t>
            </w:r>
          </w:p>
        </w:tc>
      </w:tr>
      <w:tr w:rsidR="003D0AD4" w:rsidTr="008660F9">
        <w:trPr>
          <w:trHeight w:val="171"/>
          <w:jc w:val="center"/>
        </w:trPr>
        <w:tc>
          <w:tcPr>
            <w:tcW w:w="158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D0AD4" w:rsidRDefault="003D0AD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2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5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6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7</w:t>
            </w:r>
          </w:p>
        </w:tc>
      </w:tr>
      <w:tr w:rsidR="003D0AD4" w:rsidTr="008660F9">
        <w:trPr>
          <w:trHeight w:val="171"/>
          <w:jc w:val="center"/>
        </w:trPr>
        <w:tc>
          <w:tcPr>
            <w:tcW w:w="158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3D0AD4" w:rsidRDefault="003D0AD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Benchmark analysis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IV-2SLS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Benchmark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analysis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IV-2SLS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Benchmark analysis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IV-2SLS</w:t>
            </w:r>
          </w:p>
        </w:tc>
      </w:tr>
      <w:tr w:rsidR="003D0AD4" w:rsidTr="008660F9">
        <w:trPr>
          <w:trHeight w:val="171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mallholders’ livelihood differentiation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(0.070)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(0.082)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(0.049)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(0.132)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(0.025)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3.905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(1.69)</w:t>
            </w:r>
          </w:p>
        </w:tc>
      </w:tr>
      <w:tr w:rsidR="003D0AD4" w:rsidTr="008660F9">
        <w:trPr>
          <w:trHeight w:val="300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Number of labor force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(0.019)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-0.041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(0.019)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(0.021)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(0.023)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-0.009(0.006)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-0.791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(0.399)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Labor migration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-0.054(0.079)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-0.063(0.085)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-0.062(0.085)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-0.060(0.084)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-0.012(0.026)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-1.001(1.760)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Whether stubble shredding straw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(0.047)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(0.047)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(0.047)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(0.047)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0.021(0.014)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2.374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(0.966)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Frequency of straw return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(0.067)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(0.067)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(0.066)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(0.067)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0.021(0.020)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2.511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(1.376)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Farm size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(0.021)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(0.021)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(0.023)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0.006(0.006)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0.986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(0.422)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:lang w:bidi="ar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and transfer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-0.089(0.079)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-0.089(0.079)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-0.081(0.079)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-0.072(0.079)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0.017(0.024)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-1.866(1.625)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Land fragmentation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-0.011(0.009)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-0.011(0.009)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-0.009(0.009)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-0.008(0.009)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-0.003(0.003)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-0.248(0.188)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Soil with or without obstruction factors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0.013(0.044)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0.013(0.044)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0.009(0.044)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0.005(0.044)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-0.012(0.013)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-0.081(0.904)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Convenience of cultivation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(0.073)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(0.073)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(0.072)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(0.073)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-0.007(0.022)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4.722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(1.501)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Soil fertility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(0.037)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(0.037)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(0.037)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(0.037)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(0.011)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2.981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(0.768)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Whether the smallholder purchased and owned machinery and equipment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-0.019(0.046)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-0.019(0.046)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-0.018(0.045)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-0.017(0.046)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-0.003(0.014)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-0.245(0.942)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Whether smallholder ha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:lang w:bidi="ar"/>
              </w:rPr>
              <w:t>d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 xml:space="preserve"> agricultural insurance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-0.056(0.047)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-0.057(0.047)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-0.061(0.047)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-0.061(0.047)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0.014(0.014)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-1.346(0.964)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The distance between home and the plot (ln)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0.010(0.022)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0.010(0.022)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0.010(0.022)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0.010(0.022)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0.002(0.007)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0.276(0.457)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-0.131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(0.078)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-0.131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-0.118(0.078)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-0.109(0.078)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-0.029(0.023)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-3.125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(1.6)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>Age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(0.002)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(0.002)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(0.002)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(0.002)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0.001(0.001)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(0.046)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lang w:bidi="ar"/>
              </w:rPr>
              <w:t xml:space="preserve"> Education level of household head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0.009(0.007)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0.009(0.007)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0.008(0.007)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0.008(0.007)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-0.002(0.002)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0.216(0.145)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_cons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-2.297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(0.255)</w:t>
            </w: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-2.295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(0.253)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-2.433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(0.255)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-2.311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(0.252)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-0.083(0.076)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-50.927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(5.221)</w:t>
            </w:r>
          </w:p>
        </w:tc>
      </w:tr>
      <w:tr w:rsidR="003D0AD4" w:rsidTr="008660F9">
        <w:trPr>
          <w:trHeight w:val="172"/>
          <w:jc w:val="center"/>
        </w:trPr>
        <w:tc>
          <w:tcPr>
            <w:tcW w:w="158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Underidentification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test 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798.003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542.057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372.437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798.003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798.003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Weak identification test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2780.329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1040.471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550.929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2780.329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2780.329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F-test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</w:tr>
      <w:tr w:rsidR="003D0AD4" w:rsidTr="008660F9">
        <w:trPr>
          <w:trHeight w:val="166"/>
          <w:jc w:val="center"/>
        </w:trPr>
        <w:tc>
          <w:tcPr>
            <w:tcW w:w="158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R-squared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0.097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0.101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0.098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0.024</w:t>
            </w:r>
          </w:p>
        </w:tc>
        <w:tc>
          <w:tcPr>
            <w:tcW w:w="562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0.073</w:t>
            </w:r>
          </w:p>
        </w:tc>
      </w:tr>
      <w:tr w:rsidR="003D0AD4" w:rsidTr="008660F9">
        <w:trPr>
          <w:trHeight w:val="171"/>
          <w:jc w:val="center"/>
        </w:trPr>
        <w:tc>
          <w:tcPr>
            <w:tcW w:w="1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Observations</w:t>
            </w:r>
          </w:p>
        </w:tc>
        <w:tc>
          <w:tcPr>
            <w:tcW w:w="3411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1112</w:t>
            </w:r>
          </w:p>
        </w:tc>
      </w:tr>
    </w:tbl>
    <w:p w:rsidR="003D0AD4" w:rsidRDefault="008660F9">
      <w:pPr>
        <w:widowControl/>
        <w:spacing w:beforeLines="50" w:before="156"/>
        <w:ind w:firstLineChars="200" w:firstLine="402"/>
        <w:jc w:val="left"/>
        <w:rPr>
          <w:rFonts w:ascii="Times New Roman" w:eastAsia="宋体" w:hAnsi="Times New Roman" w:cs="Times New Roman"/>
          <w:bCs/>
          <w:color w:val="000000"/>
          <w:sz w:val="20"/>
          <w:szCs w:val="20"/>
        </w:rPr>
      </w:pPr>
      <w:r>
        <w:rPr>
          <w:rFonts w:ascii="Arial" w:eastAsia="宋体" w:hAnsi="Arial" w:cs="Arial"/>
          <w:b/>
          <w:sz w:val="20"/>
          <w:szCs w:val="20"/>
        </w:rPr>
        <w:t>Table S2</w:t>
      </w:r>
      <w:r>
        <w:rPr>
          <w:rFonts w:ascii="Arial" w:eastAsia="宋体" w:hAnsi="Arial" w:cs="Arial"/>
          <w:b/>
          <w:sz w:val="20"/>
          <w:szCs w:val="20"/>
        </w:rPr>
        <w:t>.</w:t>
      </w:r>
      <w:r>
        <w:rPr>
          <w:rFonts w:ascii="Arial" w:eastAsia="宋体" w:hAnsi="Arial" w:cs="Arial"/>
          <w:b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bCs/>
          <w:sz w:val="20"/>
          <w:szCs w:val="20"/>
        </w:rPr>
        <w:t xml:space="preserve">Statistics of regression results on </w:t>
      </w:r>
      <w:r>
        <w:rPr>
          <w:rFonts w:ascii="Times New Roman" w:eastAsia="宋体" w:hAnsi="Times New Roman" w:cs="Times New Roman"/>
          <w:bCs/>
          <w:sz w:val="20"/>
          <w:szCs w:val="20"/>
        </w:rPr>
        <w:t>the impact of livelihood differentiation of smallholders on optimal chemical fertilizer application</w:t>
      </w:r>
      <w:r>
        <w:rPr>
          <w:rFonts w:ascii="Times New Roman" w:eastAsia="宋体" w:hAnsi="Times New Roman" w:cs="Times New Roman" w:hint="eastAsia"/>
          <w:bCs/>
          <w:sz w:val="20"/>
          <w:szCs w:val="20"/>
        </w:rPr>
        <w:t>. (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  <w:lang w:bidi="ar"/>
        </w:rPr>
        <w:t xml:space="preserve">Note: 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  <w:vertAlign w:val="superscript"/>
          <w:lang w:bidi="ar"/>
        </w:rPr>
        <w:t>*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  <w:lang w:bidi="ar"/>
        </w:rPr>
        <w:t>,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  <w:vertAlign w:val="superscript"/>
          <w:lang w:bidi="ar"/>
        </w:rPr>
        <w:t xml:space="preserve"> **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  <w:lang w:bidi="ar"/>
        </w:rPr>
        <w:t xml:space="preserve">, 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  <w:vertAlign w:val="superscript"/>
          <w:lang w:bidi="ar"/>
        </w:rPr>
        <w:t>***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  <w:lang w:bidi="ar"/>
        </w:rPr>
        <w:t xml:space="preserve"> denote significant at the 10%, 5%, and 1% levels. Standard errors are shown in brackets.</w:t>
      </w:r>
      <w:r>
        <w:rPr>
          <w:rFonts w:ascii="Times New Roman" w:eastAsia="宋体" w:hAnsi="Times New Roman" w:cs="Times New Roman" w:hint="eastAsia"/>
          <w:bCs/>
          <w:kern w:val="0"/>
          <w:sz w:val="20"/>
          <w:szCs w:val="20"/>
          <w:lang w:bidi="ar"/>
        </w:rPr>
        <w:t>)</w:t>
      </w:r>
    </w:p>
    <w:p w:rsidR="003D0AD4" w:rsidRDefault="008660F9">
      <w:pPr>
        <w:rPr>
          <w:rFonts w:ascii="Times New Roman" w:eastAsia="宋体" w:hAnsi="Times New Roman" w:cs="Times New Roman"/>
          <w:b/>
          <w:sz w:val="18"/>
        </w:rPr>
      </w:pPr>
      <w:r>
        <w:rPr>
          <w:rFonts w:ascii="Times New Roman" w:eastAsia="宋体" w:hAnsi="Times New Roman" w:cs="Times New Roman"/>
        </w:rPr>
        <w:br w:type="page"/>
      </w:r>
    </w:p>
    <w:tbl>
      <w:tblPr>
        <w:tblpPr w:leftFromText="180" w:rightFromText="180" w:vertAnchor="text" w:horzAnchor="page" w:tblpX="1568" w:tblpY="340"/>
        <w:tblOverlap w:val="never"/>
        <w:tblW w:w="4962" w:type="pct"/>
        <w:tblLayout w:type="fixed"/>
        <w:tblLook w:val="04A0" w:firstRow="1" w:lastRow="0" w:firstColumn="1" w:lastColumn="0" w:noHBand="0" w:noVBand="1"/>
      </w:tblPr>
      <w:tblGrid>
        <w:gridCol w:w="1960"/>
        <w:gridCol w:w="1554"/>
        <w:gridCol w:w="1459"/>
        <w:gridCol w:w="1590"/>
        <w:gridCol w:w="1493"/>
        <w:gridCol w:w="1493"/>
        <w:gridCol w:w="1736"/>
        <w:gridCol w:w="1791"/>
      </w:tblGrid>
      <w:tr w:rsidR="003D0AD4">
        <w:trPr>
          <w:trHeight w:val="280"/>
        </w:trPr>
        <w:tc>
          <w:tcPr>
            <w:tcW w:w="7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Variable Name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  <w:tc>
          <w:tcPr>
            <w:tcW w:w="11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 xml:space="preserve">The adopted socialized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services</w:t>
            </w:r>
          </w:p>
        </w:tc>
        <w:tc>
          <w:tcPr>
            <w:tcW w:w="11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Service intensity</w:t>
            </w:r>
          </w:p>
        </w:tc>
        <w:tc>
          <w:tcPr>
            <w:tcW w:w="1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Organization degree of the service providers</w:t>
            </w:r>
          </w:p>
        </w:tc>
      </w:tr>
      <w:tr w:rsidR="003D0AD4">
        <w:trPr>
          <w:trHeight w:val="280"/>
        </w:trPr>
        <w:tc>
          <w:tcPr>
            <w:tcW w:w="7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D0AD4" w:rsidRDefault="003D0AD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2</w:t>
            </w:r>
          </w:p>
        </w:tc>
        <w:tc>
          <w:tcPr>
            <w:tcW w:w="11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11</w:t>
            </w:r>
          </w:p>
        </w:tc>
        <w:tc>
          <w:tcPr>
            <w:tcW w:w="114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12</w:t>
            </w:r>
          </w:p>
        </w:tc>
        <w:tc>
          <w:tcPr>
            <w:tcW w:w="134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Model 13</w:t>
            </w:r>
          </w:p>
        </w:tc>
      </w:tr>
      <w:tr w:rsidR="003D0AD4">
        <w:trPr>
          <w:trHeight w:val="280"/>
        </w:trPr>
        <w:tc>
          <w:tcPr>
            <w:tcW w:w="7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D0AD4" w:rsidRDefault="003D0AD4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Degree of optimal chemical fertilizer application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The adopted socialized services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①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Degree of optimal chemical fertilizer application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②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Service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intensity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①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Degree of optimal chemical fertilizer application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②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Organization degree of the service providers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①</w:t>
            </w:r>
          </w:p>
        </w:tc>
        <w:tc>
          <w:tcPr>
            <w:tcW w:w="6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Degree of optimal chemical fertilizer application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②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Share of wage income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(0.082)</w:t>
            </w:r>
          </w:p>
        </w:tc>
        <w:tc>
          <w:tcPr>
            <w:tcW w:w="55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(0.045)</w:t>
            </w:r>
          </w:p>
        </w:tc>
        <w:tc>
          <w:tcPr>
            <w:tcW w:w="60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(0.078)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5.482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(0.914)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(0.070)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(0.088)</w:t>
            </w:r>
          </w:p>
        </w:tc>
        <w:tc>
          <w:tcPr>
            <w:tcW w:w="685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(0.078)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The adopted socialized services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5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0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(0.051)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85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Service intensity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5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0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(0.003)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85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Organization degree of the service providers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5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08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85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(0.026)</w:t>
            </w:r>
          </w:p>
        </w:tc>
      </w:tr>
      <w:tr w:rsidR="003D0AD4">
        <w:trPr>
          <w:trHeight w:val="280"/>
        </w:trPr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Control variables</w:t>
            </w:r>
          </w:p>
        </w:tc>
        <w:tc>
          <w:tcPr>
            <w:tcW w:w="4251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Already controlled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ACEM</w:t>
            </w:r>
          </w:p>
        </w:tc>
        <w:tc>
          <w:tcPr>
            <w:tcW w:w="594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166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0.036</w:t>
            </w:r>
          </w:p>
        </w:tc>
        <w:tc>
          <w:tcPr>
            <w:tcW w:w="1142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0.036</w:t>
            </w:r>
          </w:p>
        </w:tc>
        <w:tc>
          <w:tcPr>
            <w:tcW w:w="1349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0.035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ADE</w:t>
            </w:r>
          </w:p>
        </w:tc>
        <w:tc>
          <w:tcPr>
            <w:tcW w:w="594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166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0.214</w:t>
            </w:r>
          </w:p>
        </w:tc>
        <w:tc>
          <w:tcPr>
            <w:tcW w:w="1142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0.215</w:t>
            </w:r>
          </w:p>
        </w:tc>
        <w:tc>
          <w:tcPr>
            <w:tcW w:w="1349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0.216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Total effect</w:t>
            </w:r>
          </w:p>
        </w:tc>
        <w:tc>
          <w:tcPr>
            <w:tcW w:w="594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166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0.250</w:t>
            </w:r>
          </w:p>
        </w:tc>
        <w:tc>
          <w:tcPr>
            <w:tcW w:w="1142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0.250</w:t>
            </w:r>
          </w:p>
        </w:tc>
        <w:tc>
          <w:tcPr>
            <w:tcW w:w="1349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0.251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ediating effect as a percentage</w:t>
            </w:r>
          </w:p>
        </w:tc>
        <w:tc>
          <w:tcPr>
            <w:tcW w:w="594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166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14.38%</w:t>
            </w:r>
          </w:p>
        </w:tc>
        <w:tc>
          <w:tcPr>
            <w:tcW w:w="1142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14.26%</w:t>
            </w:r>
          </w:p>
        </w:tc>
        <w:tc>
          <w:tcPr>
            <w:tcW w:w="1349" w:type="pct"/>
            <w:gridSpan w:val="2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13.84%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F-test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35.920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38.120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664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28.000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  <w:tc>
          <w:tcPr>
            <w:tcW w:w="685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7.190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***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(0.000)</w:t>
            </w:r>
          </w:p>
        </w:tc>
      </w:tr>
      <w:tr w:rsidR="003D0AD4">
        <w:trPr>
          <w:trHeight w:val="280"/>
        </w:trPr>
        <w:tc>
          <w:tcPr>
            <w:tcW w:w="749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R-squared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0.097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0.358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0.104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0.104</w:t>
            </w:r>
          </w:p>
        </w:tc>
        <w:tc>
          <w:tcPr>
            <w:tcW w:w="664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0.303</w:t>
            </w:r>
          </w:p>
        </w:tc>
        <w:tc>
          <w:tcPr>
            <w:tcW w:w="685" w:type="pct"/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0.106</w:t>
            </w:r>
          </w:p>
        </w:tc>
      </w:tr>
      <w:tr w:rsidR="003D0AD4">
        <w:trPr>
          <w:trHeight w:val="280"/>
        </w:trPr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Sample size</w:t>
            </w:r>
          </w:p>
        </w:tc>
        <w:tc>
          <w:tcPr>
            <w:tcW w:w="4251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0AD4" w:rsidRDefault="008660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1112</w:t>
            </w:r>
          </w:p>
        </w:tc>
      </w:tr>
    </w:tbl>
    <w:p w:rsidR="003D0AD4" w:rsidRDefault="003D0AD4">
      <w:pPr>
        <w:jc w:val="center"/>
        <w:rPr>
          <w:rFonts w:hint="eastAsia"/>
        </w:rPr>
      </w:pPr>
      <w:bookmarkStart w:id="0" w:name="_GoBack"/>
      <w:bookmarkEnd w:id="0"/>
    </w:p>
    <w:p w:rsidR="003D0AD4" w:rsidRDefault="008660F9">
      <w:pPr>
        <w:widowControl/>
        <w:spacing w:beforeLines="50" w:before="156"/>
        <w:ind w:firstLineChars="200" w:firstLine="402"/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>
        <w:rPr>
          <w:rFonts w:ascii="Arial" w:eastAsia="宋体" w:hAnsi="Arial" w:cs="Arial"/>
          <w:b/>
          <w:bCs/>
          <w:kern w:val="0"/>
          <w:sz w:val="20"/>
          <w:szCs w:val="20"/>
          <w:lang w:bidi="ar"/>
        </w:rPr>
        <w:t>Table S3</w:t>
      </w:r>
      <w:r>
        <w:rPr>
          <w:rFonts w:ascii="Arial" w:eastAsia="宋体" w:hAnsi="Arial" w:cs="Arial"/>
          <w:b/>
          <w:bCs/>
          <w:kern w:val="0"/>
          <w:sz w:val="20"/>
          <w:szCs w:val="20"/>
          <w:lang w:bidi="ar"/>
        </w:rPr>
        <w:t>.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 xml:space="preserve"> Analysis of the mechanisms influencing smallholder livelihood differentiation on optimal fertilizer application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>. (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 xml:space="preserve">Note: </w:t>
      </w:r>
      <w:r>
        <w:rPr>
          <w:rFonts w:ascii="Times New Roman" w:eastAsia="宋体" w:hAnsi="Times New Roman" w:cs="Times New Roman"/>
          <w:kern w:val="0"/>
          <w:sz w:val="20"/>
          <w:szCs w:val="20"/>
          <w:vertAlign w:val="superscript"/>
          <w:lang w:bidi="ar"/>
        </w:rPr>
        <w:t>*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 xml:space="preserve">, </w:t>
      </w:r>
      <w:r>
        <w:rPr>
          <w:rFonts w:ascii="Times New Roman" w:eastAsia="宋体" w:hAnsi="Times New Roman" w:cs="Times New Roman"/>
          <w:kern w:val="0"/>
          <w:sz w:val="20"/>
          <w:szCs w:val="20"/>
          <w:vertAlign w:val="superscript"/>
          <w:lang w:bidi="ar"/>
        </w:rPr>
        <w:t>**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 xml:space="preserve">, </w:t>
      </w:r>
      <w:r>
        <w:rPr>
          <w:rFonts w:ascii="Times New Roman" w:eastAsia="宋体" w:hAnsi="Times New Roman" w:cs="Times New Roman"/>
          <w:kern w:val="0"/>
          <w:sz w:val="20"/>
          <w:szCs w:val="20"/>
          <w:vertAlign w:val="superscript"/>
          <w:lang w:bidi="ar"/>
        </w:rPr>
        <w:t>***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 xml:space="preserve"> denote significant at the 10%, 5%, and 1% levels. Standard errors are shown in brackets.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>)</w:t>
      </w:r>
    </w:p>
    <w:p w:rsidR="003D0AD4" w:rsidRDefault="003D0AD4"/>
    <w:sectPr w:rsidR="003D0AD4">
      <w:pgSz w:w="15840" w:h="12240" w:orient="landscape"/>
      <w:pgMar w:top="1800" w:right="1440" w:bottom="1800" w:left="1440" w:header="720" w:footer="7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Q4N2Y0MjE3ZGE5MzBjNmY4NmY0N2ZlNDY0MThiMGEifQ=="/>
  </w:docVars>
  <w:rsids>
    <w:rsidRoot w:val="00217984"/>
    <w:rsid w:val="00217984"/>
    <w:rsid w:val="003A0C5E"/>
    <w:rsid w:val="003D0AD4"/>
    <w:rsid w:val="004F5B87"/>
    <w:rsid w:val="008660F9"/>
    <w:rsid w:val="008C1465"/>
    <w:rsid w:val="00DE4F93"/>
    <w:rsid w:val="00E0141B"/>
    <w:rsid w:val="00E203DD"/>
    <w:rsid w:val="0A5B18D9"/>
    <w:rsid w:val="1D6536DB"/>
    <w:rsid w:val="398D7612"/>
    <w:rsid w:val="3F245289"/>
    <w:rsid w:val="53932085"/>
    <w:rsid w:val="55B43ACE"/>
    <w:rsid w:val="7DA8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0F8CF0"/>
  <w15:docId w15:val="{049DAFC7-131B-4F27-A752-1BC7F864F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pPr>
      <w:widowControl/>
      <w:spacing w:line="360" w:lineRule="atLeast"/>
      <w:jc w:val="left"/>
    </w:pPr>
    <w:rPr>
      <w:rFonts w:ascii="Cambria" w:eastAsia="黑体" w:hAnsi="Cambria" w:cs="Times New Roman"/>
      <w:kern w:val="0"/>
      <w:sz w:val="20"/>
      <w:szCs w:val="20"/>
    </w:rPr>
  </w:style>
  <w:style w:type="paragraph" w:styleId="a4">
    <w:name w:val="annotation text"/>
    <w:basedOn w:val="a"/>
    <w:link w:val="a5"/>
    <w:qFormat/>
    <w:pPr>
      <w:widowControl/>
      <w:jc w:val="left"/>
    </w:pPr>
    <w:rPr>
      <w:rFonts w:ascii="等线" w:eastAsia="等线" w:hAnsi="等线" w:cs="Times New Roman" w:hint="eastAsia"/>
      <w:kern w:val="0"/>
      <w:sz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a5">
    <w:name w:val="批注文字 字符"/>
    <w:basedOn w:val="a0"/>
    <w:link w:val="a4"/>
    <w:qFormat/>
    <w:rPr>
      <w:rFonts w:ascii="Times New Roman" w:hAnsi="Times New Roman" w:cs="Times New Roman" w:hint="default"/>
      <w:sz w:val="24"/>
      <w:szCs w:val="24"/>
    </w:rPr>
  </w:style>
  <w:style w:type="character" w:customStyle="1" w:styleId="a7">
    <w:name w:val="批注框文本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8DC11-5B48-4A39-9310-DA36A76C3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875</Words>
  <Characters>4989</Characters>
  <Application>Microsoft Office Word</Application>
  <DocSecurity>0</DocSecurity>
  <Lines>41</Lines>
  <Paragraphs>11</Paragraphs>
  <ScaleCrop>false</ScaleCrop>
  <Company/>
  <LinksUpToDate>false</LinksUpToDate>
  <CharactersWithSpaces>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liyajuan</cp:lastModifiedBy>
  <cp:revision>5</cp:revision>
  <dcterms:created xsi:type="dcterms:W3CDTF">2014-10-29T12:08:00Z</dcterms:created>
  <dcterms:modified xsi:type="dcterms:W3CDTF">2022-09-27T23:04:00Z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AFFBF8E828534D9A873C3DC55D07BEE1</vt:lpwstr>
  </property>
</Properties>
</file>