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7044" w:rsidRDefault="009E7044" w:rsidP="009E7044">
      <w:pPr>
        <w:pStyle w:val="Heading2"/>
        <w:spacing w:line="360" w:lineRule="auto"/>
        <w:jc w:val="both"/>
        <w:rPr>
          <w:i/>
        </w:rPr>
      </w:pPr>
      <w:r>
        <w:t xml:space="preserve">Supplementary File 4. Network analysis </w:t>
      </w:r>
    </w:p>
    <w:p w:rsidR="009E7044" w:rsidRDefault="009E7044" w:rsidP="009E7044">
      <w:pPr>
        <w:spacing w:line="360" w:lineRule="auto"/>
        <w:jc w:val="both"/>
        <w:rPr>
          <w:i/>
          <w:color w:val="002060"/>
        </w:rPr>
      </w:pPr>
      <w:r>
        <w:rPr>
          <w:i/>
          <w:noProof/>
          <w:color w:val="002060"/>
        </w:rPr>
        <w:drawing>
          <wp:inline distT="114300" distB="114300" distL="114300" distR="114300" wp14:anchorId="4B3E9E56" wp14:editId="3C4D1AD7">
            <wp:extent cx="5731200" cy="3454400"/>
            <wp:effectExtent l="0" t="0" r="0" b="0"/>
            <wp:docPr id="164" name="imag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454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E7044" w:rsidRDefault="009E7044" w:rsidP="009E7044">
      <w:pPr>
        <w:spacing w:line="360" w:lineRule="auto"/>
        <w:jc w:val="both"/>
        <w:rPr>
          <w:color w:val="000000"/>
          <w:sz w:val="22"/>
          <w:szCs w:val="22"/>
        </w:rPr>
      </w:pPr>
      <w:r>
        <w:rPr>
          <w:b/>
          <w:i/>
          <w:color w:val="002060"/>
          <w:sz w:val="22"/>
          <w:szCs w:val="22"/>
        </w:rPr>
        <w:t>Supplementary Figure 4.1.</w:t>
      </w:r>
      <w:r>
        <w:rPr>
          <w:i/>
          <w:color w:val="002060"/>
          <w:sz w:val="22"/>
          <w:szCs w:val="22"/>
        </w:rPr>
        <w:t xml:space="preserve"> Subnetwork of regulatory gene ontology (GO) biological processes.</w:t>
      </w:r>
      <w:r>
        <w:rPr>
          <w:b/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BiNGO</w:t>
      </w:r>
      <w:proofErr w:type="spellEnd"/>
      <w:r>
        <w:rPr>
          <w:color w:val="000000"/>
          <w:sz w:val="22"/>
          <w:szCs w:val="22"/>
        </w:rPr>
        <w:t xml:space="preserve"> overrepresentation analysis was performed, whereupon GO terms were filtered for a false discovery rate adjusted p-value (q-value) below .01. The blue colour gradient indicates the significance of the functional enrichment, with darker colours corresponding to smaller q-values. Node size is relative to the degree as determined in the original network. </w:t>
      </w:r>
    </w:p>
    <w:p w:rsidR="009E7044" w:rsidRDefault="009E7044" w:rsidP="009E7044">
      <w:pPr>
        <w:spacing w:line="360" w:lineRule="auto"/>
        <w:jc w:val="both"/>
        <w:rPr>
          <w:b/>
          <w:i/>
          <w:color w:val="002060"/>
        </w:rPr>
      </w:pPr>
    </w:p>
    <w:p w:rsidR="009E7044" w:rsidRDefault="009E7044" w:rsidP="009E7044">
      <w:pPr>
        <w:spacing w:line="360" w:lineRule="auto"/>
        <w:jc w:val="both"/>
        <w:rPr>
          <w:b/>
          <w:i/>
          <w:color w:val="002060"/>
        </w:rPr>
      </w:pPr>
      <w:r>
        <w:rPr>
          <w:b/>
          <w:i/>
          <w:noProof/>
          <w:color w:val="002060"/>
        </w:rPr>
        <w:drawing>
          <wp:inline distT="114300" distB="114300" distL="114300" distR="114300" wp14:anchorId="750B7C86" wp14:editId="54B51963">
            <wp:extent cx="5731200" cy="2692400"/>
            <wp:effectExtent l="0" t="0" r="0" b="0"/>
            <wp:docPr id="162" name="image1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692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E7044" w:rsidRDefault="009E7044" w:rsidP="009E7044">
      <w:pPr>
        <w:spacing w:line="360" w:lineRule="auto"/>
        <w:jc w:val="both"/>
        <w:rPr>
          <w:sz w:val="22"/>
          <w:szCs w:val="22"/>
        </w:rPr>
      </w:pPr>
      <w:r>
        <w:rPr>
          <w:b/>
          <w:i/>
          <w:color w:val="002060"/>
          <w:sz w:val="22"/>
          <w:szCs w:val="22"/>
        </w:rPr>
        <w:t>Supplementary Figure 4.2.</w:t>
      </w:r>
      <w:r>
        <w:rPr>
          <w:i/>
          <w:color w:val="002060"/>
          <w:sz w:val="22"/>
          <w:szCs w:val="22"/>
        </w:rPr>
        <w:t xml:space="preserve"> Subnetworks of WikiPathways WP5083 network. </w:t>
      </w:r>
      <w:r>
        <w:rPr>
          <w:sz w:val="22"/>
          <w:szCs w:val="22"/>
        </w:rPr>
        <w:t xml:space="preserve">A: Glutamatergic neurons and downstream components. B: Astrocytes, microglia, and inflammatory mediators. Data nodes representing pathways (round rectangle), metabolites (diamond) and genes (ellipse) are distinguishable </w:t>
      </w:r>
      <w:r>
        <w:rPr>
          <w:sz w:val="22"/>
          <w:szCs w:val="22"/>
        </w:rPr>
        <w:lastRenderedPageBreak/>
        <w:t xml:space="preserve">by shape and a grey colour gradient. Anchors and groups </w:t>
      </w:r>
      <w:proofErr w:type="gramStart"/>
      <w:r>
        <w:rPr>
          <w:sz w:val="22"/>
          <w:szCs w:val="22"/>
        </w:rPr>
        <w:t>were made</w:t>
      </w:r>
      <w:proofErr w:type="gramEnd"/>
      <w:r>
        <w:rPr>
          <w:sz w:val="22"/>
          <w:szCs w:val="22"/>
        </w:rPr>
        <w:t xml:space="preserve"> invisible. Node size corresponds to the relative degree in the original network.</w:t>
      </w:r>
    </w:p>
    <w:p w:rsidR="009E7044" w:rsidRDefault="009E7044" w:rsidP="009E7044">
      <w:pPr>
        <w:spacing w:line="360" w:lineRule="auto"/>
        <w:jc w:val="both"/>
        <w:rPr>
          <w:sz w:val="22"/>
          <w:szCs w:val="22"/>
        </w:rPr>
      </w:pPr>
    </w:p>
    <w:p w:rsidR="009E7044" w:rsidRDefault="009E7044" w:rsidP="009E7044">
      <w:r>
        <w:rPr>
          <w:noProof/>
        </w:rPr>
        <w:drawing>
          <wp:inline distT="114300" distB="114300" distL="114300" distR="114300" wp14:anchorId="429BDCC8" wp14:editId="7071BB1F">
            <wp:extent cx="5731200" cy="5372100"/>
            <wp:effectExtent l="0" t="0" r="0" b="0"/>
            <wp:docPr id="163" name="image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372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E7044" w:rsidRDefault="009E7044" w:rsidP="009E7044"/>
    <w:p w:rsidR="009E7044" w:rsidRDefault="009E7044" w:rsidP="009E7044">
      <w:pPr>
        <w:spacing w:line="360" w:lineRule="auto"/>
        <w:jc w:val="both"/>
        <w:rPr>
          <w:color w:val="000000"/>
          <w:sz w:val="22"/>
          <w:szCs w:val="22"/>
        </w:rPr>
      </w:pPr>
      <w:r>
        <w:rPr>
          <w:b/>
          <w:i/>
          <w:color w:val="002060"/>
          <w:sz w:val="22"/>
          <w:szCs w:val="22"/>
        </w:rPr>
        <w:t>Supplementary Figure 4.3.</w:t>
      </w:r>
      <w:r>
        <w:rPr>
          <w:i/>
          <w:color w:val="002060"/>
          <w:sz w:val="22"/>
          <w:szCs w:val="22"/>
        </w:rPr>
        <w:t xml:space="preserve"> Network of merged WikiPathways WP5083 and WP5090</w:t>
      </w:r>
      <w:r>
        <w:rPr>
          <w:sz w:val="22"/>
          <w:szCs w:val="22"/>
        </w:rPr>
        <w:t xml:space="preserve">. Genes (ellipse), metabolites (diamond) and pathways (round rectangle) </w:t>
      </w:r>
      <w:proofErr w:type="gramStart"/>
      <w:r>
        <w:rPr>
          <w:sz w:val="22"/>
          <w:szCs w:val="22"/>
        </w:rPr>
        <w:t>are differentiated</w:t>
      </w:r>
      <w:proofErr w:type="gramEnd"/>
      <w:r>
        <w:rPr>
          <w:sz w:val="22"/>
          <w:szCs w:val="22"/>
        </w:rPr>
        <w:t xml:space="preserve"> by shape. Log2 fold change values </w:t>
      </w:r>
      <w:proofErr w:type="gramStart"/>
      <w:r>
        <w:rPr>
          <w:sz w:val="22"/>
          <w:szCs w:val="22"/>
        </w:rPr>
        <w:t>are indicated</w:t>
      </w:r>
      <w:proofErr w:type="gramEnd"/>
      <w:r>
        <w:rPr>
          <w:sz w:val="22"/>
          <w:szCs w:val="22"/>
        </w:rPr>
        <w:t xml:space="preserve">, with red and blue representing upregulation and downregulation, respectively. Lack of gene expression data </w:t>
      </w:r>
      <w:proofErr w:type="gramStart"/>
      <w:r>
        <w:rPr>
          <w:sz w:val="22"/>
          <w:szCs w:val="22"/>
        </w:rPr>
        <w:t>is signified</w:t>
      </w:r>
      <w:proofErr w:type="gramEnd"/>
      <w:r>
        <w:rPr>
          <w:sz w:val="22"/>
          <w:szCs w:val="22"/>
        </w:rPr>
        <w:t xml:space="preserve"> by a grey colour. Node size is relative to the degree within the merged network. Anchors and groups </w:t>
      </w:r>
      <w:proofErr w:type="gramStart"/>
      <w:r>
        <w:rPr>
          <w:sz w:val="22"/>
          <w:szCs w:val="22"/>
        </w:rPr>
        <w:t>were made</w:t>
      </w:r>
      <w:proofErr w:type="gramEnd"/>
      <w:r>
        <w:rPr>
          <w:sz w:val="22"/>
          <w:szCs w:val="22"/>
        </w:rPr>
        <w:t xml:space="preserve"> invisible. Differentially expressed genes have a white label and larger boundary size. </w:t>
      </w:r>
    </w:p>
    <w:p w:rsidR="009E7044" w:rsidRDefault="009E7044" w:rsidP="009E7044">
      <w:pPr>
        <w:pStyle w:val="Heading2"/>
        <w:spacing w:line="360" w:lineRule="auto"/>
        <w:jc w:val="both"/>
      </w:pPr>
    </w:p>
    <w:p w:rsidR="009E7044" w:rsidRDefault="009E7044" w:rsidP="009E7044"/>
    <w:p w:rsidR="009E7044" w:rsidRDefault="009E7044" w:rsidP="009E7044"/>
    <w:p w:rsidR="009E7044" w:rsidRDefault="009E7044" w:rsidP="009E7044"/>
    <w:p w:rsidR="009E7044" w:rsidRDefault="009E7044" w:rsidP="009E7044">
      <w:r>
        <w:rPr>
          <w:noProof/>
        </w:rPr>
        <w:lastRenderedPageBreak/>
        <w:drawing>
          <wp:inline distT="114300" distB="114300" distL="114300" distR="114300" wp14:anchorId="562485A1" wp14:editId="52274495">
            <wp:extent cx="5731200" cy="4152900"/>
            <wp:effectExtent l="0" t="0" r="0" b="0"/>
            <wp:docPr id="165" name="image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15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E7044" w:rsidRDefault="009E7044" w:rsidP="009E7044"/>
    <w:p w:rsidR="009E7044" w:rsidRDefault="009E7044" w:rsidP="009E7044">
      <w:pPr>
        <w:spacing w:line="360" w:lineRule="auto"/>
        <w:jc w:val="both"/>
        <w:rPr>
          <w:sz w:val="22"/>
          <w:szCs w:val="22"/>
        </w:rPr>
      </w:pPr>
      <w:r>
        <w:rPr>
          <w:b/>
          <w:i/>
          <w:color w:val="002060"/>
          <w:sz w:val="22"/>
          <w:szCs w:val="22"/>
        </w:rPr>
        <w:t>Supplementary Figure 4.4.</w:t>
      </w:r>
      <w:r>
        <w:rPr>
          <w:i/>
          <w:color w:val="002060"/>
          <w:sz w:val="22"/>
          <w:szCs w:val="22"/>
        </w:rPr>
        <w:t xml:space="preserve"> Network of merged subnetworks extended with the </w:t>
      </w:r>
      <w:proofErr w:type="spellStart"/>
      <w:r>
        <w:rPr>
          <w:i/>
          <w:color w:val="002060"/>
          <w:sz w:val="22"/>
          <w:szCs w:val="22"/>
        </w:rPr>
        <w:t>ChEMBL</w:t>
      </w:r>
      <w:proofErr w:type="spellEnd"/>
      <w:r>
        <w:rPr>
          <w:i/>
          <w:color w:val="002060"/>
          <w:sz w:val="22"/>
          <w:szCs w:val="22"/>
        </w:rPr>
        <w:t xml:space="preserve"> and </w:t>
      </w:r>
      <w:proofErr w:type="spellStart"/>
      <w:r>
        <w:rPr>
          <w:i/>
          <w:color w:val="002060"/>
          <w:sz w:val="22"/>
          <w:szCs w:val="22"/>
        </w:rPr>
        <w:t>Drugbank</w:t>
      </w:r>
      <w:proofErr w:type="spellEnd"/>
      <w:r>
        <w:rPr>
          <w:i/>
          <w:color w:val="002060"/>
          <w:sz w:val="22"/>
          <w:szCs w:val="22"/>
        </w:rPr>
        <w:t xml:space="preserve"> </w:t>
      </w:r>
      <w:proofErr w:type="spellStart"/>
      <w:r>
        <w:rPr>
          <w:i/>
          <w:color w:val="002060"/>
          <w:sz w:val="22"/>
          <w:szCs w:val="22"/>
        </w:rPr>
        <w:t>linksets</w:t>
      </w:r>
      <w:proofErr w:type="spellEnd"/>
      <w:r>
        <w:rPr>
          <w:i/>
          <w:color w:val="002060"/>
          <w:sz w:val="22"/>
          <w:szCs w:val="22"/>
        </w:rPr>
        <w:t>.</w:t>
      </w:r>
      <w:r>
        <w:rPr>
          <w:sz w:val="22"/>
          <w:szCs w:val="22"/>
        </w:rPr>
        <w:t xml:space="preserve"> The subnetworks consisted of the differentially expressed genes included in the </w:t>
      </w:r>
      <w:sdt>
        <w:sdtPr>
          <w:tag w:val="goog_rdk_15"/>
          <w:id w:val="1650247117"/>
        </w:sdtPr>
        <w:sdtContent>
          <w:r>
            <w:rPr>
              <w:sz w:val="22"/>
              <w:szCs w:val="22"/>
            </w:rPr>
            <w:t>WikiPathways</w:t>
          </w:r>
          <w:proofErr w:type="gramStart"/>
          <w:r>
            <w:rPr>
              <w:sz w:val="22"/>
              <w:szCs w:val="22"/>
            </w:rPr>
            <w:t>:</w:t>
          </w:r>
          <w:proofErr w:type="gramEnd"/>
        </w:sdtContent>
      </w:sdt>
      <w:r>
        <w:rPr>
          <w:sz w:val="22"/>
          <w:szCs w:val="22"/>
        </w:rPr>
        <w:t xml:space="preserve">WP5083 pathway. Log2 fold change values </w:t>
      </w:r>
      <w:proofErr w:type="gramStart"/>
      <w:r>
        <w:rPr>
          <w:sz w:val="22"/>
          <w:szCs w:val="22"/>
        </w:rPr>
        <w:t>are indicated</w:t>
      </w:r>
      <w:proofErr w:type="gramEnd"/>
      <w:r>
        <w:rPr>
          <w:sz w:val="22"/>
          <w:szCs w:val="22"/>
        </w:rPr>
        <w:t xml:space="preserve">, with red and blue representing upregulation and downregulation, respectively. Compounds (round rectangle), genes (ellipse), and drugs (diamond) </w:t>
      </w:r>
      <w:proofErr w:type="gramStart"/>
      <w:r>
        <w:rPr>
          <w:sz w:val="22"/>
          <w:szCs w:val="22"/>
        </w:rPr>
        <w:t>are differentiated</w:t>
      </w:r>
      <w:proofErr w:type="gramEnd"/>
      <w:r>
        <w:rPr>
          <w:sz w:val="22"/>
          <w:szCs w:val="22"/>
        </w:rPr>
        <w:t xml:space="preserve"> by shape. Regarding the drugs, investigati</w:t>
      </w:r>
      <w:bookmarkStart w:id="0" w:name="_GoBack"/>
      <w:bookmarkEnd w:id="0"/>
      <w:r>
        <w:rPr>
          <w:sz w:val="22"/>
          <w:szCs w:val="22"/>
        </w:rPr>
        <w:t>onal (purple), experimental (green) and approved (light blue) drugs are indicated with different coloured borders.</w:t>
      </w:r>
    </w:p>
    <w:p w:rsidR="009E7044" w:rsidRDefault="009E7044" w:rsidP="009E7044">
      <w:pPr>
        <w:rPr>
          <w:sz w:val="22"/>
          <w:szCs w:val="22"/>
        </w:rPr>
      </w:pPr>
    </w:p>
    <w:p w:rsidR="008E5D1E" w:rsidRDefault="008E5D1E"/>
    <w:sectPr w:rsidR="008E5D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044"/>
    <w:rsid w:val="008E5D1E"/>
    <w:rsid w:val="009E7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6140E8-D6EE-4261-A108-268B04A05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Verdana" w:eastAsiaTheme="minorHAnsi" w:hAnsi="Verdana" w:cstheme="minorBidi"/>
        <w:szCs w:val="22"/>
        <w:lang w:val="nl-NL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7044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E7044"/>
    <w:pPr>
      <w:keepNext/>
      <w:keepLines/>
      <w:spacing w:before="40"/>
      <w:outlineLvl w:val="1"/>
    </w:pPr>
    <w:rPr>
      <w:rFonts w:eastAsiaTheme="majorEastAsia" w:cstheme="majorBidi"/>
      <w:b/>
      <w:color w:val="002060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E7044"/>
    <w:rPr>
      <w:rFonts w:ascii="Times New Roman" w:eastAsiaTheme="majorEastAsia" w:hAnsi="Times New Roman" w:cstheme="majorBidi"/>
      <w:b/>
      <w:color w:val="002060"/>
      <w:sz w:val="24"/>
      <w:szCs w:val="2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B4655E-F2DA-4D61-BEDD-34CE9C0126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306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Maastricht University</Company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Ehrhart, Friederike (BIGCAT)</dc:creator>
  <cp:keywords/>
  <dc:description/>
  <cp:lastModifiedBy>Ehrhart, Friederike (BIGCAT)</cp:lastModifiedBy>
  <cp:revision>1</cp:revision>
  <dcterms:created xsi:type="dcterms:W3CDTF">2022-09-23T08:24:00Z</dcterms:created>
  <dcterms:modified xsi:type="dcterms:W3CDTF">2022-09-23T08:25:00Z</dcterms:modified>
</cp:coreProperties>
</file>