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0FFFA6" w14:textId="615A101E" w:rsidR="0006686C" w:rsidRDefault="0006686C">
      <w:pPr>
        <w:rPr>
          <w:rFonts w:ascii="Times New Roman" w:hAnsi="Times New Roman" w:cs="Times New Roman"/>
          <w:sz w:val="24"/>
          <w:szCs w:val="24"/>
        </w:rPr>
      </w:pPr>
    </w:p>
    <w:p w14:paraId="642D047C" w14:textId="52F4A2A8" w:rsidR="0006686C" w:rsidRDefault="0006686C">
      <w:pPr>
        <w:rPr>
          <w:rFonts w:ascii="Times New Roman" w:hAnsi="Times New Roman" w:cs="Times New Roman"/>
          <w:sz w:val="24"/>
          <w:szCs w:val="24"/>
        </w:rPr>
      </w:pPr>
      <w:r>
        <w:rPr>
          <w:rFonts w:ascii="Times New Roman" w:hAnsi="Times New Roman" w:cs="Times New Roman"/>
          <w:sz w:val="24"/>
          <w:szCs w:val="24"/>
        </w:rPr>
        <w:t>Supplementary Information</w:t>
      </w:r>
      <w:r w:rsidR="0019254B" w:rsidRPr="0019254B">
        <w:rPr>
          <w:rFonts w:ascii="Times New Roman" w:hAnsi="Times New Roman" w:cs="Times New Roman"/>
          <w:sz w:val="24"/>
          <w:szCs w:val="24"/>
        </w:rPr>
        <w:t xml:space="preserve"> for “Prediction of multi-sectoral longitudinal water withdrawals using hierarchical machine learning models,” </w:t>
      </w:r>
    </w:p>
    <w:p w14:paraId="0E10EE23" w14:textId="0B8B7C75" w:rsidR="0006686C" w:rsidRDefault="0006686C">
      <w:pPr>
        <w:rPr>
          <w:rFonts w:ascii="Times New Roman" w:hAnsi="Times New Roman" w:cs="Times New Roman"/>
          <w:i/>
          <w:sz w:val="24"/>
          <w:szCs w:val="24"/>
        </w:rPr>
      </w:pPr>
      <w:r>
        <w:rPr>
          <w:rFonts w:ascii="Times New Roman" w:hAnsi="Times New Roman" w:cs="Times New Roman"/>
          <w:sz w:val="24"/>
          <w:szCs w:val="24"/>
        </w:rPr>
        <w:t xml:space="preserve">Under review in </w:t>
      </w:r>
      <w:r>
        <w:rPr>
          <w:rFonts w:ascii="Times New Roman" w:hAnsi="Times New Roman" w:cs="Times New Roman"/>
          <w:i/>
          <w:sz w:val="24"/>
          <w:szCs w:val="24"/>
        </w:rPr>
        <w:t>Water Resources Management</w:t>
      </w:r>
    </w:p>
    <w:p w14:paraId="01325E76" w14:textId="77777777" w:rsidR="0006686C" w:rsidRPr="0006686C" w:rsidRDefault="0006686C">
      <w:pPr>
        <w:rPr>
          <w:rFonts w:ascii="Times New Roman" w:hAnsi="Times New Roman" w:cs="Times New Roman"/>
          <w:sz w:val="24"/>
          <w:szCs w:val="24"/>
        </w:rPr>
      </w:pPr>
    </w:p>
    <w:p w14:paraId="030BEBC8" w14:textId="77777777" w:rsidR="0006686C" w:rsidRPr="0006686C" w:rsidRDefault="0006686C" w:rsidP="0006686C">
      <w:pPr>
        <w:rPr>
          <w:rFonts w:ascii="Times New Roman" w:hAnsi="Times New Roman" w:cs="Times New Roman"/>
          <w:sz w:val="24"/>
          <w:szCs w:val="24"/>
        </w:rPr>
      </w:pPr>
      <w:r w:rsidRPr="0006686C">
        <w:rPr>
          <w:rFonts w:ascii="Times New Roman" w:hAnsi="Times New Roman" w:cs="Times New Roman"/>
          <w:sz w:val="24"/>
          <w:szCs w:val="24"/>
        </w:rPr>
        <w:t>Julie Shortridge, Department of Biological Systems Engineering, Virginia Tech</w:t>
      </w:r>
    </w:p>
    <w:p w14:paraId="7B610FC6" w14:textId="77777777" w:rsidR="0006686C" w:rsidRPr="0006686C" w:rsidRDefault="0006686C" w:rsidP="0006686C">
      <w:pPr>
        <w:rPr>
          <w:rFonts w:ascii="Times New Roman" w:hAnsi="Times New Roman" w:cs="Times New Roman"/>
          <w:sz w:val="24"/>
          <w:szCs w:val="24"/>
        </w:rPr>
      </w:pPr>
      <w:r w:rsidRPr="0006686C">
        <w:rPr>
          <w:rFonts w:ascii="Times New Roman" w:hAnsi="Times New Roman" w:cs="Times New Roman"/>
          <w:sz w:val="24"/>
          <w:szCs w:val="24"/>
        </w:rPr>
        <w:t>155 Ag Quad Lane</w:t>
      </w:r>
    </w:p>
    <w:p w14:paraId="55A72102" w14:textId="77777777" w:rsidR="0006686C" w:rsidRPr="0006686C" w:rsidRDefault="0006686C" w:rsidP="0006686C">
      <w:pPr>
        <w:rPr>
          <w:rFonts w:ascii="Times New Roman" w:hAnsi="Times New Roman" w:cs="Times New Roman"/>
          <w:sz w:val="24"/>
          <w:szCs w:val="24"/>
        </w:rPr>
      </w:pPr>
      <w:r w:rsidRPr="0006686C">
        <w:rPr>
          <w:rFonts w:ascii="Times New Roman" w:hAnsi="Times New Roman" w:cs="Times New Roman"/>
          <w:sz w:val="24"/>
          <w:szCs w:val="24"/>
        </w:rPr>
        <w:t>Blacksburg, Virginia USA 24061</w:t>
      </w:r>
    </w:p>
    <w:p w14:paraId="07AA20DF" w14:textId="77777777" w:rsidR="0006686C" w:rsidRPr="0006686C" w:rsidRDefault="0006686C" w:rsidP="0006686C">
      <w:pPr>
        <w:rPr>
          <w:rFonts w:ascii="Times New Roman" w:hAnsi="Times New Roman" w:cs="Times New Roman"/>
          <w:sz w:val="24"/>
          <w:szCs w:val="24"/>
        </w:rPr>
      </w:pPr>
      <w:r w:rsidRPr="0006686C">
        <w:rPr>
          <w:rFonts w:ascii="Times New Roman" w:hAnsi="Times New Roman" w:cs="Times New Roman"/>
          <w:sz w:val="24"/>
          <w:szCs w:val="24"/>
        </w:rPr>
        <w:t>jshortridge@vt.edu</w:t>
      </w:r>
    </w:p>
    <w:p w14:paraId="014238BC" w14:textId="045E9310" w:rsidR="0006686C" w:rsidRDefault="0006686C" w:rsidP="0006686C">
      <w:pPr>
        <w:rPr>
          <w:rFonts w:ascii="Times New Roman" w:hAnsi="Times New Roman" w:cs="Times New Roman"/>
          <w:sz w:val="24"/>
          <w:szCs w:val="24"/>
        </w:rPr>
      </w:pPr>
      <w:r w:rsidRPr="0006686C">
        <w:rPr>
          <w:rFonts w:ascii="Times New Roman" w:hAnsi="Times New Roman" w:cs="Times New Roman"/>
          <w:sz w:val="24"/>
          <w:szCs w:val="24"/>
        </w:rPr>
        <w:t>ORCID ID: 0000-0003-1612-5740</w:t>
      </w:r>
    </w:p>
    <w:p w14:paraId="3B3C7726" w14:textId="77777777" w:rsidR="0006686C" w:rsidRDefault="0006686C" w:rsidP="0006686C">
      <w:pPr>
        <w:rPr>
          <w:rFonts w:ascii="Times New Roman" w:hAnsi="Times New Roman" w:cs="Times New Roman"/>
          <w:sz w:val="24"/>
          <w:szCs w:val="24"/>
        </w:rPr>
      </w:pPr>
    </w:p>
    <w:p w14:paraId="445745E6" w14:textId="733524C9" w:rsidR="00E066E7" w:rsidRPr="0019254B" w:rsidRDefault="0006686C">
      <w:pPr>
        <w:rPr>
          <w:rFonts w:ascii="Times New Roman" w:hAnsi="Times New Roman" w:cs="Times New Roman"/>
          <w:sz w:val="24"/>
          <w:szCs w:val="24"/>
        </w:rPr>
      </w:pPr>
      <w:r>
        <w:rPr>
          <w:rFonts w:ascii="Times New Roman" w:hAnsi="Times New Roman" w:cs="Times New Roman"/>
          <w:sz w:val="24"/>
          <w:szCs w:val="24"/>
        </w:rPr>
        <w:t xml:space="preserve">This supplementary information is </w:t>
      </w:r>
      <w:r w:rsidR="0019254B" w:rsidRPr="0019254B">
        <w:rPr>
          <w:rFonts w:ascii="Times New Roman" w:hAnsi="Times New Roman" w:cs="Times New Roman"/>
          <w:sz w:val="24"/>
          <w:szCs w:val="24"/>
        </w:rPr>
        <w:t xml:space="preserve">organized </w:t>
      </w:r>
      <w:r w:rsidR="00E066E7" w:rsidRPr="0019254B">
        <w:rPr>
          <w:rFonts w:ascii="Times New Roman" w:hAnsi="Times New Roman" w:cs="Times New Roman"/>
          <w:sz w:val="24"/>
          <w:szCs w:val="24"/>
        </w:rPr>
        <w:t>as follows:</w:t>
      </w:r>
    </w:p>
    <w:p w14:paraId="3CEB7B3C" w14:textId="7A7E7872" w:rsidR="0019254B" w:rsidRPr="0070514C" w:rsidRDefault="0019254B" w:rsidP="0070514C">
      <w:pPr>
        <w:pStyle w:val="ListParagraph"/>
        <w:numPr>
          <w:ilvl w:val="0"/>
          <w:numId w:val="2"/>
        </w:numPr>
        <w:ind w:left="450"/>
        <w:rPr>
          <w:rFonts w:ascii="Times New Roman" w:hAnsi="Times New Roman" w:cs="Times New Roman"/>
          <w:sz w:val="24"/>
          <w:szCs w:val="24"/>
        </w:rPr>
      </w:pPr>
      <w:r w:rsidRPr="0070514C">
        <w:rPr>
          <w:rFonts w:ascii="Times New Roman" w:hAnsi="Times New Roman" w:cs="Times New Roman"/>
          <w:sz w:val="24"/>
          <w:szCs w:val="24"/>
        </w:rPr>
        <w:t>S1 Predictor Variables</w:t>
      </w:r>
    </w:p>
    <w:p w14:paraId="7D091FB7" w14:textId="1CD64B4A" w:rsidR="0019254B" w:rsidRPr="0070514C" w:rsidRDefault="0019254B" w:rsidP="0070514C">
      <w:pPr>
        <w:pStyle w:val="ListParagraph"/>
        <w:numPr>
          <w:ilvl w:val="1"/>
          <w:numId w:val="2"/>
        </w:numPr>
        <w:ind w:left="1080"/>
        <w:rPr>
          <w:rFonts w:ascii="Times New Roman" w:hAnsi="Times New Roman" w:cs="Times New Roman"/>
          <w:sz w:val="24"/>
          <w:szCs w:val="24"/>
        </w:rPr>
      </w:pPr>
      <w:r w:rsidRPr="0070514C">
        <w:rPr>
          <w:rFonts w:ascii="Times New Roman" w:hAnsi="Times New Roman" w:cs="Times New Roman"/>
          <w:sz w:val="24"/>
          <w:szCs w:val="24"/>
        </w:rPr>
        <w:t>Table S1: Summary of socio-economic predictor variables</w:t>
      </w:r>
    </w:p>
    <w:p w14:paraId="641304C9" w14:textId="7DBE730B" w:rsidR="0019254B" w:rsidRPr="0070514C" w:rsidRDefault="0019254B" w:rsidP="0070514C">
      <w:pPr>
        <w:pStyle w:val="ListParagraph"/>
        <w:numPr>
          <w:ilvl w:val="0"/>
          <w:numId w:val="2"/>
        </w:numPr>
        <w:ind w:left="450"/>
        <w:rPr>
          <w:rFonts w:ascii="Times New Roman" w:hAnsi="Times New Roman" w:cs="Times New Roman"/>
          <w:sz w:val="24"/>
          <w:szCs w:val="24"/>
        </w:rPr>
      </w:pPr>
      <w:r w:rsidRPr="0070514C">
        <w:rPr>
          <w:rFonts w:ascii="Times New Roman" w:hAnsi="Times New Roman" w:cs="Times New Roman"/>
          <w:sz w:val="24"/>
          <w:szCs w:val="24"/>
        </w:rPr>
        <w:t>S2 Facility Clustering Analysis</w:t>
      </w:r>
    </w:p>
    <w:p w14:paraId="0837421A" w14:textId="77777777" w:rsidR="00E066E7" w:rsidRPr="0070514C" w:rsidRDefault="00E066E7" w:rsidP="0070514C">
      <w:pPr>
        <w:pStyle w:val="ListParagraph"/>
        <w:numPr>
          <w:ilvl w:val="1"/>
          <w:numId w:val="2"/>
        </w:numPr>
        <w:ind w:left="1080"/>
        <w:rPr>
          <w:rFonts w:ascii="Times New Roman" w:hAnsi="Times New Roman" w:cs="Times New Roman"/>
          <w:sz w:val="24"/>
          <w:szCs w:val="24"/>
        </w:rPr>
      </w:pPr>
      <w:r w:rsidRPr="0070514C">
        <w:rPr>
          <w:rFonts w:ascii="Times New Roman" w:hAnsi="Times New Roman" w:cs="Times New Roman"/>
          <w:sz w:val="24"/>
          <w:szCs w:val="24"/>
        </w:rPr>
        <w:t>Figure S1: Kernel density plots of facility withdrawal volume</w:t>
      </w:r>
    </w:p>
    <w:p w14:paraId="15DF44B2" w14:textId="77777777" w:rsidR="00E066E7" w:rsidRPr="0070514C" w:rsidRDefault="00E066E7" w:rsidP="0070514C">
      <w:pPr>
        <w:pStyle w:val="ListParagraph"/>
        <w:numPr>
          <w:ilvl w:val="1"/>
          <w:numId w:val="2"/>
        </w:numPr>
        <w:ind w:left="1080"/>
        <w:rPr>
          <w:rFonts w:ascii="Times New Roman" w:hAnsi="Times New Roman" w:cs="Times New Roman"/>
          <w:sz w:val="24"/>
          <w:szCs w:val="24"/>
        </w:rPr>
      </w:pPr>
      <w:r w:rsidRPr="0070514C">
        <w:rPr>
          <w:rFonts w:ascii="Times New Roman" w:hAnsi="Times New Roman" w:cs="Times New Roman"/>
          <w:sz w:val="24"/>
          <w:szCs w:val="24"/>
        </w:rPr>
        <w:t>Figure S2: Kernel density plots of facility coefficient of variation</w:t>
      </w:r>
    </w:p>
    <w:p w14:paraId="6DA60E90" w14:textId="77777777" w:rsidR="00E066E7" w:rsidRPr="0070514C" w:rsidRDefault="00E066E7" w:rsidP="0070514C">
      <w:pPr>
        <w:pStyle w:val="ListParagraph"/>
        <w:numPr>
          <w:ilvl w:val="1"/>
          <w:numId w:val="2"/>
        </w:numPr>
        <w:ind w:left="1080"/>
        <w:rPr>
          <w:rFonts w:ascii="Times New Roman" w:hAnsi="Times New Roman" w:cs="Times New Roman"/>
          <w:sz w:val="24"/>
          <w:szCs w:val="24"/>
        </w:rPr>
      </w:pPr>
      <w:r w:rsidRPr="0070514C">
        <w:rPr>
          <w:rFonts w:ascii="Times New Roman" w:hAnsi="Times New Roman" w:cs="Times New Roman"/>
          <w:sz w:val="24"/>
          <w:szCs w:val="24"/>
        </w:rPr>
        <w:t>Figure S3: Kernel density plots of facility autocorrelation</w:t>
      </w:r>
    </w:p>
    <w:p w14:paraId="1ABA1F94" w14:textId="77777777" w:rsidR="00E066E7" w:rsidRPr="0070514C" w:rsidRDefault="00E066E7" w:rsidP="0070514C">
      <w:pPr>
        <w:pStyle w:val="ListParagraph"/>
        <w:numPr>
          <w:ilvl w:val="1"/>
          <w:numId w:val="2"/>
        </w:numPr>
        <w:ind w:left="1080"/>
        <w:rPr>
          <w:rFonts w:ascii="Times New Roman" w:hAnsi="Times New Roman" w:cs="Times New Roman"/>
          <w:sz w:val="24"/>
          <w:szCs w:val="24"/>
        </w:rPr>
      </w:pPr>
      <w:r w:rsidRPr="0070514C">
        <w:rPr>
          <w:rFonts w:ascii="Times New Roman" w:hAnsi="Times New Roman" w:cs="Times New Roman"/>
          <w:sz w:val="24"/>
          <w:szCs w:val="24"/>
        </w:rPr>
        <w:t>Figure S4: Kernel density plots of facility seasonality</w:t>
      </w:r>
    </w:p>
    <w:p w14:paraId="3AD48E70" w14:textId="77777777" w:rsidR="00E066E7" w:rsidRPr="0070514C" w:rsidRDefault="00E066E7" w:rsidP="0070514C">
      <w:pPr>
        <w:pStyle w:val="ListParagraph"/>
        <w:numPr>
          <w:ilvl w:val="1"/>
          <w:numId w:val="2"/>
        </w:numPr>
        <w:ind w:left="1080"/>
        <w:rPr>
          <w:rFonts w:ascii="Times New Roman" w:hAnsi="Times New Roman" w:cs="Times New Roman"/>
          <w:sz w:val="24"/>
          <w:szCs w:val="24"/>
        </w:rPr>
      </w:pPr>
      <w:r w:rsidRPr="0070514C">
        <w:rPr>
          <w:rFonts w:ascii="Times New Roman" w:hAnsi="Times New Roman" w:cs="Times New Roman"/>
          <w:sz w:val="24"/>
          <w:szCs w:val="24"/>
        </w:rPr>
        <w:t>Figure S5: Plot of cluster gap statistic when grouping facilities into different numbers of clusters</w:t>
      </w:r>
    </w:p>
    <w:p w14:paraId="56CA33B1" w14:textId="3BAE4F8D" w:rsidR="00E066E7" w:rsidRPr="0070514C" w:rsidRDefault="00E066E7" w:rsidP="0070514C">
      <w:pPr>
        <w:pStyle w:val="ListParagraph"/>
        <w:numPr>
          <w:ilvl w:val="1"/>
          <w:numId w:val="2"/>
        </w:numPr>
        <w:ind w:left="1080"/>
        <w:rPr>
          <w:rFonts w:ascii="Times New Roman" w:hAnsi="Times New Roman" w:cs="Times New Roman"/>
          <w:sz w:val="24"/>
          <w:szCs w:val="24"/>
        </w:rPr>
      </w:pPr>
      <w:r w:rsidRPr="0070514C">
        <w:rPr>
          <w:rFonts w:ascii="Times New Roman" w:hAnsi="Times New Roman" w:cs="Times New Roman"/>
          <w:sz w:val="24"/>
          <w:szCs w:val="24"/>
        </w:rPr>
        <w:t>Table S</w:t>
      </w:r>
      <w:r w:rsidR="0019254B" w:rsidRPr="0070514C">
        <w:rPr>
          <w:rFonts w:ascii="Times New Roman" w:hAnsi="Times New Roman" w:cs="Times New Roman"/>
          <w:sz w:val="24"/>
          <w:szCs w:val="24"/>
        </w:rPr>
        <w:t>2</w:t>
      </w:r>
      <w:r w:rsidRPr="0070514C">
        <w:rPr>
          <w:rFonts w:ascii="Times New Roman" w:hAnsi="Times New Roman" w:cs="Times New Roman"/>
          <w:sz w:val="24"/>
          <w:szCs w:val="24"/>
        </w:rPr>
        <w:t>: Correspondence between facility sector and large cluster (k=3) assignment</w:t>
      </w:r>
    </w:p>
    <w:p w14:paraId="4270E7C7" w14:textId="3F33D528" w:rsidR="00E066E7" w:rsidRDefault="00E066E7" w:rsidP="0070514C">
      <w:pPr>
        <w:pStyle w:val="ListParagraph"/>
        <w:numPr>
          <w:ilvl w:val="1"/>
          <w:numId w:val="2"/>
        </w:numPr>
        <w:ind w:left="1080"/>
        <w:rPr>
          <w:rFonts w:ascii="Times New Roman" w:hAnsi="Times New Roman" w:cs="Times New Roman"/>
          <w:sz w:val="24"/>
          <w:szCs w:val="24"/>
        </w:rPr>
      </w:pPr>
      <w:r w:rsidRPr="0070514C">
        <w:rPr>
          <w:rFonts w:ascii="Times New Roman" w:hAnsi="Times New Roman" w:cs="Times New Roman"/>
          <w:sz w:val="24"/>
          <w:szCs w:val="24"/>
        </w:rPr>
        <w:t>Table S</w:t>
      </w:r>
      <w:r w:rsidR="0019254B" w:rsidRPr="0070514C">
        <w:rPr>
          <w:rFonts w:ascii="Times New Roman" w:hAnsi="Times New Roman" w:cs="Times New Roman"/>
          <w:sz w:val="24"/>
          <w:szCs w:val="24"/>
        </w:rPr>
        <w:t>3</w:t>
      </w:r>
      <w:r w:rsidRPr="0070514C">
        <w:rPr>
          <w:rFonts w:ascii="Times New Roman" w:hAnsi="Times New Roman" w:cs="Times New Roman"/>
          <w:sz w:val="24"/>
          <w:szCs w:val="24"/>
        </w:rPr>
        <w:t>: Correspondence between facility sector and small cluster</w:t>
      </w:r>
      <w:r w:rsidR="003E1D14" w:rsidRPr="0070514C">
        <w:rPr>
          <w:rFonts w:ascii="Times New Roman" w:hAnsi="Times New Roman" w:cs="Times New Roman"/>
          <w:sz w:val="24"/>
          <w:szCs w:val="24"/>
        </w:rPr>
        <w:t xml:space="preserve"> (k=8)</w:t>
      </w:r>
      <w:r w:rsidRPr="0070514C">
        <w:rPr>
          <w:rFonts w:ascii="Times New Roman" w:hAnsi="Times New Roman" w:cs="Times New Roman"/>
          <w:sz w:val="24"/>
          <w:szCs w:val="24"/>
        </w:rPr>
        <w:t xml:space="preserve"> assignment </w:t>
      </w:r>
    </w:p>
    <w:p w14:paraId="428547E8" w14:textId="325FA3F8" w:rsidR="0006686C" w:rsidRPr="0070514C" w:rsidRDefault="0006686C" w:rsidP="0006686C">
      <w:pPr>
        <w:pStyle w:val="ListParagraph"/>
        <w:numPr>
          <w:ilvl w:val="0"/>
          <w:numId w:val="2"/>
        </w:numPr>
        <w:ind w:left="450"/>
        <w:rPr>
          <w:rFonts w:ascii="Times New Roman" w:hAnsi="Times New Roman" w:cs="Times New Roman"/>
          <w:sz w:val="24"/>
          <w:szCs w:val="24"/>
        </w:rPr>
      </w:pPr>
      <w:r>
        <w:rPr>
          <w:rFonts w:ascii="Times New Roman" w:hAnsi="Times New Roman" w:cs="Times New Roman"/>
          <w:sz w:val="24"/>
          <w:szCs w:val="24"/>
        </w:rPr>
        <w:t>S3 References Cited</w:t>
      </w:r>
    </w:p>
    <w:p w14:paraId="3C3F2F4C" w14:textId="5F065B89" w:rsidR="0019254B" w:rsidRPr="0019254B" w:rsidRDefault="0019254B">
      <w:pPr>
        <w:rPr>
          <w:rFonts w:ascii="Times New Roman" w:hAnsi="Times New Roman" w:cs="Times New Roman"/>
          <w:sz w:val="24"/>
          <w:szCs w:val="24"/>
        </w:rPr>
      </w:pPr>
    </w:p>
    <w:p w14:paraId="11F28A50" w14:textId="20B0D5FD" w:rsidR="0019254B" w:rsidRPr="0019254B" w:rsidRDefault="0019254B">
      <w:pPr>
        <w:rPr>
          <w:rFonts w:ascii="Times New Roman" w:hAnsi="Times New Roman" w:cs="Times New Roman"/>
          <w:sz w:val="24"/>
          <w:szCs w:val="24"/>
        </w:rPr>
      </w:pPr>
      <w:r w:rsidRPr="0019254B">
        <w:rPr>
          <w:rFonts w:ascii="Times New Roman" w:hAnsi="Times New Roman" w:cs="Times New Roman"/>
          <w:sz w:val="24"/>
          <w:szCs w:val="24"/>
        </w:rPr>
        <w:br w:type="page"/>
      </w:r>
    </w:p>
    <w:p w14:paraId="3B0E03DB" w14:textId="43EC3536" w:rsidR="0019254B" w:rsidRPr="0019254B" w:rsidRDefault="0006686C">
      <w:pPr>
        <w:rPr>
          <w:rFonts w:ascii="Times New Roman" w:hAnsi="Times New Roman" w:cs="Times New Roman"/>
          <w:b/>
          <w:sz w:val="24"/>
          <w:szCs w:val="24"/>
        </w:rPr>
      </w:pPr>
      <w:r>
        <w:rPr>
          <w:rFonts w:ascii="Times New Roman" w:hAnsi="Times New Roman" w:cs="Times New Roman"/>
          <w:b/>
          <w:sz w:val="24"/>
          <w:szCs w:val="24"/>
        </w:rPr>
        <w:lastRenderedPageBreak/>
        <w:t>S</w:t>
      </w:r>
      <w:r w:rsidR="0019254B" w:rsidRPr="0019254B">
        <w:rPr>
          <w:rFonts w:ascii="Times New Roman" w:hAnsi="Times New Roman" w:cs="Times New Roman"/>
          <w:b/>
          <w:sz w:val="24"/>
          <w:szCs w:val="24"/>
        </w:rPr>
        <w:t>1. Predictor Variables</w:t>
      </w:r>
    </w:p>
    <w:p w14:paraId="6B5B3BB2" w14:textId="7B1FA692" w:rsidR="0019254B" w:rsidRPr="0019254B" w:rsidRDefault="0019254B" w:rsidP="0019254B">
      <w:pPr>
        <w:spacing w:line="480" w:lineRule="auto"/>
        <w:ind w:firstLine="720"/>
        <w:rPr>
          <w:rFonts w:ascii="Times New Roman" w:hAnsi="Times New Roman" w:cs="Times New Roman"/>
          <w:sz w:val="24"/>
          <w:szCs w:val="24"/>
        </w:rPr>
      </w:pPr>
      <w:r w:rsidRPr="0019254B">
        <w:rPr>
          <w:rFonts w:ascii="Times New Roman" w:hAnsi="Times New Roman" w:cs="Times New Roman"/>
          <w:sz w:val="24"/>
          <w:szCs w:val="24"/>
        </w:rPr>
        <w:t xml:space="preserve">A total of thirteen socio-economic and four climatic predictor variables were included as potential predictors of water withdrawal. Socio-economic variables are summarized in Table </w:t>
      </w:r>
      <w:r>
        <w:rPr>
          <w:rFonts w:ascii="Times New Roman" w:hAnsi="Times New Roman" w:cs="Times New Roman"/>
          <w:sz w:val="24"/>
          <w:szCs w:val="24"/>
        </w:rPr>
        <w:t>S1</w:t>
      </w:r>
      <w:r w:rsidRPr="0019254B">
        <w:rPr>
          <w:rFonts w:ascii="Times New Roman" w:hAnsi="Times New Roman" w:cs="Times New Roman"/>
          <w:sz w:val="24"/>
          <w:szCs w:val="24"/>
        </w:rPr>
        <w:t xml:space="preserve">. These variables represented a variety of population, economic, and land-use characteristics that have been shown to have relationships with water withdrawals in previous research </w:t>
      </w:r>
      <w:r w:rsidR="0006686C">
        <w:rPr>
          <w:rFonts w:ascii="Times New Roman" w:hAnsi="Times New Roman" w:cs="Times New Roman"/>
          <w:sz w:val="24"/>
          <w:szCs w:val="24"/>
        </w:rPr>
        <w:fldChar w:fldCharType="begin"/>
      </w:r>
      <w:r w:rsidR="0006686C">
        <w:rPr>
          <w:rFonts w:ascii="Times New Roman" w:hAnsi="Times New Roman" w:cs="Times New Roman"/>
          <w:sz w:val="24"/>
          <w:szCs w:val="24"/>
        </w:rPr>
        <w:instrText xml:space="preserve"> ADDIN ZOTERO_ITEM CSL_CITATION {"citationID":"BedmgQ3T","properties":{"formattedCitation":"(Sankarasubramanian et al., 2017; Shortridge &amp; DiCarlo, 2020; Worland et al., 2018)","plainCitation":"(Sankarasubramanian et al., 2017; Shortridge &amp; DiCarlo, 2020; Worland et al., 2018)","dontUpdate":true,"noteIndex":0},"citationItems":[{"id":1515,"uris":["http://zotero.org/users/2386190/items/ZY3CGKAI"],"uri":["http://zotero.org/users/2386190/items/ZY3CGKAI"],"itemData":{"id":1515,"type":"article-journal","abstract":"Recent U.S. Geological Survey water-use report suggests that increasing water-use eﬃciency could mitigate the supply-and-demand imbalance arising from changing climate and growing population. However, this rich data have neither analyzed to understand the underlying patterns, nor have been investigated to identify the factors contributing to this increased eﬃciency. A national-scale synthesis of public supply withdrawals (“withdrawals”) reveals a strong North–south gradient in public supply water use with the increasing population in the South contributing to increased withdrawal. Contrastingly, a reverse South–north gradient exists in per capita withdrawals (“eﬃciency”), with northern states consistently improving the eﬃciency, while the southern states’ eﬃciency declined. Our analyses of spatial patterns of per capita withdrawals further demonstrate that urban counties exhibit improved eﬃciency over rural counties. Improved eﬃciency is also demonstrated over high-income and well-educated counties. Given the potential implications of the ﬁndings in developing long-term water conservation measures (i.e., increasing block rates), we argue the need for frequent updates, perhaps monthly to annual, of water-use data for identifying eﬀective strategies that control the water-use eﬃciency in various geographic settings under a changing climate.","container-title":"Earth's Future","DOI":"10.1002/2016EF000511","ISSN":"23284277","issue":"7","language":"en","page":"771-788","source":"Crossref","title":"Synthesis of public water supply use in the United States: Spatio-temporal patterns and socio-economic controls","title-short":"Synthesis of public water supply use in the United States","volume":"5","author":[{"family":"Sankarasubramanian","given":"A."},{"family":"Sabo","given":"J. L."},{"family":"Larson","given":"K. L."},{"family":"Seo","given":"S. B."},{"family":"Sinha","given":"T."},{"family":"Bhowmik","given":"R."},{"family":"Vidal","given":"A. Ruhi"},{"family":"Kunkel","given":"K."},{"family":"Mahinthakumar","given":"G."},{"family":"Berglund","given":"E. Z."},{"family":"Kominoski","given":"J."}],"issued":{"date-parts":[["2017",7]]}}},{"id":1972,"uris":["http://zotero.org/users/2386190/items/5H4PLC9V"],"uri":["http://zotero.org/users/2386190/items/5H4PLC9V"],"itemData":{"id":1972,"type":"article-journal","abstract":"Sustainable water management requires understanding the factors that influence water use across multiple time scales, spatial scales, and types of use. However, existing empirical research on water use largely consists of studies at either the municipal or national scale, leaving a sizeable gap at intermediate scales important for planning (e.g., watershed, state, and basin level). This work addresses this gap by using a mixed-effect panel regression of monthly water withdrawals in Virginia to evaluate how well statistical modeling approaches can characterize and explain multisectoral withdrawals. Model fit is high across all sectors, suggesting that statistical models can be effective at these scales as long as they are formulated in a manner that accounts for significant variance in withdrawal volumes and temporal trends. Multiple climatic and economic variables are found to be significantly associated with withdrawals in all sectors evaluated. These relationships suggest that withdrawals in humid regions exhibit similar sensitivities to arid regions that have been the focus of more research and that incorporating economic factors is particularly important for estimating energy and industrial water withdrawals.","container-title":"Journal of Water Resources Planning and Management","DOI":"10.1061/(ASCE)WR.1943-5452.0001175","ISSN":"1943-5452","issue":"3","language":"EN","note":"publisher: American Society of Civil Engineers","page":"04020002","source":"ASCE","title":"Characterizing Trends, Variability, and Statistical Drivers of Multisectoral Water Withdrawals for Statewide Planning","volume":"146","author":[{"family":"Shortridge","given":"Julie"},{"family":"DiCarlo","given":"Morgan Faye"}],"issued":{"date-parts":[["2020",3,1]]}}},{"id":1513,"uris":["http://zotero.org/users/2386190/items/8SMZ6NVC"],"uri":["http://zotero.org/users/2386190/items/8SMZ6NVC"],"itemData":{"id":1513,"type":"article-journal","abstract":"This study explores the relationship between municipal water use and an array of climate, economic, behavioral, and policy variables across the contiguous U.S. The relationship is explored using Bayesian-hierarchical regression models for over 2,500 counties, 18 covariates, and three higher-level grouping variables. Additionally, a second analysis is included for 83 cities where water price and water conservation policy information is available. A hierarchical model using the nine climate regions (product of National Oceanic and Atmospheric Administration) as the higher-level groups results in the best out-of-sample performance, as estimated by the Widely Available Information Criterion, compared to counties grouped by urban continuum classiﬁcation or primary economic activity. The regression coefﬁcients indicate that the controls on water use are not uniform across the nation: e.g., counties in the Northeast and Northwest climate regions are more sensitive to social variables, whereas counties in the Southwest and East North Central climate regions are more sensitive to environmental variables. For the national city-level model, it appears that arid cities with a high cost of living and relatively low water bills sell more water per customer, but as with the county-level model, the effect of each variable depends heavily on where a city is located.","container-title":"Water Resources Research","DOI":"10.1002/2017WR021268","ISSN":"0043-1397, 1944-7973","issue":"3","language":"en","page":"1868-1889","source":"Crossref","title":"Drivers of Variability in Public‐Supply Water Use Across the Contiguous United States","volume":"54","author":[{"family":"Worland","given":"Scott C."},{"family":"Steinschneider","given":"Scott"},{"family":"Hornberger","given":"George M."}],"issued":{"date-parts":[["2018",3]]}}}],"schema":"https://github.com/citation-style-language/schema/raw/master/csl-citation.json"} </w:instrText>
      </w:r>
      <w:r w:rsidR="0006686C">
        <w:rPr>
          <w:rFonts w:ascii="Times New Roman" w:hAnsi="Times New Roman" w:cs="Times New Roman"/>
          <w:sz w:val="24"/>
          <w:szCs w:val="24"/>
        </w:rPr>
        <w:fldChar w:fldCharType="separate"/>
      </w:r>
      <w:r w:rsidR="0006686C" w:rsidRPr="0006686C">
        <w:rPr>
          <w:rFonts w:ascii="Times New Roman" w:hAnsi="Times New Roman" w:cs="Times New Roman"/>
          <w:sz w:val="24"/>
        </w:rPr>
        <w:t>(</w:t>
      </w:r>
      <w:r w:rsidR="0006686C">
        <w:rPr>
          <w:rFonts w:ascii="Times New Roman" w:hAnsi="Times New Roman" w:cs="Times New Roman"/>
          <w:sz w:val="24"/>
        </w:rPr>
        <w:t xml:space="preserve">e.g., </w:t>
      </w:r>
      <w:proofErr w:type="spellStart"/>
      <w:r w:rsidR="0006686C" w:rsidRPr="0006686C">
        <w:rPr>
          <w:rFonts w:ascii="Times New Roman" w:hAnsi="Times New Roman" w:cs="Times New Roman"/>
          <w:sz w:val="24"/>
        </w:rPr>
        <w:t>Sankarasubramanian</w:t>
      </w:r>
      <w:proofErr w:type="spellEnd"/>
      <w:r w:rsidR="0006686C" w:rsidRPr="0006686C">
        <w:rPr>
          <w:rFonts w:ascii="Times New Roman" w:hAnsi="Times New Roman" w:cs="Times New Roman"/>
          <w:sz w:val="24"/>
        </w:rPr>
        <w:t xml:space="preserve"> et al., 2017; Shortridge &amp; DiCarlo, 2020; Worland et al., 2018)</w:t>
      </w:r>
      <w:r w:rsidR="0006686C">
        <w:rPr>
          <w:rFonts w:ascii="Times New Roman" w:hAnsi="Times New Roman" w:cs="Times New Roman"/>
          <w:sz w:val="24"/>
          <w:szCs w:val="24"/>
        </w:rPr>
        <w:fldChar w:fldCharType="end"/>
      </w:r>
      <w:r w:rsidRPr="0019254B">
        <w:rPr>
          <w:rFonts w:ascii="Times New Roman" w:hAnsi="Times New Roman" w:cs="Times New Roman"/>
          <w:sz w:val="24"/>
          <w:szCs w:val="24"/>
        </w:rPr>
        <w:t xml:space="preserve">. Socio-economic predictor variables were obtained from the U.S. Census </w:t>
      </w:r>
      <w:r w:rsidR="0006686C">
        <w:rPr>
          <w:rFonts w:ascii="Times New Roman" w:hAnsi="Times New Roman" w:cs="Times New Roman"/>
          <w:sz w:val="24"/>
          <w:szCs w:val="24"/>
        </w:rPr>
        <w:fldChar w:fldCharType="begin"/>
      </w:r>
      <w:r w:rsidR="0006686C">
        <w:rPr>
          <w:rFonts w:ascii="Times New Roman" w:hAnsi="Times New Roman" w:cs="Times New Roman"/>
          <w:sz w:val="24"/>
          <w:szCs w:val="24"/>
        </w:rPr>
        <w:instrText xml:space="preserve"> ADDIN ZOTERO_ITEM CSL_CITATION {"citationID":"Y1pkTZRF","properties":{"formattedCitation":"(US Census Bureau, 2022)","plainCitation":"(US Census Bureau, 2022)","noteIndex":0},"citationItems":[{"id":2601,"uris":["http://zotero.org/users/2386190/items/5VE7GHQU"],"uri":["http://zotero.org/users/2386190/items/5VE7GHQU"],"itemData":{"id":2601,"type":"webpage","abstract":"Access demographic, economic and population data from the U.S. Census Bureau. Explore census data with visualizations and view tutorials.","container-title":"US Census Data","note":"section: Government","title":"United States Census Data","URL":"https://data.census.gov/cedsci/","author":[{"literal":"US Census Bureau"}],"accessed":{"date-parts":[["2022",6,24]]},"issued":{"date-parts":[["2022"]]}}}],"schema":"https://github.com/citation-style-language/schema/raw/master/csl-citation.json"} </w:instrText>
      </w:r>
      <w:r w:rsidR="0006686C">
        <w:rPr>
          <w:rFonts w:ascii="Times New Roman" w:hAnsi="Times New Roman" w:cs="Times New Roman"/>
          <w:sz w:val="24"/>
          <w:szCs w:val="24"/>
        </w:rPr>
        <w:fldChar w:fldCharType="separate"/>
      </w:r>
      <w:r w:rsidR="0006686C" w:rsidRPr="0006686C">
        <w:rPr>
          <w:rFonts w:ascii="Times New Roman" w:hAnsi="Times New Roman" w:cs="Times New Roman"/>
          <w:sz w:val="24"/>
        </w:rPr>
        <w:t>(US Census Bureau, 2022)</w:t>
      </w:r>
      <w:r w:rsidR="0006686C">
        <w:rPr>
          <w:rFonts w:ascii="Times New Roman" w:hAnsi="Times New Roman" w:cs="Times New Roman"/>
          <w:sz w:val="24"/>
          <w:szCs w:val="24"/>
        </w:rPr>
        <w:fldChar w:fldCharType="end"/>
      </w:r>
      <w:r w:rsidR="0006686C">
        <w:rPr>
          <w:rFonts w:ascii="Times New Roman" w:hAnsi="Times New Roman" w:cs="Times New Roman"/>
          <w:sz w:val="24"/>
          <w:szCs w:val="24"/>
        </w:rPr>
        <w:t>,</w:t>
      </w:r>
      <w:r w:rsidRPr="0019254B">
        <w:rPr>
          <w:rFonts w:ascii="Times New Roman" w:hAnsi="Times New Roman" w:cs="Times New Roman"/>
          <w:sz w:val="24"/>
          <w:szCs w:val="24"/>
        </w:rPr>
        <w:t xml:space="preserve"> U.S. Bureau of Economic Analysis </w:t>
      </w:r>
      <w:r w:rsidR="0006686C">
        <w:rPr>
          <w:rFonts w:ascii="Times New Roman" w:hAnsi="Times New Roman" w:cs="Times New Roman"/>
          <w:sz w:val="24"/>
          <w:szCs w:val="24"/>
        </w:rPr>
        <w:fldChar w:fldCharType="begin"/>
      </w:r>
      <w:r w:rsidR="0006686C">
        <w:rPr>
          <w:rFonts w:ascii="Times New Roman" w:hAnsi="Times New Roman" w:cs="Times New Roman"/>
          <w:sz w:val="24"/>
          <w:szCs w:val="24"/>
        </w:rPr>
        <w:instrText xml:space="preserve"> ADDIN ZOTERO_ITEM CSL_CITATION {"citationID":"zmXNHf2y","properties":{"formattedCitation":"(US Bureau of Economic Analysis, 2022)","plainCitation":"(US Bureau of Economic Analysis, 2022)","noteIndex":0},"citationItems":[{"id":2603,"uris":["http://zotero.org/users/2386190/items/6CVGCVBV"],"uri":["http://zotero.org/users/2386190/items/6CVGCVBV"],"itemData":{"id":2603,"type":"webpage","container-title":"BEA Data","title":"BEA Data","URL":"https://www.bea.gov/data","author":[{"literal":"US Bureau of Economic Analysis"}],"accessed":{"date-parts":[["2022",6,24]]},"issued":{"date-parts":[["2022"]]}}}],"schema":"https://github.com/citation-style-language/schema/raw/master/csl-citation.json"} </w:instrText>
      </w:r>
      <w:r w:rsidR="0006686C">
        <w:rPr>
          <w:rFonts w:ascii="Times New Roman" w:hAnsi="Times New Roman" w:cs="Times New Roman"/>
          <w:sz w:val="24"/>
          <w:szCs w:val="24"/>
        </w:rPr>
        <w:fldChar w:fldCharType="separate"/>
      </w:r>
      <w:r w:rsidR="0006686C" w:rsidRPr="0006686C">
        <w:rPr>
          <w:rFonts w:ascii="Times New Roman" w:hAnsi="Times New Roman" w:cs="Times New Roman"/>
          <w:sz w:val="24"/>
        </w:rPr>
        <w:t>(US Bureau of Economic Analysis, 2022)</w:t>
      </w:r>
      <w:r w:rsidR="0006686C">
        <w:rPr>
          <w:rFonts w:ascii="Times New Roman" w:hAnsi="Times New Roman" w:cs="Times New Roman"/>
          <w:sz w:val="24"/>
          <w:szCs w:val="24"/>
        </w:rPr>
        <w:fldChar w:fldCharType="end"/>
      </w:r>
      <w:r w:rsidRPr="0019254B">
        <w:rPr>
          <w:rFonts w:ascii="Times New Roman" w:hAnsi="Times New Roman" w:cs="Times New Roman"/>
          <w:sz w:val="24"/>
          <w:szCs w:val="24"/>
        </w:rPr>
        <w:t>, USDA National Agricultural Statistics Service</w:t>
      </w:r>
      <w:r w:rsidR="0006686C">
        <w:rPr>
          <w:rFonts w:ascii="Times New Roman" w:hAnsi="Times New Roman" w:cs="Times New Roman"/>
          <w:sz w:val="24"/>
          <w:szCs w:val="24"/>
        </w:rPr>
        <w:t xml:space="preserve"> </w:t>
      </w:r>
      <w:r w:rsidR="0006686C">
        <w:rPr>
          <w:rFonts w:ascii="Times New Roman" w:hAnsi="Times New Roman" w:cs="Times New Roman"/>
          <w:sz w:val="24"/>
          <w:szCs w:val="24"/>
        </w:rPr>
        <w:fldChar w:fldCharType="begin"/>
      </w:r>
      <w:r w:rsidR="0006686C">
        <w:rPr>
          <w:rFonts w:ascii="Times New Roman" w:hAnsi="Times New Roman" w:cs="Times New Roman"/>
          <w:sz w:val="24"/>
          <w:szCs w:val="24"/>
        </w:rPr>
        <w:instrText xml:space="preserve"> ADDIN ZOTERO_ITEM CSL_CITATION {"citationID":"lT2SyGJA","properties":{"formattedCitation":"(United States Department of Agriculture, 2018)","plainCitation":"(United States Department of Agriculture, 2018)","noteIndex":0},"citationItems":[{"id":1084,"uris":["http://zotero.org/users/2386190/items/T6ER9XGT"],"uri":["http://zotero.org/users/2386190/items/T6ER9XGT"],"itemData":{"id":1084,"type":"webpage","title":"USDA National Agricultural Statistics Service Quick Stats database","URL":"https://quickstats.nass.usda.gov/","author":[{"family":"United States Department of Agriculture","given":""}],"accessed":{"date-parts":[["2018",5,18]]},"issued":{"date-parts":[["2018"]]}}}],"schema":"https://github.com/citation-style-language/schema/raw/master/csl-citation.json"} </w:instrText>
      </w:r>
      <w:r w:rsidR="0006686C">
        <w:rPr>
          <w:rFonts w:ascii="Times New Roman" w:hAnsi="Times New Roman" w:cs="Times New Roman"/>
          <w:sz w:val="24"/>
          <w:szCs w:val="24"/>
        </w:rPr>
        <w:fldChar w:fldCharType="separate"/>
      </w:r>
      <w:r w:rsidR="0006686C" w:rsidRPr="0006686C">
        <w:rPr>
          <w:rFonts w:ascii="Times New Roman" w:hAnsi="Times New Roman" w:cs="Times New Roman"/>
          <w:sz w:val="24"/>
        </w:rPr>
        <w:t>(United States Department of Agriculture, 2018)</w:t>
      </w:r>
      <w:r w:rsidR="0006686C">
        <w:rPr>
          <w:rFonts w:ascii="Times New Roman" w:hAnsi="Times New Roman" w:cs="Times New Roman"/>
          <w:sz w:val="24"/>
          <w:szCs w:val="24"/>
        </w:rPr>
        <w:fldChar w:fldCharType="end"/>
      </w:r>
      <w:r w:rsidRPr="0019254B">
        <w:rPr>
          <w:rFonts w:ascii="Times New Roman" w:hAnsi="Times New Roman" w:cs="Times New Roman"/>
          <w:sz w:val="24"/>
          <w:szCs w:val="24"/>
        </w:rPr>
        <w:t xml:space="preserve">, the USGS </w:t>
      </w:r>
      <w:proofErr w:type="spellStart"/>
      <w:r w:rsidRPr="0019254B">
        <w:rPr>
          <w:rFonts w:ascii="Times New Roman" w:hAnsi="Times New Roman" w:cs="Times New Roman"/>
          <w:sz w:val="24"/>
          <w:szCs w:val="24"/>
        </w:rPr>
        <w:t>FORecasting</w:t>
      </w:r>
      <w:proofErr w:type="spellEnd"/>
      <w:r w:rsidRPr="0019254B">
        <w:rPr>
          <w:rFonts w:ascii="Times New Roman" w:hAnsi="Times New Roman" w:cs="Times New Roman"/>
          <w:sz w:val="24"/>
          <w:szCs w:val="24"/>
        </w:rPr>
        <w:t xml:space="preserve"> </w:t>
      </w:r>
      <w:proofErr w:type="spellStart"/>
      <w:r w:rsidRPr="0019254B">
        <w:rPr>
          <w:rFonts w:ascii="Times New Roman" w:hAnsi="Times New Roman" w:cs="Times New Roman"/>
          <w:sz w:val="24"/>
          <w:szCs w:val="24"/>
        </w:rPr>
        <w:t>SCEnarios</w:t>
      </w:r>
      <w:proofErr w:type="spellEnd"/>
      <w:r w:rsidRPr="0019254B">
        <w:rPr>
          <w:rFonts w:ascii="Times New Roman" w:hAnsi="Times New Roman" w:cs="Times New Roman"/>
          <w:sz w:val="24"/>
          <w:szCs w:val="24"/>
        </w:rPr>
        <w:t xml:space="preserve"> of Land-use Change (FORE-SCE) model </w:t>
      </w:r>
      <w:r w:rsidR="0006686C">
        <w:rPr>
          <w:rFonts w:ascii="Times New Roman" w:hAnsi="Times New Roman" w:cs="Times New Roman"/>
          <w:sz w:val="24"/>
          <w:szCs w:val="24"/>
        </w:rPr>
        <w:fldChar w:fldCharType="begin"/>
      </w:r>
      <w:r w:rsidR="0006686C">
        <w:rPr>
          <w:rFonts w:ascii="Times New Roman" w:hAnsi="Times New Roman" w:cs="Times New Roman"/>
          <w:sz w:val="24"/>
          <w:szCs w:val="24"/>
        </w:rPr>
        <w:instrText xml:space="preserve"> ADDIN ZOTERO_ITEM CSL_CITATION {"citationID":"Cl2IOd4q","properties":{"formattedCitation":"(Sohl et al., 2007)","plainCitation":"(Sohl et al., 2007)","noteIndex":0},"citationItems":[{"id":1655,"uris":["http://zotero.org/users/2386190/items/6ZUX5HII"],"uri":["http://zotero.org/users/2386190/items/6ZUX5HII"],"itemData":{"id":1655,"type":"article-journal","container-title":"Journal of Land Use Science","DOI":"10.1080/17474230701218202","ISSN":"1747-423X, 1747-4248","issue":"2","language":"en","page":"103-126","source":"Crossref","title":"The FORE-SCE model: a practical approach for projecting land cover change using scenario-based modeling","title-short":"The FORE-SCE model","volume":"2","author":[{"family":"Sohl","given":"Terry L."},{"family":"Sayler","given":"Kristi L."},{"family":"Drummond","given":"Mark A."},{"family":"Loveland","given":"Thomas R."}],"issued":{"date-parts":[["2007",6,26]]}}}],"schema":"https://github.com/citation-style-language/schema/raw/master/csl-citation.json"} </w:instrText>
      </w:r>
      <w:r w:rsidR="0006686C">
        <w:rPr>
          <w:rFonts w:ascii="Times New Roman" w:hAnsi="Times New Roman" w:cs="Times New Roman"/>
          <w:sz w:val="24"/>
          <w:szCs w:val="24"/>
        </w:rPr>
        <w:fldChar w:fldCharType="separate"/>
      </w:r>
      <w:r w:rsidR="0006686C" w:rsidRPr="0006686C">
        <w:rPr>
          <w:rFonts w:ascii="Times New Roman" w:hAnsi="Times New Roman" w:cs="Times New Roman"/>
          <w:sz w:val="24"/>
        </w:rPr>
        <w:t>(</w:t>
      </w:r>
      <w:proofErr w:type="spellStart"/>
      <w:r w:rsidR="0006686C" w:rsidRPr="0006686C">
        <w:rPr>
          <w:rFonts w:ascii="Times New Roman" w:hAnsi="Times New Roman" w:cs="Times New Roman"/>
          <w:sz w:val="24"/>
        </w:rPr>
        <w:t>Sohl</w:t>
      </w:r>
      <w:proofErr w:type="spellEnd"/>
      <w:r w:rsidR="0006686C" w:rsidRPr="0006686C">
        <w:rPr>
          <w:rFonts w:ascii="Times New Roman" w:hAnsi="Times New Roman" w:cs="Times New Roman"/>
          <w:sz w:val="24"/>
        </w:rPr>
        <w:t xml:space="preserve"> et al., 2007)</w:t>
      </w:r>
      <w:r w:rsidR="0006686C">
        <w:rPr>
          <w:rFonts w:ascii="Times New Roman" w:hAnsi="Times New Roman" w:cs="Times New Roman"/>
          <w:sz w:val="24"/>
          <w:szCs w:val="24"/>
        </w:rPr>
        <w:fldChar w:fldCharType="end"/>
      </w:r>
      <w:r w:rsidRPr="0019254B">
        <w:rPr>
          <w:rFonts w:ascii="Times New Roman" w:hAnsi="Times New Roman" w:cs="Times New Roman"/>
          <w:sz w:val="24"/>
          <w:szCs w:val="24"/>
        </w:rPr>
        <w:t xml:space="preserve">, and the U.S. Energy Information Administration </w:t>
      </w:r>
      <w:r w:rsidR="0006686C">
        <w:rPr>
          <w:rFonts w:ascii="Times New Roman" w:hAnsi="Times New Roman" w:cs="Times New Roman"/>
          <w:sz w:val="24"/>
          <w:szCs w:val="24"/>
        </w:rPr>
        <w:fldChar w:fldCharType="begin"/>
      </w:r>
      <w:r w:rsidR="0006686C">
        <w:rPr>
          <w:rFonts w:ascii="Times New Roman" w:hAnsi="Times New Roman" w:cs="Times New Roman"/>
          <w:sz w:val="24"/>
          <w:szCs w:val="24"/>
        </w:rPr>
        <w:instrText xml:space="preserve"> ADDIN ZOTERO_ITEM CSL_CITATION {"citationID":"2fB2MzYO","properties":{"formattedCitation":"(US Energy Information Administration, 2022)","plainCitation":"(US Energy Information Administration, 2022)","noteIndex":0},"citationItems":[{"id":2605,"uris":["http://zotero.org/users/2386190/items/VMCHYXIJ"],"uri":["http://zotero.org/users/2386190/items/VMCHYXIJ"],"itemData":{"id":2605,"type":"webpage","abstract":"Energy Information Administration - EIA - Official Energy Statistics from the U.S. Government","container-title":"Data Tools, Apps, and Maps","title":"Data Tools, Apps, and Maps - U.S. Energy Information Administration","URL":"https://www.eia.gov/tools/index.php","author":[{"family":"US Energy Information Administration","given":""}],"accessed":{"date-parts":[["2022",6,24]]},"issued":{"date-parts":[["2022"]]}}}],"schema":"https://github.com/citation-style-language/schema/raw/master/csl-citation.json"} </w:instrText>
      </w:r>
      <w:r w:rsidR="0006686C">
        <w:rPr>
          <w:rFonts w:ascii="Times New Roman" w:hAnsi="Times New Roman" w:cs="Times New Roman"/>
          <w:sz w:val="24"/>
          <w:szCs w:val="24"/>
        </w:rPr>
        <w:fldChar w:fldCharType="separate"/>
      </w:r>
      <w:r w:rsidR="0006686C" w:rsidRPr="0006686C">
        <w:rPr>
          <w:rFonts w:ascii="Times New Roman" w:hAnsi="Times New Roman" w:cs="Times New Roman"/>
          <w:sz w:val="24"/>
        </w:rPr>
        <w:t>(US Energy Information Administration, 2022)</w:t>
      </w:r>
      <w:r w:rsidR="0006686C">
        <w:rPr>
          <w:rFonts w:ascii="Times New Roman" w:hAnsi="Times New Roman" w:cs="Times New Roman"/>
          <w:sz w:val="24"/>
          <w:szCs w:val="24"/>
        </w:rPr>
        <w:fldChar w:fldCharType="end"/>
      </w:r>
      <w:r w:rsidR="0006686C">
        <w:rPr>
          <w:rFonts w:ascii="Times New Roman" w:hAnsi="Times New Roman" w:cs="Times New Roman"/>
          <w:sz w:val="24"/>
          <w:szCs w:val="24"/>
        </w:rPr>
        <w:t>.</w:t>
      </w:r>
      <w:r w:rsidRPr="0019254B">
        <w:rPr>
          <w:rFonts w:ascii="Times New Roman" w:hAnsi="Times New Roman" w:cs="Times New Roman"/>
          <w:sz w:val="24"/>
          <w:szCs w:val="24"/>
        </w:rPr>
        <w:t xml:space="preserve"> Predictor variables that exhibited trends through time were linearly detrended prior to inclusion in the model (see Table </w:t>
      </w:r>
      <w:r>
        <w:rPr>
          <w:rFonts w:ascii="Times New Roman" w:hAnsi="Times New Roman" w:cs="Times New Roman"/>
          <w:sz w:val="24"/>
          <w:szCs w:val="24"/>
        </w:rPr>
        <w:t>S1</w:t>
      </w:r>
      <w:r w:rsidRPr="0019254B">
        <w:rPr>
          <w:rFonts w:ascii="Times New Roman" w:hAnsi="Times New Roman" w:cs="Times New Roman"/>
          <w:sz w:val="24"/>
          <w:szCs w:val="24"/>
        </w:rPr>
        <w:t xml:space="preserve">). </w:t>
      </w:r>
    </w:p>
    <w:p w14:paraId="260E120D" w14:textId="594DDE88" w:rsidR="0019254B" w:rsidRPr="0019254B" w:rsidRDefault="0019254B" w:rsidP="0019254B">
      <w:pPr>
        <w:spacing w:line="480" w:lineRule="auto"/>
        <w:rPr>
          <w:rFonts w:ascii="Times New Roman" w:hAnsi="Times New Roman" w:cs="Times New Roman"/>
          <w:sz w:val="24"/>
          <w:szCs w:val="24"/>
        </w:rPr>
      </w:pPr>
      <w:r w:rsidRPr="0019254B">
        <w:rPr>
          <w:rFonts w:ascii="Times New Roman" w:hAnsi="Times New Roman" w:cs="Times New Roman"/>
          <w:sz w:val="24"/>
          <w:szCs w:val="24"/>
        </w:rPr>
        <w:tab/>
        <w:t xml:space="preserve">Additionally, three climatic predictor variables were included to account for widespread evidence of the relationship between weather and water withdrawals </w:t>
      </w:r>
      <w:r w:rsidR="0006686C">
        <w:rPr>
          <w:rFonts w:ascii="Times New Roman" w:hAnsi="Times New Roman" w:cs="Times New Roman"/>
          <w:sz w:val="24"/>
          <w:szCs w:val="24"/>
        </w:rPr>
        <w:fldChar w:fldCharType="begin"/>
      </w:r>
      <w:r w:rsidR="0006686C">
        <w:rPr>
          <w:rFonts w:ascii="Times New Roman" w:hAnsi="Times New Roman" w:cs="Times New Roman"/>
          <w:sz w:val="24"/>
          <w:szCs w:val="24"/>
        </w:rPr>
        <w:instrText xml:space="preserve"> ADDIN ZOTERO_ITEM CSL_CITATION {"citationID":"z1hkLitb","properties":{"formattedCitation":"(Brown et al., 2013; House-Peters &amp; Chang, 2011; Lee et al., 2015)","plainCitation":"(Brown et al., 2013; House-Peters &amp; Chang, 2011; Lee et al., 2015)","noteIndex":0},"citationItems":[{"id":1525,"uris":["http://zotero.org/users/2386190/items/46DEW7DQ"],"uri":["http://zotero.org/users/2386190/items/46DEW7DQ"],"itemData":{"id":1525,"type":"article-journal","container-title":"Water Resources Research","DOI":"10.1002/wrcr.20076","ISSN":"00431397","issue":"3","language":"en","page":"1259-1276","source":"Crossref","title":"Projected freshwater withdrawals in the United States under a changing climate","title-short":"Projected freshwater withdrawals in the United States under a changing climate","volume":"49","author":[{"family":"Brown","given":"Thomas C."},{"family":"Foti","given":"Romano"},{"family":"Ramirez","given":"Jorge A."}],"issued":{"date-parts":[["2013",3]]}}},{"id":1521,"uris":["http://zotero.org/users/2386190/items/72PDI3JD"],"uri":["http://zotero.org/users/2386190/items/72PDI3JD"],"itemData":{"id":1521,"type":"article-journal","container-title":"Water Resources Research","DOI":"10.1029/2010WR009624","ISSN":"00431397","issue":"5","language":"en","source":"Crossref","title":"Urban water demand modeling: Review of concepts, methods, and organizing principles","title-short":"Urban water demand modeling","URL":"http://doi.wiley.com/10.1029/2010WR009624","volume":"47","author":[{"family":"House-Peters","given":"Lily A."},{"family":"Chang","given":"Heejun"}],"accessed":{"date-parts":[["2018",12,18]]},"issued":{"date-parts":[["2011",5]]}}},{"id":1519,"uris":["http://zotero.org/users/2386190/items/UYRU8JY9"],"uri":["http://zotero.org/users/2386190/items/UYRU8JY9"],"itemData":{"id":1519,"type":"article-journal","container-title":"Stochastic Environmental Research and Risk Assessment","DOI":"10.1007/s00477-014-1015-z","ISSN":"1436-3240, 1436-3259","issue":"4","language":"en","page":"1135-1147","source":"Crossref","title":"Space and time dynamics of urban water demand in Portland, Oregon and Phoenix, Arizona","volume":"29","author":[{"family":"Lee","given":"Seung-Jae"},{"family":"Chang","given":"Heejun"},{"family":"Gober","given":"Patricia"}],"issued":{"date-parts":[["2015",5]]}}}],"schema":"https://github.com/citation-style-language/schema/raw/master/csl-citation.json"} </w:instrText>
      </w:r>
      <w:r w:rsidR="0006686C">
        <w:rPr>
          <w:rFonts w:ascii="Times New Roman" w:hAnsi="Times New Roman" w:cs="Times New Roman"/>
          <w:sz w:val="24"/>
          <w:szCs w:val="24"/>
        </w:rPr>
        <w:fldChar w:fldCharType="separate"/>
      </w:r>
      <w:r w:rsidR="0006686C" w:rsidRPr="0006686C">
        <w:rPr>
          <w:rFonts w:ascii="Times New Roman" w:hAnsi="Times New Roman" w:cs="Times New Roman"/>
          <w:sz w:val="24"/>
        </w:rPr>
        <w:t>(</w:t>
      </w:r>
      <w:r w:rsidR="0006686C">
        <w:rPr>
          <w:rFonts w:ascii="Times New Roman" w:hAnsi="Times New Roman" w:cs="Times New Roman"/>
          <w:sz w:val="24"/>
        </w:rPr>
        <w:t xml:space="preserve">e.g., </w:t>
      </w:r>
      <w:r w:rsidR="0006686C" w:rsidRPr="0006686C">
        <w:rPr>
          <w:rFonts w:ascii="Times New Roman" w:hAnsi="Times New Roman" w:cs="Times New Roman"/>
          <w:sz w:val="24"/>
        </w:rPr>
        <w:t>Brown et al., 2013; House-Peters &amp; Chang, 2011; Lee et al., 2015)</w:t>
      </w:r>
      <w:r w:rsidR="0006686C">
        <w:rPr>
          <w:rFonts w:ascii="Times New Roman" w:hAnsi="Times New Roman" w:cs="Times New Roman"/>
          <w:sz w:val="24"/>
          <w:szCs w:val="24"/>
        </w:rPr>
        <w:fldChar w:fldCharType="end"/>
      </w:r>
      <w:r w:rsidRPr="0019254B">
        <w:rPr>
          <w:rFonts w:ascii="Times New Roman" w:hAnsi="Times New Roman" w:cs="Times New Roman"/>
          <w:sz w:val="24"/>
          <w:szCs w:val="24"/>
        </w:rPr>
        <w:t xml:space="preserve">. This included maximum daily temperature, total precipitation, and daily precipitation variability as quantified by the Gini coefficient </w:t>
      </w:r>
      <w:r w:rsidR="0006686C">
        <w:rPr>
          <w:rFonts w:ascii="Times New Roman" w:hAnsi="Times New Roman" w:cs="Times New Roman"/>
          <w:sz w:val="24"/>
          <w:szCs w:val="24"/>
        </w:rPr>
        <w:fldChar w:fldCharType="begin"/>
      </w:r>
      <w:r w:rsidR="0006686C">
        <w:rPr>
          <w:rFonts w:ascii="Times New Roman" w:hAnsi="Times New Roman" w:cs="Times New Roman"/>
          <w:sz w:val="24"/>
          <w:szCs w:val="24"/>
        </w:rPr>
        <w:instrText xml:space="preserve"> ADDIN ZOTERO_ITEM CSL_CITATION {"citationID":"Aa9qZkCP","properties":{"formattedCitation":"(Marston &amp; Ellis, 2019; Rajah et al., 2014)","plainCitation":"(Marston &amp; Ellis, 2019; Rajah et al., 2014)","noteIndex":0},"citationItems":[{"id":1970,"uris":["http://zotero.org/users/2386190/items/V9AYRIWQ"],"uri":["http://zotero.org/users/2386190/items/V9AYRIWQ"],"itemData":{"id":1970,"type":"article-journal","container-title":"Climate Research","DOI":"10.3354/cr01561","ISSN":"0936-577X, 1616-1572","issue":"1","language":"en","page":"69-81","source":"www.int-res.com","title":"Change in the uniformity of the temporal distribution of precipitation across the MidAtlantic region of the United States, 1950-2017","volume":"78","author":[{"family":"Marston","given":"Michael L."},{"family":"Ellis","given":"Andrew W."}],"issued":{"date-parts":[["2019",6,20]]}}},{"id":1140,"uris":["http://zotero.org/users/2386190/items/YMSE3N73"],"uri":["http://zotero.org/users/2386190/items/YMSE3N73"],"itemData":{"id":1140,"type":"article-journal","abstract":"Changes to the temporal distribution of daily precipitation were investigated using a data set of 12,513 land-based stations from the Global Historical Climatology Network. The distribution of precipitation was measured using the Gini index (which describes how uniformly precipitation is distributed throughout a year) and the annual number of wet days. The Mann-Kendall test and a regression analysis were used to assess the direction and rate of change to both indices. Over the period of 1976–2000, East Asia, Central America, and Brazil exhibited a decrease in the number of both wet and light precipitation days, and eastern Europe exhibited a decrease in the number of both wet and moderate precipitation days. In contrast, the U.S., southern South America, western Europe, and Australia exhibited an increase in the number of both wet and light precipitation days. Trends in both directions were ﬁeld signiﬁcant at the global scale.","container-title":"Geophysical Research Letters","DOI":"10.1002/2014GL062156","ISSN":"00948276","issue":"24","language":"en","page":"8887-8894","source":"Crossref","title":"Changes to the temporal distribution of daily precipitation: Changing precipitation temporal patterns","title-short":"Changes to the temporal distribution of daily precipitation","volume":"41","author":[{"family":"Rajah","given":"Kailash"},{"family":"O'Leary","given":"Tess"},{"family":"Turner","given":"Alice"},{"family":"Petrakis","given":"Gabriella"},{"family":"Leonard","given":"Michael"},{"family":"Westra","given":"Seth"}],"issued":{"date-parts":[["2014",12,28]]}}}],"schema":"https://github.com/citation-style-language/schema/raw/master/csl-citation.json"} </w:instrText>
      </w:r>
      <w:r w:rsidR="0006686C">
        <w:rPr>
          <w:rFonts w:ascii="Times New Roman" w:hAnsi="Times New Roman" w:cs="Times New Roman"/>
          <w:sz w:val="24"/>
          <w:szCs w:val="24"/>
        </w:rPr>
        <w:fldChar w:fldCharType="separate"/>
      </w:r>
      <w:r w:rsidR="0006686C" w:rsidRPr="0006686C">
        <w:rPr>
          <w:rFonts w:ascii="Times New Roman" w:hAnsi="Times New Roman" w:cs="Times New Roman"/>
          <w:sz w:val="24"/>
        </w:rPr>
        <w:t>(Marston &amp; Ellis, 2019; Rajah et al., 2014)</w:t>
      </w:r>
      <w:r w:rsidR="0006686C">
        <w:rPr>
          <w:rFonts w:ascii="Times New Roman" w:hAnsi="Times New Roman" w:cs="Times New Roman"/>
          <w:sz w:val="24"/>
          <w:szCs w:val="24"/>
        </w:rPr>
        <w:fldChar w:fldCharType="end"/>
      </w:r>
      <w:r w:rsidRPr="0019254B">
        <w:rPr>
          <w:rFonts w:ascii="Times New Roman" w:hAnsi="Times New Roman" w:cs="Times New Roman"/>
          <w:sz w:val="24"/>
          <w:szCs w:val="24"/>
        </w:rPr>
        <w:t xml:space="preserve">. The Gini coefficient is a non-dimensional representation of the inequality in a distribution ranging from 0 to 1, with higher values indicating more inequality. Recent research has demonstrated an increasing trend in Gini coefficient rainfall values in the Eastern U.S., indicating that a larger portion of rainfall is occurring on a smaller number of days (Marston &amp; Ellis, 2019; Rajah et al., 2014); this increase in rainfall variability is also correlated with greater water use </w:t>
      </w:r>
      <w:r w:rsidR="0006686C">
        <w:rPr>
          <w:rFonts w:ascii="Times New Roman" w:hAnsi="Times New Roman" w:cs="Times New Roman"/>
          <w:sz w:val="24"/>
          <w:szCs w:val="24"/>
        </w:rPr>
        <w:fldChar w:fldCharType="begin"/>
      </w:r>
      <w:r w:rsidR="0006686C">
        <w:rPr>
          <w:rFonts w:ascii="Times New Roman" w:hAnsi="Times New Roman" w:cs="Times New Roman"/>
          <w:sz w:val="24"/>
          <w:szCs w:val="24"/>
        </w:rPr>
        <w:instrText xml:space="preserve"> ADDIN ZOTERO_ITEM CSL_CITATION {"citationID":"6sN8WHOI","properties":{"formattedCitation":"(J. Shortridge &amp; DiCarlo, 2020)","plainCitation":"(J. Shortridge &amp; DiCarlo, 2020)","noteIndex":0},"citationItems":[{"id":1972,"uris":["http://zotero.org/users/2386190/items/5H4PLC9V"],"uri":["http://zotero.org/users/2386190/items/5H4PLC9V"],"itemData":{"id":1972,"type":"article-journal","abstract":"Sustainable water management requires understanding the factors that influence water use across multiple time scales, spatial scales, and types of use. However, existing empirical research on water use largely consists of studies at either the municipal or national scale, leaving a sizeable gap at intermediate scales important for planning (e.g., watershed, state, and basin level). This work addresses this gap by using a mixed-effect panel regression of monthly water withdrawals in Virginia to evaluate how well statistical modeling approaches can characterize and explain multisectoral withdrawals. Model fit is high across all sectors, suggesting that statistical models can be effective at these scales as long as they are formulated in a manner that accounts for significant variance in withdrawal volumes and temporal trends. Multiple climatic and economic variables are found to be significantly associated with withdrawals in all sectors evaluated. These relationships suggest that withdrawals in humid regions exhibit similar sensitivities to arid regions that have been the focus of more research and that incorporating economic factors is particularly important for estimating energy and industrial water withdrawals.","container-title":"Journal of Water Resources Planning and Management","DOI":"10.1061/(ASCE)WR.1943-5452.0001175","ISSN":"1943-5452","issue":"3","language":"EN","note":"publisher: American Society of Civil Engineers","page":"04020002","source":"ASCE","title":"Characterizing Trends, Variability, and Statistical Drivers of Multisectoral Water Withdrawals for Statewide Planning","volume":"146","author":[{"family":"Shortridge","given":"Julie"},{"family":"DiCarlo","given":"Morgan Faye"}],"issued":{"date-parts":[["2020",3,1]]}}}],"schema":"https://github.com/citation-style-language/schema/raw/master/csl-citation.json"} </w:instrText>
      </w:r>
      <w:r w:rsidR="0006686C">
        <w:rPr>
          <w:rFonts w:ascii="Times New Roman" w:hAnsi="Times New Roman" w:cs="Times New Roman"/>
          <w:sz w:val="24"/>
          <w:szCs w:val="24"/>
        </w:rPr>
        <w:fldChar w:fldCharType="separate"/>
      </w:r>
      <w:r w:rsidR="0006686C" w:rsidRPr="0006686C">
        <w:rPr>
          <w:rFonts w:ascii="Times New Roman" w:hAnsi="Times New Roman" w:cs="Times New Roman"/>
          <w:sz w:val="24"/>
        </w:rPr>
        <w:t>(J. Shortridge &amp; DiCarlo, 2020)</w:t>
      </w:r>
      <w:r w:rsidR="0006686C">
        <w:rPr>
          <w:rFonts w:ascii="Times New Roman" w:hAnsi="Times New Roman" w:cs="Times New Roman"/>
          <w:sz w:val="24"/>
          <w:szCs w:val="24"/>
        </w:rPr>
        <w:fldChar w:fldCharType="end"/>
      </w:r>
      <w:r w:rsidRPr="0019254B">
        <w:rPr>
          <w:rFonts w:ascii="Times New Roman" w:hAnsi="Times New Roman" w:cs="Times New Roman"/>
          <w:sz w:val="24"/>
          <w:szCs w:val="24"/>
        </w:rPr>
        <w:t xml:space="preserve">. Gridded daily values of maximum </w:t>
      </w:r>
      <w:r w:rsidRPr="0019254B">
        <w:rPr>
          <w:rFonts w:ascii="Times New Roman" w:hAnsi="Times New Roman" w:cs="Times New Roman"/>
          <w:sz w:val="24"/>
          <w:szCs w:val="24"/>
        </w:rPr>
        <w:lastRenderedPageBreak/>
        <w:t>temperature and precipitation from 1990 – 2018 were obtained from the PRISM dataset</w:t>
      </w:r>
      <w:r w:rsidR="0006686C">
        <w:rPr>
          <w:rFonts w:ascii="Times New Roman" w:hAnsi="Times New Roman" w:cs="Times New Roman"/>
          <w:sz w:val="24"/>
          <w:szCs w:val="24"/>
        </w:rPr>
        <w:t xml:space="preserve"> </w:t>
      </w:r>
      <w:r w:rsidR="0006686C">
        <w:rPr>
          <w:rFonts w:ascii="Times New Roman" w:hAnsi="Times New Roman" w:cs="Times New Roman"/>
          <w:sz w:val="24"/>
          <w:szCs w:val="24"/>
        </w:rPr>
        <w:fldChar w:fldCharType="begin"/>
      </w:r>
      <w:r w:rsidR="0006686C">
        <w:rPr>
          <w:rFonts w:ascii="Times New Roman" w:hAnsi="Times New Roman" w:cs="Times New Roman"/>
          <w:sz w:val="24"/>
          <w:szCs w:val="24"/>
        </w:rPr>
        <w:instrText xml:space="preserve"> ADDIN ZOTERO_ITEM CSL_CITATION {"citationID":"5WJ0Het2","properties":{"formattedCitation":"(Daly et al., 2008)","plainCitation":"(Daly et al., 2008)","noteIndex":0},"citationItems":[{"id":758,"uris":["http://zotero.org/users/2386190/items/ZHWCVSH4"],"uri":["http://zotero.org/users/2386190/items/ZHWCVSH4"],"itemData":{"id":758,"type":"article-journal","abstract":"Spatial climate data sets of 1971–2000 mean monthly precipitation and minimum and maximum temperature were developed for the conterminous United States. These 30-arcsec (</w:instrText>
      </w:r>
      <w:r w:rsidR="0006686C">
        <w:rPr>
          <w:rFonts w:ascii="Cambria Math" w:hAnsi="Cambria Math" w:cs="Cambria Math"/>
          <w:sz w:val="24"/>
          <w:szCs w:val="24"/>
        </w:rPr>
        <w:instrText>∼</w:instrText>
      </w:r>
      <w:r w:rsidR="0006686C">
        <w:rPr>
          <w:rFonts w:ascii="Times New Roman" w:hAnsi="Times New Roman" w:cs="Times New Roman"/>
          <w:sz w:val="24"/>
          <w:szCs w:val="24"/>
        </w:rPr>
        <w:instrText xml:space="preserve">800-m) grids are the official spatial climate data sets of the U.S. Department of Agriculture. The PRISM (Parameter-elevation Relationships on Independent Slopes Model) interpolation method was used to develop data sets that reflected, as closely as possible, the current state of knowledge of spatial climate patterns in the United States. PRISM calculates a climate–elevation regression for each digital elevation model (DEM) grid cell, and stations entering the regression are assigned weights based primarily on the physiographic similarity of the station to the grid cell. Factors considered are location, elevation, coastal proximity, topographic facet orientation, vertical atmospheric layer, topographic position, and orographic effectiveness of the terrain. Surface stations used in the analysis numbered nearly 13 000 for precipitation and 10 000 for temperature. Station data were spatially quality controlled, and short-period-of-record averages adjusted to better reflect the 1971–2000 period. PRISM interpolation uncertainties were estimated with cross-validation (C-V) mean absolute error (MAE) and the 70% prediction interval of the climate–elevation regression function. The two measures were not well correlated at the point level, but were similar when averaged over large regions. The PRISM data set was compared with the WorldClim and Daymet spatial climate data sets. The comparison demonstrated that using a relatively dense station data set and the physiographically sensitive PRISM interpolation process resulted in substantially improved climate grids over those of WorldClim and Daymet. The improvement varied, however, depending on the complexity of the region. Mountainous and coastal areas of the western United States, characterized by sparse data coverage, large elevation gradients, rain shadows, inversions, cold air drainage, and coastal effects, showed the greatest improvement. The PRISM data set benefited from a peer review procedure that incorporated local knowledge and data into the development process. Copyright © 2008 Royal Meteorological Society","container-title":"International Journal of Climatology","DOI":"10.1002/joc.1688","ISSN":"1097-0088","issue":"15","journalAbbreviation":"Int. J. Climatol.","language":"en","page":"2031-2064","source":"Wiley Online Library","title":"Physiographically sensitive mapping of climatological temperature and precipitation across the conterminous United States","volume":"28","author":[{"family":"Daly","given":"Christopher"},{"family":"Halbleib","given":"Michael"},{"family":"Smith","given":"Joseph I."},{"family":"Gibson","given":"Wayne P."},{"family":"Doggett","given":"Matthew K."},{"family":"Taylor","given":"George H."},{"family":"Curtis","given":"Jan"},{"family":"Pasteris","given":"Phillip P."}],"issued":{"date-parts":[["2008",12,1]]}}}],"schema":"https://github.com/citation-style-language/schema/raw/master/csl-citation.json"} </w:instrText>
      </w:r>
      <w:r w:rsidR="0006686C">
        <w:rPr>
          <w:rFonts w:ascii="Times New Roman" w:hAnsi="Times New Roman" w:cs="Times New Roman"/>
          <w:sz w:val="24"/>
          <w:szCs w:val="24"/>
        </w:rPr>
        <w:fldChar w:fldCharType="separate"/>
      </w:r>
      <w:r w:rsidR="0006686C" w:rsidRPr="0006686C">
        <w:rPr>
          <w:rFonts w:ascii="Times New Roman" w:hAnsi="Times New Roman" w:cs="Times New Roman"/>
          <w:sz w:val="24"/>
        </w:rPr>
        <w:t>(Daly et al., 2008)</w:t>
      </w:r>
      <w:r w:rsidR="0006686C">
        <w:rPr>
          <w:rFonts w:ascii="Times New Roman" w:hAnsi="Times New Roman" w:cs="Times New Roman"/>
          <w:sz w:val="24"/>
          <w:szCs w:val="24"/>
        </w:rPr>
        <w:fldChar w:fldCharType="end"/>
      </w:r>
      <w:r w:rsidRPr="0019254B">
        <w:rPr>
          <w:rFonts w:ascii="Times New Roman" w:hAnsi="Times New Roman" w:cs="Times New Roman"/>
          <w:sz w:val="24"/>
          <w:szCs w:val="24"/>
        </w:rPr>
        <w:t xml:space="preserve"> and spatially aggregated to county-level daily values. These county level values were then temporally aggregated to monthly estimate of average high temperature, total precipitation, and precipitation Gini coefficient. </w:t>
      </w:r>
    </w:p>
    <w:p w14:paraId="04D75644" w14:textId="5C518B82" w:rsidR="0019254B" w:rsidRPr="0019254B" w:rsidRDefault="0019254B" w:rsidP="0019254B">
      <w:pPr>
        <w:spacing w:line="480" w:lineRule="auto"/>
        <w:ind w:firstLine="720"/>
        <w:rPr>
          <w:rFonts w:ascii="Times New Roman" w:hAnsi="Times New Roman" w:cs="Times New Roman"/>
          <w:sz w:val="24"/>
          <w:szCs w:val="24"/>
        </w:rPr>
      </w:pPr>
      <w:r w:rsidRPr="0019254B">
        <w:rPr>
          <w:rFonts w:ascii="Times New Roman" w:hAnsi="Times New Roman" w:cs="Times New Roman"/>
          <w:sz w:val="24"/>
          <w:szCs w:val="24"/>
        </w:rPr>
        <w:t>Virginia exhibits several spatial patterns of variability in long-term climate conditions, most notably higher temperatures in the southern inland portion of the state, lower temperatures in the Appalachian and Blue Ridge Mountains, and a rain shadow along the western border of the state. To account for this cross-sectional variability as well as seasonal differences, all monthly climate data were transformed to monthly anomaly values prior to inclusion within the model</w:t>
      </w:r>
      <w:r w:rsidR="0006686C">
        <w:rPr>
          <w:rFonts w:ascii="Times New Roman" w:hAnsi="Times New Roman" w:cs="Times New Roman"/>
          <w:sz w:val="24"/>
          <w:szCs w:val="24"/>
        </w:rPr>
        <w:t xml:space="preserve"> </w:t>
      </w:r>
      <w:r w:rsidR="0006686C">
        <w:rPr>
          <w:rFonts w:ascii="Times New Roman" w:hAnsi="Times New Roman" w:cs="Times New Roman"/>
          <w:sz w:val="24"/>
          <w:szCs w:val="24"/>
        </w:rPr>
        <w:fldChar w:fldCharType="begin"/>
      </w:r>
      <w:r w:rsidR="0006686C">
        <w:rPr>
          <w:rFonts w:ascii="Times New Roman" w:hAnsi="Times New Roman" w:cs="Times New Roman"/>
          <w:sz w:val="24"/>
          <w:szCs w:val="24"/>
        </w:rPr>
        <w:instrText xml:space="preserve"> ADDIN ZOTERO_ITEM CSL_CITATION {"citationID":"XcjyWW8o","properties":{"formattedCitation":"(J. E. Shortridge et al., 2016)","plainCitation":"(J. E. Shortridge et al., 2016)","noteIndex":0},"citationItems":[{"id":643,"uris":["http://zotero.org/users/2386190/items/77A6IRF6"],"uri":["http://zotero.org/users/2386190/items/77A6IRF6"],"itemData":{"id":643,"type":"article-journal","abstract":"In the past decade, machine learning methods for empirical rainfall–runoff modeling have seen extensive development and been proposed as a useful complement to physical hydrologic models, particularly in basins where data to support process-based models are limited. However, the majority of research has focused on a small number of methods, such as artificial neural networks, despite the development of multiple other approaches for non-parametric regression in recent years. Furthermore, this work has often evaluated model performance based on predictive accuracy alone, while not considering broader objectives, such as model interpretability and uncertainty, that are important if such methods are to be used for planning and management decisions. In this paper, we use multiple regression and machine learning approaches (including generalized additive models, multivariate adaptive regression splines, artificial neural networks, random forests, and M5 cubist models) to simulate monthly streamflow in five highly seasonal rivers in the highlands of Ethiopia and compare their performance in terms of predictive accuracy, error structure and bias, model interpretability, and uncertainty when faced with extreme climate conditions. While the relative predictive performance of models differed across basins, data-driven approaches were able to achieve reduced errors when compared to physical models developed for the region. Methods such as random forests and generalized additive models may have advantages in terms of visualization and interpretation of model structure, which can be useful in providing insights into physical watershed function. However, the uncertainty associated with model predictions under extreme climate conditions should be carefully evaluated, since certain models (especially generalized additive models and multivariate adaptive regression splines) become highly variable when faced with high temperatures.","container-title":"Hydrol. Earth Syst. Sci.","DOI":"10.5194/hess-20-2611-2016","ISSN":"1607-7938","issue":"7","journalAbbreviation":"Hydrol. Earth Syst. Sci.","page":"2611-2628","source":"Copernicus Online Journals","title":"Machine learning methods for empirical streamflow simulation: a comparison of model accuracy, interpretability, and uncertainty in seasonal watersheds","title-short":"Machine learning methods for empirical streamflow simulation","volume":"20","author":[{"family":"Shortridge","given":"J. E."},{"family":"Guikema","given":"S. D."},{"family":"Zaitchik","given":"B. F."}],"issued":{"date-parts":[["2016",7,4]]}}}],"schema":"https://github.com/citation-style-language/schema/raw/master/csl-citation.json"} </w:instrText>
      </w:r>
      <w:r w:rsidR="0006686C">
        <w:rPr>
          <w:rFonts w:ascii="Times New Roman" w:hAnsi="Times New Roman" w:cs="Times New Roman"/>
          <w:sz w:val="24"/>
          <w:szCs w:val="24"/>
        </w:rPr>
        <w:fldChar w:fldCharType="separate"/>
      </w:r>
      <w:r w:rsidR="0006686C" w:rsidRPr="0006686C">
        <w:rPr>
          <w:rFonts w:ascii="Times New Roman" w:hAnsi="Times New Roman" w:cs="Times New Roman"/>
          <w:sz w:val="24"/>
        </w:rPr>
        <w:t>(Shortridge et al., 2016)</w:t>
      </w:r>
      <w:r w:rsidR="0006686C">
        <w:rPr>
          <w:rFonts w:ascii="Times New Roman" w:hAnsi="Times New Roman" w:cs="Times New Roman"/>
          <w:sz w:val="24"/>
          <w:szCs w:val="24"/>
        </w:rPr>
        <w:fldChar w:fldCharType="end"/>
      </w:r>
      <w:r w:rsidRPr="0019254B">
        <w:rPr>
          <w:rFonts w:ascii="Times New Roman" w:hAnsi="Times New Roman" w:cs="Times New Roman"/>
          <w:sz w:val="24"/>
          <w:szCs w:val="24"/>
        </w:rPr>
        <w:t xml:space="preserve">: </w:t>
      </w:r>
    </w:p>
    <w:p w14:paraId="54152480" w14:textId="77777777" w:rsidR="0019254B" w:rsidRPr="0019254B" w:rsidRDefault="0019254B" w:rsidP="0019254B">
      <w:pPr>
        <w:spacing w:line="480" w:lineRule="auto"/>
        <w:rPr>
          <w:rFonts w:ascii="Times New Roman" w:hAnsi="Times New Roman" w:cs="Times New Roman"/>
          <w:sz w:val="24"/>
          <w:szCs w:val="24"/>
        </w:rPr>
      </w:pPr>
    </w:p>
    <w:p w14:paraId="4A262C60" w14:textId="4A0B61B6" w:rsidR="0019254B" w:rsidRPr="0019254B" w:rsidRDefault="0022022C" w:rsidP="0019254B">
      <w:pPr>
        <w:spacing w:line="480" w:lineRule="auto"/>
        <w:jc w:val="right"/>
        <w:rPr>
          <w:rFonts w:ascii="Times New Roman" w:hAnsi="Times New Roman" w:cs="Times New Roman"/>
          <w:sz w:val="24"/>
          <w:szCs w:val="24"/>
        </w:rPr>
      </w:pPr>
      <m:oMath>
        <m:sSub>
          <m:sSubPr>
            <m:ctrlPr>
              <w:rPr>
                <w:rFonts w:ascii="Cambria Math" w:eastAsia="Times New Roman" w:hAnsi="Cambria Math" w:cs="Times New Roman"/>
                <w:bCs/>
                <w:i/>
                <w:color w:val="000000"/>
                <w:sz w:val="28"/>
                <w:szCs w:val="24"/>
              </w:rPr>
            </m:ctrlPr>
          </m:sSubPr>
          <m:e>
            <m:r>
              <w:rPr>
                <w:rFonts w:ascii="Cambria Math" w:eastAsia="Times New Roman" w:hAnsi="Cambria Math" w:cs="Times New Roman"/>
                <w:color w:val="000000"/>
                <w:sz w:val="28"/>
                <w:szCs w:val="24"/>
              </w:rPr>
              <m:t>AN</m:t>
            </m:r>
          </m:e>
          <m:sub>
            <m:r>
              <w:rPr>
                <w:rFonts w:ascii="Cambria Math" w:eastAsia="Times New Roman" w:hAnsi="Cambria Math" w:cs="Times New Roman"/>
                <w:color w:val="000000"/>
                <w:sz w:val="28"/>
                <w:szCs w:val="24"/>
              </w:rPr>
              <m:t>c,t</m:t>
            </m:r>
          </m:sub>
        </m:sSub>
        <m:r>
          <w:rPr>
            <w:rFonts w:ascii="Cambria Math" w:eastAsia="Times New Roman" w:hAnsi="Cambria Math" w:cs="Times New Roman"/>
            <w:color w:val="000000"/>
            <w:sz w:val="28"/>
            <w:szCs w:val="24"/>
          </w:rPr>
          <m:t xml:space="preserve">= </m:t>
        </m:r>
        <m:f>
          <m:fPr>
            <m:ctrlPr>
              <w:rPr>
                <w:rFonts w:ascii="Cambria Math" w:eastAsia="Times New Roman" w:hAnsi="Cambria Math" w:cs="Times New Roman"/>
                <w:bCs/>
                <w:i/>
                <w:color w:val="000000"/>
                <w:sz w:val="28"/>
                <w:szCs w:val="24"/>
              </w:rPr>
            </m:ctrlPr>
          </m:fPr>
          <m:num>
            <m:sSub>
              <m:sSubPr>
                <m:ctrlPr>
                  <w:rPr>
                    <w:rFonts w:ascii="Cambria Math" w:eastAsia="Times New Roman" w:hAnsi="Cambria Math" w:cs="Times New Roman"/>
                    <w:bCs/>
                    <w:i/>
                    <w:color w:val="000000"/>
                    <w:sz w:val="28"/>
                    <w:szCs w:val="24"/>
                  </w:rPr>
                </m:ctrlPr>
              </m:sSubPr>
              <m:e>
                <m:r>
                  <w:rPr>
                    <w:rFonts w:ascii="Cambria Math" w:eastAsia="Times New Roman" w:hAnsi="Cambria Math" w:cs="Times New Roman"/>
                    <w:color w:val="000000"/>
                    <w:sz w:val="28"/>
                    <w:szCs w:val="24"/>
                  </w:rPr>
                  <m:t>O</m:t>
                </m:r>
              </m:e>
              <m:sub>
                <m:r>
                  <w:rPr>
                    <w:rFonts w:ascii="Cambria Math" w:eastAsia="Times New Roman" w:hAnsi="Cambria Math" w:cs="Times New Roman"/>
                    <w:color w:val="000000"/>
                    <w:sz w:val="28"/>
                    <w:szCs w:val="24"/>
                  </w:rPr>
                  <m:t>c,t</m:t>
                </m:r>
              </m:sub>
            </m:sSub>
            <m:r>
              <w:rPr>
                <w:rFonts w:ascii="Cambria Math" w:eastAsia="Times New Roman" w:hAnsi="Cambria Math" w:cs="Times New Roman"/>
                <w:color w:val="000000"/>
                <w:sz w:val="28"/>
                <w:szCs w:val="24"/>
              </w:rPr>
              <m:t xml:space="preserve">- </m:t>
            </m:r>
            <m:sSub>
              <m:sSubPr>
                <m:ctrlPr>
                  <w:rPr>
                    <w:rFonts w:ascii="Cambria Math" w:eastAsia="Times New Roman" w:hAnsi="Cambria Math" w:cs="Times New Roman"/>
                    <w:bCs/>
                    <w:i/>
                    <w:color w:val="000000"/>
                    <w:sz w:val="28"/>
                    <w:szCs w:val="24"/>
                  </w:rPr>
                </m:ctrlPr>
              </m:sSubPr>
              <m:e>
                <m:acc>
                  <m:accPr>
                    <m:chr m:val="̅"/>
                    <m:ctrlPr>
                      <w:rPr>
                        <w:rFonts w:ascii="Cambria Math" w:eastAsia="Times New Roman" w:hAnsi="Cambria Math" w:cs="Times New Roman"/>
                        <w:bCs/>
                        <w:i/>
                        <w:color w:val="000000"/>
                        <w:sz w:val="28"/>
                        <w:szCs w:val="24"/>
                      </w:rPr>
                    </m:ctrlPr>
                  </m:accPr>
                  <m:e>
                    <m:r>
                      <w:rPr>
                        <w:rFonts w:ascii="Cambria Math" w:eastAsia="Times New Roman" w:hAnsi="Cambria Math" w:cs="Times New Roman"/>
                        <w:color w:val="000000"/>
                        <w:sz w:val="28"/>
                        <w:szCs w:val="24"/>
                      </w:rPr>
                      <m:t>O</m:t>
                    </m:r>
                  </m:e>
                </m:acc>
              </m:e>
              <m:sub>
                <m:r>
                  <w:rPr>
                    <w:rFonts w:ascii="Cambria Math" w:eastAsia="Times New Roman" w:hAnsi="Cambria Math" w:cs="Times New Roman"/>
                    <w:color w:val="000000"/>
                    <w:sz w:val="28"/>
                    <w:szCs w:val="24"/>
                  </w:rPr>
                  <m:t>c,m</m:t>
                </m:r>
              </m:sub>
            </m:sSub>
          </m:num>
          <m:den>
            <m:r>
              <w:rPr>
                <w:rFonts w:ascii="Cambria Math" w:eastAsia="Times New Roman" w:hAnsi="Cambria Math" w:cs="Times New Roman"/>
                <w:color w:val="000000"/>
                <w:sz w:val="28"/>
                <w:szCs w:val="24"/>
              </w:rPr>
              <m:t>sd(</m:t>
            </m:r>
            <m:sSub>
              <m:sSubPr>
                <m:ctrlPr>
                  <w:rPr>
                    <w:rFonts w:ascii="Cambria Math" w:eastAsia="Times New Roman" w:hAnsi="Cambria Math" w:cs="Times New Roman"/>
                    <w:bCs/>
                    <w:i/>
                    <w:color w:val="000000"/>
                    <w:sz w:val="28"/>
                    <w:szCs w:val="24"/>
                  </w:rPr>
                </m:ctrlPr>
              </m:sSubPr>
              <m:e>
                <m:r>
                  <w:rPr>
                    <w:rFonts w:ascii="Cambria Math" w:eastAsia="Times New Roman" w:hAnsi="Cambria Math" w:cs="Times New Roman"/>
                    <w:color w:val="000000"/>
                    <w:sz w:val="28"/>
                    <w:szCs w:val="24"/>
                  </w:rPr>
                  <m:t>O</m:t>
                </m:r>
              </m:e>
              <m:sub>
                <m:r>
                  <w:rPr>
                    <w:rFonts w:ascii="Cambria Math" w:eastAsia="Times New Roman" w:hAnsi="Cambria Math" w:cs="Times New Roman"/>
                    <w:color w:val="000000"/>
                    <w:sz w:val="28"/>
                    <w:szCs w:val="24"/>
                  </w:rPr>
                  <m:t>c,m</m:t>
                </m:r>
              </m:sub>
            </m:sSub>
            <m:r>
              <w:rPr>
                <w:rFonts w:ascii="Cambria Math" w:eastAsia="Times New Roman" w:hAnsi="Cambria Math" w:cs="Times New Roman"/>
                <w:color w:val="000000"/>
                <w:sz w:val="28"/>
                <w:szCs w:val="24"/>
              </w:rPr>
              <m:t>)</m:t>
            </m:r>
          </m:den>
        </m:f>
      </m:oMath>
      <w:r w:rsidR="0019254B" w:rsidRPr="0019254B">
        <w:rPr>
          <w:rFonts w:ascii="Times New Roman" w:hAnsi="Times New Roman" w:cs="Times New Roman"/>
          <w:sz w:val="24"/>
          <w:szCs w:val="24"/>
        </w:rPr>
        <w:tab/>
      </w:r>
      <w:r w:rsidR="0019254B" w:rsidRPr="0019254B">
        <w:rPr>
          <w:rFonts w:ascii="Times New Roman" w:hAnsi="Times New Roman" w:cs="Times New Roman"/>
          <w:sz w:val="24"/>
          <w:szCs w:val="24"/>
        </w:rPr>
        <w:tab/>
      </w:r>
      <w:r w:rsidR="0019254B" w:rsidRPr="0019254B">
        <w:rPr>
          <w:rFonts w:ascii="Times New Roman" w:hAnsi="Times New Roman" w:cs="Times New Roman"/>
          <w:sz w:val="24"/>
          <w:szCs w:val="24"/>
        </w:rPr>
        <w:tab/>
      </w:r>
      <w:r w:rsidR="0019254B" w:rsidRPr="0019254B">
        <w:rPr>
          <w:rFonts w:ascii="Times New Roman" w:hAnsi="Times New Roman" w:cs="Times New Roman"/>
          <w:sz w:val="24"/>
          <w:szCs w:val="24"/>
        </w:rPr>
        <w:tab/>
      </w:r>
      <w:r w:rsidR="0019254B" w:rsidRPr="0019254B">
        <w:rPr>
          <w:rFonts w:ascii="Times New Roman" w:hAnsi="Times New Roman" w:cs="Times New Roman"/>
          <w:sz w:val="24"/>
          <w:szCs w:val="24"/>
        </w:rPr>
        <w:tab/>
        <w:t>(2)</w:t>
      </w:r>
    </w:p>
    <w:p w14:paraId="35812B9A" w14:textId="77777777" w:rsidR="0019254B" w:rsidRPr="0019254B" w:rsidRDefault="0019254B" w:rsidP="0019254B">
      <w:pPr>
        <w:spacing w:line="480" w:lineRule="auto"/>
        <w:rPr>
          <w:rFonts w:ascii="Times New Roman" w:hAnsi="Times New Roman" w:cs="Times New Roman"/>
          <w:sz w:val="24"/>
          <w:szCs w:val="24"/>
        </w:rPr>
      </w:pPr>
    </w:p>
    <w:p w14:paraId="08A33E4E" w14:textId="0D1F72E6" w:rsidR="0019254B" w:rsidRDefault="0019254B" w:rsidP="0019254B">
      <w:pPr>
        <w:spacing w:line="48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where </w:t>
      </w:r>
      <w:proofErr w:type="spellStart"/>
      <w:r>
        <w:rPr>
          <w:rFonts w:ascii="Times New Roman" w:eastAsia="Times New Roman" w:hAnsi="Times New Roman" w:cs="Times New Roman"/>
          <w:bCs/>
          <w:color w:val="000000"/>
          <w:sz w:val="24"/>
          <w:szCs w:val="24"/>
        </w:rPr>
        <w:t>O</w:t>
      </w:r>
      <w:r>
        <w:rPr>
          <w:rFonts w:ascii="Times New Roman" w:eastAsia="Times New Roman" w:hAnsi="Times New Roman" w:cs="Times New Roman"/>
          <w:bCs/>
          <w:color w:val="000000"/>
          <w:sz w:val="24"/>
          <w:szCs w:val="24"/>
          <w:vertAlign w:val="subscript"/>
        </w:rPr>
        <w:t>c,t</w:t>
      </w:r>
      <w:proofErr w:type="spellEnd"/>
      <w:r>
        <w:rPr>
          <w:rFonts w:ascii="Times New Roman" w:eastAsia="Times New Roman" w:hAnsi="Times New Roman" w:cs="Times New Roman"/>
          <w:bCs/>
          <w:color w:val="000000"/>
          <w:sz w:val="24"/>
          <w:szCs w:val="24"/>
          <w:vertAlign w:val="subscript"/>
        </w:rPr>
        <w:t xml:space="preserve"> </w:t>
      </w:r>
      <w:r>
        <w:rPr>
          <w:rFonts w:ascii="Times New Roman" w:eastAsia="Times New Roman" w:hAnsi="Times New Roman" w:cs="Times New Roman"/>
          <w:bCs/>
          <w:color w:val="000000"/>
          <w:sz w:val="24"/>
          <w:szCs w:val="24"/>
        </w:rPr>
        <w:t xml:space="preserve">is the observed value of a climate variable (e.g., total precipitation) in county c and time period t; </w:t>
      </w:r>
      <w:proofErr w:type="spellStart"/>
      <w:r>
        <w:rPr>
          <w:rFonts w:ascii="Times New Roman" w:eastAsia="Times New Roman" w:hAnsi="Times New Roman" w:cs="Times New Roman"/>
          <w:bCs/>
          <w:color w:val="000000"/>
          <w:sz w:val="24"/>
          <w:szCs w:val="24"/>
        </w:rPr>
        <w:t>Ō</w:t>
      </w:r>
      <w:r>
        <w:rPr>
          <w:rFonts w:ascii="Times New Roman" w:eastAsia="Times New Roman" w:hAnsi="Times New Roman" w:cs="Times New Roman"/>
          <w:bCs/>
          <w:color w:val="000000"/>
          <w:sz w:val="24"/>
          <w:szCs w:val="24"/>
          <w:vertAlign w:val="subscript"/>
        </w:rPr>
        <w:t>c,m</w:t>
      </w:r>
      <w:proofErr w:type="spellEnd"/>
      <w:r>
        <w:rPr>
          <w:rFonts w:ascii="Times New Roman" w:eastAsia="Times New Roman" w:hAnsi="Times New Roman" w:cs="Times New Roman"/>
          <w:bCs/>
          <w:color w:val="000000"/>
          <w:sz w:val="24"/>
          <w:szCs w:val="24"/>
        </w:rPr>
        <w:t xml:space="preserve"> is the monthly normal (long-term mean from 1990-2018) observation of that variable in that county; and </w:t>
      </w:r>
      <w:proofErr w:type="spellStart"/>
      <w:r>
        <w:rPr>
          <w:rFonts w:ascii="Times New Roman" w:eastAsia="Times New Roman" w:hAnsi="Times New Roman" w:cs="Times New Roman"/>
          <w:bCs/>
          <w:color w:val="000000"/>
          <w:sz w:val="24"/>
          <w:szCs w:val="24"/>
        </w:rPr>
        <w:t>sd</w:t>
      </w:r>
      <w:proofErr w:type="spellEnd"/>
      <w:r>
        <w:rPr>
          <w:rFonts w:ascii="Times New Roman" w:eastAsia="Times New Roman" w:hAnsi="Times New Roman" w:cs="Times New Roman"/>
          <w:bCs/>
          <w:color w:val="000000"/>
          <w:sz w:val="24"/>
          <w:szCs w:val="24"/>
        </w:rPr>
        <w:t>(</w:t>
      </w:r>
      <w:proofErr w:type="spellStart"/>
      <w:r>
        <w:rPr>
          <w:rFonts w:ascii="Times New Roman" w:eastAsia="Times New Roman" w:hAnsi="Times New Roman" w:cs="Times New Roman"/>
          <w:bCs/>
          <w:color w:val="000000"/>
          <w:sz w:val="24"/>
          <w:szCs w:val="24"/>
        </w:rPr>
        <w:t>O</w:t>
      </w:r>
      <w:r>
        <w:rPr>
          <w:rFonts w:ascii="Times New Roman" w:eastAsia="Times New Roman" w:hAnsi="Times New Roman" w:cs="Times New Roman"/>
          <w:bCs/>
          <w:color w:val="000000"/>
          <w:sz w:val="24"/>
          <w:szCs w:val="24"/>
          <w:vertAlign w:val="subscript"/>
        </w:rPr>
        <w:t>c,m</w:t>
      </w:r>
      <w:proofErr w:type="spellEnd"/>
      <w:r>
        <w:rPr>
          <w:rFonts w:ascii="Times New Roman" w:eastAsia="Times New Roman" w:hAnsi="Times New Roman" w:cs="Times New Roman"/>
          <w:bCs/>
          <w:color w:val="000000"/>
          <w:sz w:val="24"/>
          <w:szCs w:val="24"/>
        </w:rPr>
        <w:t>) is the standard deviation of all observations in that month. In this way, the anomaly value can represent how weather conditions compared to long-term averages for that specific month and location. For instance, an anomaly temperature value of 0.0 would indicate that the temperature in that month and county was exactly equal to the long-term mean temperature in that month and county, while a value of 1.0 would indicate that the temperature was one standard deviation higher than the long-term mean.</w:t>
      </w:r>
    </w:p>
    <w:p w14:paraId="40C461B4" w14:textId="77777777" w:rsidR="0019254B" w:rsidRDefault="0019254B" w:rsidP="0019254B">
      <w:pPr>
        <w:rPr>
          <w:rFonts w:ascii="Times New Roman" w:hAnsi="Times New Roman" w:cs="Times New Roman"/>
          <w:sz w:val="24"/>
          <w:szCs w:val="24"/>
        </w:rPr>
        <w:sectPr w:rsidR="0019254B">
          <w:footerReference w:type="default" r:id="rId7"/>
          <w:pgSz w:w="12240" w:h="15840"/>
          <w:pgMar w:top="1440" w:right="1440" w:bottom="1440" w:left="1440" w:header="720" w:footer="720" w:gutter="0"/>
          <w:cols w:space="720"/>
          <w:docGrid w:linePitch="360"/>
        </w:sectPr>
      </w:pPr>
    </w:p>
    <w:tbl>
      <w:tblPr>
        <w:tblW w:w="13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2"/>
        <w:gridCol w:w="8533"/>
        <w:gridCol w:w="1620"/>
        <w:gridCol w:w="1890"/>
      </w:tblGrid>
      <w:tr w:rsidR="0019254B" w:rsidRPr="0019254B" w14:paraId="0EB8FA2E" w14:textId="77777777" w:rsidTr="00E732C7">
        <w:trPr>
          <w:trHeight w:val="620"/>
        </w:trPr>
        <w:tc>
          <w:tcPr>
            <w:tcW w:w="1632" w:type="dxa"/>
            <w:shd w:val="clear" w:color="auto" w:fill="auto"/>
            <w:vAlign w:val="bottom"/>
            <w:hideMark/>
          </w:tcPr>
          <w:p w14:paraId="45FB3596" w14:textId="77777777" w:rsidR="0019254B" w:rsidRPr="0019254B" w:rsidRDefault="0019254B" w:rsidP="0019254B">
            <w:pPr>
              <w:spacing w:after="0" w:line="240" w:lineRule="auto"/>
              <w:rPr>
                <w:rFonts w:ascii="Times New Roman" w:eastAsia="Times New Roman" w:hAnsi="Times New Roman" w:cs="Times New Roman"/>
                <w:b/>
                <w:bCs/>
                <w:color w:val="000000"/>
              </w:rPr>
            </w:pPr>
            <w:r w:rsidRPr="0019254B">
              <w:rPr>
                <w:rFonts w:ascii="Times New Roman" w:eastAsia="Times New Roman" w:hAnsi="Times New Roman" w:cs="Times New Roman"/>
                <w:b/>
                <w:bCs/>
                <w:color w:val="000000"/>
              </w:rPr>
              <w:lastRenderedPageBreak/>
              <w:t xml:space="preserve">Explanatory Variable </w:t>
            </w:r>
          </w:p>
        </w:tc>
        <w:tc>
          <w:tcPr>
            <w:tcW w:w="8533" w:type="dxa"/>
            <w:shd w:val="clear" w:color="auto" w:fill="auto"/>
            <w:vAlign w:val="bottom"/>
            <w:hideMark/>
          </w:tcPr>
          <w:p w14:paraId="514392B5" w14:textId="77777777" w:rsidR="0019254B" w:rsidRPr="0019254B" w:rsidRDefault="0019254B" w:rsidP="0019254B">
            <w:pPr>
              <w:spacing w:after="0" w:line="240" w:lineRule="auto"/>
              <w:rPr>
                <w:rFonts w:ascii="Times New Roman" w:eastAsia="Times New Roman" w:hAnsi="Times New Roman" w:cs="Times New Roman"/>
                <w:b/>
                <w:bCs/>
                <w:color w:val="000000"/>
              </w:rPr>
            </w:pPr>
            <w:r w:rsidRPr="0019254B">
              <w:rPr>
                <w:rFonts w:ascii="Times New Roman" w:eastAsia="Times New Roman" w:hAnsi="Times New Roman" w:cs="Times New Roman"/>
                <w:b/>
                <w:bCs/>
                <w:color w:val="000000"/>
              </w:rPr>
              <w:t xml:space="preserve">Description and Rationale </w:t>
            </w:r>
          </w:p>
          <w:p w14:paraId="28601414" w14:textId="77777777" w:rsidR="0019254B" w:rsidRPr="0019254B" w:rsidRDefault="0019254B" w:rsidP="0019254B">
            <w:pPr>
              <w:spacing w:after="0" w:line="240" w:lineRule="auto"/>
              <w:rPr>
                <w:rFonts w:ascii="Times New Roman" w:eastAsia="Times New Roman" w:hAnsi="Times New Roman" w:cs="Times New Roman"/>
                <w:b/>
                <w:bCs/>
                <w:color w:val="000000"/>
              </w:rPr>
            </w:pPr>
            <w:r w:rsidRPr="0019254B">
              <w:rPr>
                <w:rFonts w:ascii="Times New Roman" w:eastAsia="Times New Roman" w:hAnsi="Times New Roman" w:cs="Times New Roman"/>
                <w:b/>
                <w:bCs/>
                <w:color w:val="000000"/>
              </w:rPr>
              <w:t>(temporal and geographic resolution in parentheses)</w:t>
            </w:r>
          </w:p>
        </w:tc>
        <w:tc>
          <w:tcPr>
            <w:tcW w:w="1620" w:type="dxa"/>
            <w:shd w:val="clear" w:color="auto" w:fill="auto"/>
            <w:vAlign w:val="bottom"/>
            <w:hideMark/>
          </w:tcPr>
          <w:p w14:paraId="08EF1371" w14:textId="77777777" w:rsidR="0019254B" w:rsidRPr="0019254B" w:rsidRDefault="0019254B" w:rsidP="0019254B">
            <w:pPr>
              <w:spacing w:after="0" w:line="240" w:lineRule="auto"/>
              <w:rPr>
                <w:rFonts w:ascii="Times New Roman" w:eastAsia="Times New Roman" w:hAnsi="Times New Roman" w:cs="Times New Roman"/>
                <w:b/>
                <w:bCs/>
                <w:color w:val="000000"/>
              </w:rPr>
            </w:pPr>
            <w:r w:rsidRPr="0019254B">
              <w:rPr>
                <w:rFonts w:ascii="Times New Roman" w:eastAsia="Times New Roman" w:hAnsi="Times New Roman" w:cs="Times New Roman"/>
                <w:b/>
                <w:bCs/>
                <w:color w:val="000000"/>
              </w:rPr>
              <w:t>Source</w:t>
            </w:r>
          </w:p>
        </w:tc>
        <w:tc>
          <w:tcPr>
            <w:tcW w:w="1890" w:type="dxa"/>
            <w:shd w:val="clear" w:color="auto" w:fill="auto"/>
            <w:vAlign w:val="bottom"/>
            <w:hideMark/>
          </w:tcPr>
          <w:p w14:paraId="56C9972A" w14:textId="77777777" w:rsidR="0019254B" w:rsidRPr="0019254B" w:rsidRDefault="0019254B" w:rsidP="0019254B">
            <w:pPr>
              <w:spacing w:after="0" w:line="240" w:lineRule="auto"/>
              <w:rPr>
                <w:rFonts w:ascii="Times New Roman" w:eastAsia="Times New Roman" w:hAnsi="Times New Roman" w:cs="Times New Roman"/>
                <w:b/>
                <w:bCs/>
                <w:color w:val="000000"/>
              </w:rPr>
            </w:pPr>
            <w:r w:rsidRPr="0019254B">
              <w:rPr>
                <w:rFonts w:ascii="Times New Roman" w:eastAsia="Times New Roman" w:hAnsi="Times New Roman" w:cs="Times New Roman"/>
                <w:b/>
                <w:bCs/>
                <w:color w:val="000000"/>
              </w:rPr>
              <w:t xml:space="preserve">Sector models </w:t>
            </w:r>
          </w:p>
        </w:tc>
      </w:tr>
      <w:tr w:rsidR="0019254B" w:rsidRPr="0019254B" w14:paraId="6D22D98A" w14:textId="77777777" w:rsidTr="00E732C7">
        <w:trPr>
          <w:trHeight w:val="580"/>
        </w:trPr>
        <w:tc>
          <w:tcPr>
            <w:tcW w:w="1632" w:type="dxa"/>
            <w:shd w:val="clear" w:color="auto" w:fill="auto"/>
            <w:vAlign w:val="bottom"/>
            <w:hideMark/>
          </w:tcPr>
          <w:p w14:paraId="69627AF8"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Population</w:t>
            </w:r>
          </w:p>
        </w:tc>
        <w:tc>
          <w:tcPr>
            <w:tcW w:w="8533" w:type="dxa"/>
            <w:shd w:val="clear" w:color="auto" w:fill="auto"/>
            <w:vAlign w:val="bottom"/>
            <w:hideMark/>
          </w:tcPr>
          <w:p w14:paraId="02146825"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County-level population (detrended); included to account for higher municipal water withdrawals as population grows (annual, county)</w:t>
            </w:r>
          </w:p>
        </w:tc>
        <w:tc>
          <w:tcPr>
            <w:tcW w:w="1620" w:type="dxa"/>
            <w:shd w:val="clear" w:color="auto" w:fill="auto"/>
            <w:vAlign w:val="center"/>
            <w:hideMark/>
          </w:tcPr>
          <w:p w14:paraId="63EC0411" w14:textId="77777777" w:rsidR="0019254B" w:rsidRPr="0019254B" w:rsidRDefault="0019254B" w:rsidP="0019254B">
            <w:pPr>
              <w:spacing w:after="0" w:line="240" w:lineRule="auto"/>
              <w:jc w:val="center"/>
              <w:rPr>
                <w:rFonts w:ascii="Times New Roman" w:eastAsia="Times New Roman" w:hAnsi="Times New Roman" w:cs="Times New Roman"/>
                <w:color w:val="000000"/>
              </w:rPr>
            </w:pPr>
            <w:r w:rsidRPr="0019254B">
              <w:rPr>
                <w:rFonts w:ascii="Times New Roman" w:eastAsia="Times New Roman" w:hAnsi="Times New Roman" w:cs="Times New Roman"/>
                <w:color w:val="000000"/>
              </w:rPr>
              <w:t>US Census</w:t>
            </w:r>
          </w:p>
        </w:tc>
        <w:tc>
          <w:tcPr>
            <w:tcW w:w="1890" w:type="dxa"/>
            <w:shd w:val="clear" w:color="auto" w:fill="auto"/>
            <w:vAlign w:val="bottom"/>
            <w:hideMark/>
          </w:tcPr>
          <w:p w14:paraId="7064FBF5"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Mun</w:t>
            </w:r>
          </w:p>
        </w:tc>
      </w:tr>
      <w:tr w:rsidR="0019254B" w:rsidRPr="0019254B" w14:paraId="5ED666B4" w14:textId="77777777" w:rsidTr="00E732C7">
        <w:trPr>
          <w:trHeight w:val="791"/>
        </w:trPr>
        <w:tc>
          <w:tcPr>
            <w:tcW w:w="1632" w:type="dxa"/>
            <w:shd w:val="clear" w:color="auto" w:fill="auto"/>
            <w:vAlign w:val="bottom"/>
            <w:hideMark/>
          </w:tcPr>
          <w:p w14:paraId="6D0086EE"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Per-capita personal income</w:t>
            </w:r>
          </w:p>
        </w:tc>
        <w:tc>
          <w:tcPr>
            <w:tcW w:w="8533" w:type="dxa"/>
            <w:shd w:val="clear" w:color="auto" w:fill="auto"/>
            <w:vAlign w:val="bottom"/>
            <w:hideMark/>
          </w:tcPr>
          <w:p w14:paraId="484545C8"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Percent change (from previous year) in personal income per capita; Spatially-explicit representation of general economic conditions at the county level (annual, county)</w:t>
            </w:r>
          </w:p>
        </w:tc>
        <w:tc>
          <w:tcPr>
            <w:tcW w:w="1620" w:type="dxa"/>
            <w:vMerge w:val="restart"/>
            <w:shd w:val="clear" w:color="auto" w:fill="auto"/>
            <w:vAlign w:val="center"/>
            <w:hideMark/>
          </w:tcPr>
          <w:p w14:paraId="2492E419" w14:textId="77777777" w:rsidR="0019254B" w:rsidRPr="0019254B" w:rsidRDefault="0019254B" w:rsidP="0019254B">
            <w:pPr>
              <w:spacing w:after="0" w:line="240" w:lineRule="auto"/>
              <w:jc w:val="center"/>
              <w:rPr>
                <w:rFonts w:ascii="Times New Roman" w:eastAsia="Times New Roman" w:hAnsi="Times New Roman" w:cs="Times New Roman"/>
                <w:color w:val="000000"/>
              </w:rPr>
            </w:pPr>
            <w:r w:rsidRPr="0019254B">
              <w:rPr>
                <w:rFonts w:ascii="Times New Roman" w:eastAsia="Times New Roman" w:hAnsi="Times New Roman" w:cs="Times New Roman"/>
                <w:color w:val="000000"/>
              </w:rPr>
              <w:t>US Bureau of Economic Analysis</w:t>
            </w:r>
          </w:p>
          <w:p w14:paraId="32454FC6" w14:textId="77777777" w:rsidR="0019254B" w:rsidRPr="0019254B" w:rsidRDefault="0019254B" w:rsidP="0019254B">
            <w:pPr>
              <w:spacing w:after="0" w:line="240" w:lineRule="auto"/>
              <w:jc w:val="center"/>
              <w:rPr>
                <w:rFonts w:ascii="Times New Roman" w:eastAsia="Times New Roman" w:hAnsi="Times New Roman" w:cs="Times New Roman"/>
                <w:color w:val="000000"/>
              </w:rPr>
            </w:pPr>
          </w:p>
        </w:tc>
        <w:tc>
          <w:tcPr>
            <w:tcW w:w="1890" w:type="dxa"/>
            <w:shd w:val="clear" w:color="auto" w:fill="auto"/>
            <w:vAlign w:val="bottom"/>
            <w:hideMark/>
          </w:tcPr>
          <w:p w14:paraId="28123DB7"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All</w:t>
            </w:r>
          </w:p>
        </w:tc>
      </w:tr>
      <w:tr w:rsidR="0019254B" w:rsidRPr="0019254B" w14:paraId="196D2DAE" w14:textId="77777777" w:rsidTr="00E732C7">
        <w:trPr>
          <w:trHeight w:val="530"/>
        </w:trPr>
        <w:tc>
          <w:tcPr>
            <w:tcW w:w="1632" w:type="dxa"/>
            <w:shd w:val="clear" w:color="auto" w:fill="auto"/>
            <w:vAlign w:val="bottom"/>
            <w:hideMark/>
          </w:tcPr>
          <w:p w14:paraId="622EDD55"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Manufacturing GDP</w:t>
            </w:r>
          </w:p>
        </w:tc>
        <w:tc>
          <w:tcPr>
            <w:tcW w:w="8533" w:type="dxa"/>
            <w:shd w:val="clear" w:color="auto" w:fill="auto"/>
            <w:vAlign w:val="bottom"/>
            <w:hideMark/>
          </w:tcPr>
          <w:p w14:paraId="3AEDECD5"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Virginia GDP in current dollars from manufacturing (detrended); Spatially-general representation of manufacturing sector economic strength (annual, state)</w:t>
            </w:r>
          </w:p>
        </w:tc>
        <w:tc>
          <w:tcPr>
            <w:tcW w:w="1620" w:type="dxa"/>
            <w:vMerge/>
            <w:shd w:val="clear" w:color="auto" w:fill="auto"/>
            <w:vAlign w:val="center"/>
            <w:hideMark/>
          </w:tcPr>
          <w:p w14:paraId="54A370E2" w14:textId="77777777" w:rsidR="0019254B" w:rsidRPr="0019254B" w:rsidRDefault="0019254B" w:rsidP="0019254B">
            <w:pPr>
              <w:spacing w:after="0" w:line="240" w:lineRule="auto"/>
              <w:jc w:val="center"/>
              <w:rPr>
                <w:rFonts w:ascii="Times New Roman" w:eastAsia="Times New Roman" w:hAnsi="Times New Roman" w:cs="Times New Roman"/>
                <w:color w:val="000000"/>
              </w:rPr>
            </w:pPr>
          </w:p>
        </w:tc>
        <w:tc>
          <w:tcPr>
            <w:tcW w:w="1890" w:type="dxa"/>
            <w:shd w:val="clear" w:color="auto" w:fill="auto"/>
            <w:vAlign w:val="bottom"/>
            <w:hideMark/>
          </w:tcPr>
          <w:p w14:paraId="1D2E6F36"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Com, Ind, Min</w:t>
            </w:r>
          </w:p>
        </w:tc>
      </w:tr>
      <w:tr w:rsidR="0019254B" w:rsidRPr="0019254B" w14:paraId="68E0CDC3" w14:textId="77777777" w:rsidTr="00E732C7">
        <w:trPr>
          <w:trHeight w:val="341"/>
        </w:trPr>
        <w:tc>
          <w:tcPr>
            <w:tcW w:w="1632" w:type="dxa"/>
            <w:shd w:val="clear" w:color="auto" w:fill="auto"/>
            <w:vAlign w:val="bottom"/>
            <w:hideMark/>
          </w:tcPr>
          <w:p w14:paraId="0C7E357F"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Agricultural GDP</w:t>
            </w:r>
          </w:p>
        </w:tc>
        <w:tc>
          <w:tcPr>
            <w:tcW w:w="8533" w:type="dxa"/>
            <w:shd w:val="clear" w:color="auto" w:fill="auto"/>
            <w:vAlign w:val="bottom"/>
            <w:hideMark/>
          </w:tcPr>
          <w:p w14:paraId="60D6EEF9"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Virginia GDP in current dollars from agriculture (detrended); Spatially-general representation of agricultural sector economic strength (annual, state)</w:t>
            </w:r>
          </w:p>
        </w:tc>
        <w:tc>
          <w:tcPr>
            <w:tcW w:w="1620" w:type="dxa"/>
            <w:vMerge/>
            <w:shd w:val="clear" w:color="auto" w:fill="auto"/>
            <w:vAlign w:val="center"/>
            <w:hideMark/>
          </w:tcPr>
          <w:p w14:paraId="309ABC3F" w14:textId="77777777" w:rsidR="0019254B" w:rsidRPr="0019254B" w:rsidRDefault="0019254B" w:rsidP="0019254B">
            <w:pPr>
              <w:spacing w:after="0" w:line="240" w:lineRule="auto"/>
              <w:jc w:val="center"/>
              <w:rPr>
                <w:rFonts w:ascii="Times New Roman" w:eastAsia="Times New Roman" w:hAnsi="Times New Roman" w:cs="Times New Roman"/>
                <w:color w:val="000000"/>
              </w:rPr>
            </w:pPr>
          </w:p>
        </w:tc>
        <w:tc>
          <w:tcPr>
            <w:tcW w:w="1890" w:type="dxa"/>
            <w:shd w:val="clear" w:color="auto" w:fill="auto"/>
            <w:vAlign w:val="bottom"/>
            <w:hideMark/>
          </w:tcPr>
          <w:p w14:paraId="3B34850B"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 xml:space="preserve">Ag, </w:t>
            </w:r>
            <w:proofErr w:type="spellStart"/>
            <w:r w:rsidRPr="0019254B">
              <w:rPr>
                <w:rFonts w:ascii="Times New Roman" w:eastAsia="Times New Roman" w:hAnsi="Times New Roman" w:cs="Times New Roman"/>
                <w:color w:val="000000"/>
              </w:rPr>
              <w:t>Aq</w:t>
            </w:r>
            <w:proofErr w:type="spellEnd"/>
            <w:r w:rsidRPr="0019254B">
              <w:rPr>
                <w:rFonts w:ascii="Times New Roman" w:eastAsia="Times New Roman" w:hAnsi="Times New Roman" w:cs="Times New Roman"/>
                <w:color w:val="000000"/>
              </w:rPr>
              <w:t xml:space="preserve">, Com, </w:t>
            </w:r>
            <w:proofErr w:type="spellStart"/>
            <w:r w:rsidRPr="0019254B">
              <w:rPr>
                <w:rFonts w:ascii="Times New Roman" w:eastAsia="Times New Roman" w:hAnsi="Times New Roman" w:cs="Times New Roman"/>
                <w:color w:val="000000"/>
              </w:rPr>
              <w:t>Irr</w:t>
            </w:r>
            <w:proofErr w:type="spellEnd"/>
          </w:p>
        </w:tc>
      </w:tr>
      <w:tr w:rsidR="0019254B" w:rsidRPr="0019254B" w14:paraId="3DF09BD4" w14:textId="77777777" w:rsidTr="00E732C7">
        <w:trPr>
          <w:trHeight w:val="557"/>
        </w:trPr>
        <w:tc>
          <w:tcPr>
            <w:tcW w:w="1632" w:type="dxa"/>
            <w:shd w:val="clear" w:color="auto" w:fill="auto"/>
            <w:vAlign w:val="bottom"/>
            <w:hideMark/>
          </w:tcPr>
          <w:p w14:paraId="134298B8"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USDA Price Ratio</w:t>
            </w:r>
          </w:p>
        </w:tc>
        <w:tc>
          <w:tcPr>
            <w:tcW w:w="8533" w:type="dxa"/>
            <w:shd w:val="clear" w:color="auto" w:fill="auto"/>
            <w:vAlign w:val="bottom"/>
            <w:hideMark/>
          </w:tcPr>
          <w:p w14:paraId="7CE98D60"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Ratio of USDA Prices Received Index to Prices Paid Index (detrended); Spatially-general representation of economic conditions for agricultural producers (monthly, national)</w:t>
            </w:r>
          </w:p>
        </w:tc>
        <w:tc>
          <w:tcPr>
            <w:tcW w:w="1620" w:type="dxa"/>
            <w:shd w:val="clear" w:color="auto" w:fill="auto"/>
            <w:vAlign w:val="center"/>
            <w:hideMark/>
          </w:tcPr>
          <w:p w14:paraId="26E1A778" w14:textId="77777777" w:rsidR="0019254B" w:rsidRPr="0019254B" w:rsidRDefault="0019254B" w:rsidP="0019254B">
            <w:pPr>
              <w:spacing w:after="0" w:line="240" w:lineRule="auto"/>
              <w:jc w:val="center"/>
              <w:rPr>
                <w:rFonts w:ascii="Times New Roman" w:eastAsia="Times New Roman" w:hAnsi="Times New Roman" w:cs="Times New Roman"/>
                <w:color w:val="000000"/>
              </w:rPr>
            </w:pPr>
            <w:r w:rsidRPr="0019254B">
              <w:rPr>
                <w:rFonts w:ascii="Times New Roman" w:eastAsia="Times New Roman" w:hAnsi="Times New Roman" w:cs="Times New Roman"/>
                <w:color w:val="000000"/>
              </w:rPr>
              <w:t>USDA NASS</w:t>
            </w:r>
          </w:p>
        </w:tc>
        <w:tc>
          <w:tcPr>
            <w:tcW w:w="1890" w:type="dxa"/>
            <w:shd w:val="clear" w:color="auto" w:fill="auto"/>
            <w:vAlign w:val="bottom"/>
            <w:hideMark/>
          </w:tcPr>
          <w:p w14:paraId="39E2695B"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 xml:space="preserve">Ag, </w:t>
            </w:r>
            <w:proofErr w:type="spellStart"/>
            <w:r w:rsidRPr="0019254B">
              <w:rPr>
                <w:rFonts w:ascii="Times New Roman" w:eastAsia="Times New Roman" w:hAnsi="Times New Roman" w:cs="Times New Roman"/>
                <w:color w:val="000000"/>
              </w:rPr>
              <w:t>Aq</w:t>
            </w:r>
            <w:proofErr w:type="spellEnd"/>
            <w:r w:rsidRPr="0019254B">
              <w:rPr>
                <w:rFonts w:ascii="Times New Roman" w:eastAsia="Times New Roman" w:hAnsi="Times New Roman" w:cs="Times New Roman"/>
                <w:color w:val="000000"/>
              </w:rPr>
              <w:t xml:space="preserve">, </w:t>
            </w:r>
            <w:proofErr w:type="spellStart"/>
            <w:r w:rsidRPr="0019254B">
              <w:rPr>
                <w:rFonts w:ascii="Times New Roman" w:eastAsia="Times New Roman" w:hAnsi="Times New Roman" w:cs="Times New Roman"/>
                <w:color w:val="000000"/>
              </w:rPr>
              <w:t>Irr</w:t>
            </w:r>
            <w:proofErr w:type="spellEnd"/>
          </w:p>
        </w:tc>
      </w:tr>
      <w:tr w:rsidR="0019254B" w:rsidRPr="0019254B" w14:paraId="73FF9383" w14:textId="77777777" w:rsidTr="00E732C7">
        <w:trPr>
          <w:trHeight w:val="530"/>
        </w:trPr>
        <w:tc>
          <w:tcPr>
            <w:tcW w:w="1632" w:type="dxa"/>
            <w:shd w:val="clear" w:color="auto" w:fill="auto"/>
            <w:vAlign w:val="bottom"/>
            <w:hideMark/>
          </w:tcPr>
          <w:p w14:paraId="5296F0B3"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Agricultural Land Cover</w:t>
            </w:r>
          </w:p>
        </w:tc>
        <w:tc>
          <w:tcPr>
            <w:tcW w:w="8533" w:type="dxa"/>
            <w:shd w:val="clear" w:color="auto" w:fill="auto"/>
            <w:vAlign w:val="bottom"/>
            <w:hideMark/>
          </w:tcPr>
          <w:p w14:paraId="039CF752"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Percentage of county land use classified as cultivated cropland, hay or pasture; Account for expansion and decline of agricultural land cover over study period (annual, county)</w:t>
            </w:r>
          </w:p>
        </w:tc>
        <w:tc>
          <w:tcPr>
            <w:tcW w:w="1620" w:type="dxa"/>
            <w:vMerge w:val="restart"/>
            <w:shd w:val="clear" w:color="auto" w:fill="auto"/>
            <w:vAlign w:val="center"/>
            <w:hideMark/>
          </w:tcPr>
          <w:p w14:paraId="37C8B4AB" w14:textId="77777777" w:rsidR="0019254B" w:rsidRPr="0019254B" w:rsidRDefault="0019254B" w:rsidP="0019254B">
            <w:pPr>
              <w:spacing w:after="0" w:line="240" w:lineRule="auto"/>
              <w:jc w:val="center"/>
              <w:rPr>
                <w:rFonts w:ascii="Times New Roman" w:eastAsia="Times New Roman" w:hAnsi="Times New Roman" w:cs="Times New Roman"/>
                <w:color w:val="000000"/>
              </w:rPr>
            </w:pPr>
            <w:r w:rsidRPr="0019254B">
              <w:rPr>
                <w:rFonts w:ascii="Times New Roman" w:eastAsia="Times New Roman" w:hAnsi="Times New Roman" w:cs="Times New Roman"/>
                <w:color w:val="000000"/>
              </w:rPr>
              <w:t>USGS FORE-SCE land cover model</w:t>
            </w:r>
          </w:p>
        </w:tc>
        <w:tc>
          <w:tcPr>
            <w:tcW w:w="1890" w:type="dxa"/>
            <w:shd w:val="clear" w:color="auto" w:fill="auto"/>
            <w:vAlign w:val="bottom"/>
            <w:hideMark/>
          </w:tcPr>
          <w:p w14:paraId="29C7E096"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 xml:space="preserve">Ag, </w:t>
            </w:r>
            <w:proofErr w:type="spellStart"/>
            <w:r w:rsidRPr="0019254B">
              <w:rPr>
                <w:rFonts w:ascii="Times New Roman" w:eastAsia="Times New Roman" w:hAnsi="Times New Roman" w:cs="Times New Roman"/>
                <w:color w:val="000000"/>
              </w:rPr>
              <w:t>Aq</w:t>
            </w:r>
            <w:proofErr w:type="spellEnd"/>
            <w:r w:rsidRPr="0019254B">
              <w:rPr>
                <w:rFonts w:ascii="Times New Roman" w:eastAsia="Times New Roman" w:hAnsi="Times New Roman" w:cs="Times New Roman"/>
                <w:color w:val="000000"/>
              </w:rPr>
              <w:t xml:space="preserve">, </w:t>
            </w:r>
            <w:proofErr w:type="spellStart"/>
            <w:r w:rsidRPr="0019254B">
              <w:rPr>
                <w:rFonts w:ascii="Times New Roman" w:eastAsia="Times New Roman" w:hAnsi="Times New Roman" w:cs="Times New Roman"/>
                <w:color w:val="000000"/>
              </w:rPr>
              <w:t>Irr</w:t>
            </w:r>
            <w:proofErr w:type="spellEnd"/>
          </w:p>
        </w:tc>
      </w:tr>
      <w:tr w:rsidR="0019254B" w:rsidRPr="0019254B" w14:paraId="5153DAAD" w14:textId="77777777" w:rsidTr="00E732C7">
        <w:trPr>
          <w:trHeight w:val="521"/>
        </w:trPr>
        <w:tc>
          <w:tcPr>
            <w:tcW w:w="1632" w:type="dxa"/>
            <w:shd w:val="clear" w:color="auto" w:fill="auto"/>
            <w:vAlign w:val="bottom"/>
            <w:hideMark/>
          </w:tcPr>
          <w:p w14:paraId="2ECAEB32"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Developed land cover density</w:t>
            </w:r>
          </w:p>
        </w:tc>
        <w:tc>
          <w:tcPr>
            <w:tcW w:w="8533" w:type="dxa"/>
            <w:shd w:val="clear" w:color="auto" w:fill="auto"/>
            <w:vAlign w:val="bottom"/>
            <w:hideMark/>
          </w:tcPr>
          <w:p w14:paraId="39ADB881"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Population per square kilometer of developed area; Included to account for differing development densities (annual, county)</w:t>
            </w:r>
          </w:p>
        </w:tc>
        <w:tc>
          <w:tcPr>
            <w:tcW w:w="1620" w:type="dxa"/>
            <w:vMerge/>
            <w:shd w:val="clear" w:color="auto" w:fill="auto"/>
            <w:vAlign w:val="center"/>
          </w:tcPr>
          <w:p w14:paraId="588BF073" w14:textId="77777777" w:rsidR="0019254B" w:rsidRPr="0019254B" w:rsidRDefault="0019254B" w:rsidP="0019254B">
            <w:pPr>
              <w:spacing w:after="0" w:line="240" w:lineRule="auto"/>
              <w:jc w:val="center"/>
              <w:rPr>
                <w:rFonts w:ascii="Times New Roman" w:eastAsia="Times New Roman" w:hAnsi="Times New Roman" w:cs="Times New Roman"/>
                <w:color w:val="000000"/>
              </w:rPr>
            </w:pPr>
          </w:p>
        </w:tc>
        <w:tc>
          <w:tcPr>
            <w:tcW w:w="1890" w:type="dxa"/>
            <w:shd w:val="clear" w:color="auto" w:fill="auto"/>
            <w:vAlign w:val="bottom"/>
            <w:hideMark/>
          </w:tcPr>
          <w:p w14:paraId="0B943F7A"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Mun</w:t>
            </w:r>
          </w:p>
        </w:tc>
      </w:tr>
      <w:tr w:rsidR="0019254B" w:rsidRPr="0019254B" w14:paraId="209041AD" w14:textId="77777777" w:rsidTr="00E732C7">
        <w:trPr>
          <w:trHeight w:val="494"/>
        </w:trPr>
        <w:tc>
          <w:tcPr>
            <w:tcW w:w="1632" w:type="dxa"/>
            <w:shd w:val="clear" w:color="auto" w:fill="auto"/>
            <w:vAlign w:val="bottom"/>
            <w:hideMark/>
          </w:tcPr>
          <w:p w14:paraId="18F8F0E6"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Energy Prices</w:t>
            </w:r>
          </w:p>
        </w:tc>
        <w:tc>
          <w:tcPr>
            <w:tcW w:w="8533" w:type="dxa"/>
            <w:shd w:val="clear" w:color="auto" w:fill="auto"/>
            <w:vAlign w:val="bottom"/>
            <w:hideMark/>
          </w:tcPr>
          <w:p w14:paraId="213E5710"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Virginia total energy prices in dollars per million BTU (detrended); Spatially-general representation of energy prices (annual, state)</w:t>
            </w:r>
          </w:p>
        </w:tc>
        <w:tc>
          <w:tcPr>
            <w:tcW w:w="1620" w:type="dxa"/>
            <w:vMerge w:val="restart"/>
            <w:shd w:val="clear" w:color="auto" w:fill="auto"/>
            <w:vAlign w:val="center"/>
            <w:hideMark/>
          </w:tcPr>
          <w:p w14:paraId="6F9EBA6E" w14:textId="77777777" w:rsidR="0019254B" w:rsidRPr="0019254B" w:rsidRDefault="0019254B" w:rsidP="0019254B">
            <w:pPr>
              <w:spacing w:after="0" w:line="240" w:lineRule="auto"/>
              <w:jc w:val="center"/>
              <w:rPr>
                <w:rFonts w:ascii="Times New Roman" w:eastAsia="Times New Roman" w:hAnsi="Times New Roman" w:cs="Times New Roman"/>
                <w:color w:val="000000"/>
              </w:rPr>
            </w:pPr>
            <w:r w:rsidRPr="0019254B">
              <w:rPr>
                <w:rFonts w:ascii="Times New Roman" w:eastAsia="Times New Roman" w:hAnsi="Times New Roman" w:cs="Times New Roman"/>
                <w:color w:val="000000"/>
              </w:rPr>
              <w:t>US Energy Information Administration</w:t>
            </w:r>
          </w:p>
          <w:p w14:paraId="376301F3" w14:textId="77777777" w:rsidR="0019254B" w:rsidRPr="0019254B" w:rsidRDefault="0019254B" w:rsidP="0019254B">
            <w:pPr>
              <w:spacing w:after="0" w:line="240" w:lineRule="auto"/>
              <w:jc w:val="center"/>
              <w:rPr>
                <w:rFonts w:ascii="Times New Roman" w:eastAsia="Times New Roman" w:hAnsi="Times New Roman" w:cs="Times New Roman"/>
                <w:color w:val="000000"/>
              </w:rPr>
            </w:pPr>
          </w:p>
        </w:tc>
        <w:tc>
          <w:tcPr>
            <w:tcW w:w="1890" w:type="dxa"/>
            <w:shd w:val="clear" w:color="auto" w:fill="auto"/>
            <w:vAlign w:val="bottom"/>
            <w:hideMark/>
          </w:tcPr>
          <w:p w14:paraId="6C4EA802"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All</w:t>
            </w:r>
          </w:p>
        </w:tc>
      </w:tr>
      <w:tr w:rsidR="0019254B" w:rsidRPr="0019254B" w14:paraId="07B5E121" w14:textId="77777777" w:rsidTr="00E732C7">
        <w:trPr>
          <w:trHeight w:val="521"/>
        </w:trPr>
        <w:tc>
          <w:tcPr>
            <w:tcW w:w="1632" w:type="dxa"/>
            <w:shd w:val="clear" w:color="auto" w:fill="auto"/>
            <w:vAlign w:val="bottom"/>
            <w:hideMark/>
          </w:tcPr>
          <w:p w14:paraId="59344185"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Electricity Sales</w:t>
            </w:r>
          </w:p>
        </w:tc>
        <w:tc>
          <w:tcPr>
            <w:tcW w:w="8533" w:type="dxa"/>
            <w:shd w:val="clear" w:color="auto" w:fill="auto"/>
            <w:vAlign w:val="bottom"/>
            <w:hideMark/>
          </w:tcPr>
          <w:p w14:paraId="44C26395"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Virginia retail electricity sales in millions of kWh (detrended); Spatially-general representation of energy consumption (annual, state)</w:t>
            </w:r>
          </w:p>
        </w:tc>
        <w:tc>
          <w:tcPr>
            <w:tcW w:w="1620" w:type="dxa"/>
            <w:vMerge/>
            <w:shd w:val="clear" w:color="auto" w:fill="auto"/>
            <w:vAlign w:val="bottom"/>
            <w:hideMark/>
          </w:tcPr>
          <w:p w14:paraId="707323EB" w14:textId="77777777" w:rsidR="0019254B" w:rsidRPr="0019254B" w:rsidRDefault="0019254B" w:rsidP="0019254B">
            <w:pPr>
              <w:spacing w:after="0" w:line="240" w:lineRule="auto"/>
              <w:rPr>
                <w:rFonts w:ascii="Times New Roman" w:eastAsia="Times New Roman" w:hAnsi="Times New Roman" w:cs="Times New Roman"/>
                <w:color w:val="000000"/>
              </w:rPr>
            </w:pPr>
          </w:p>
        </w:tc>
        <w:tc>
          <w:tcPr>
            <w:tcW w:w="1890" w:type="dxa"/>
            <w:shd w:val="clear" w:color="auto" w:fill="auto"/>
            <w:vAlign w:val="bottom"/>
            <w:hideMark/>
          </w:tcPr>
          <w:p w14:paraId="0C35D194" w14:textId="77777777" w:rsidR="0019254B" w:rsidRPr="0019254B" w:rsidRDefault="0019254B" w:rsidP="0019254B">
            <w:pPr>
              <w:spacing w:after="0" w:line="240" w:lineRule="auto"/>
              <w:rPr>
                <w:rFonts w:ascii="Times New Roman" w:eastAsia="Times New Roman" w:hAnsi="Times New Roman" w:cs="Times New Roman"/>
                <w:color w:val="000000"/>
              </w:rPr>
            </w:pPr>
            <w:proofErr w:type="spellStart"/>
            <w:r w:rsidRPr="0019254B">
              <w:rPr>
                <w:rFonts w:ascii="Times New Roman" w:eastAsia="Times New Roman" w:hAnsi="Times New Roman" w:cs="Times New Roman"/>
                <w:color w:val="000000"/>
              </w:rPr>
              <w:t>Thm</w:t>
            </w:r>
            <w:proofErr w:type="spellEnd"/>
          </w:p>
        </w:tc>
      </w:tr>
      <w:tr w:rsidR="0019254B" w:rsidRPr="0019254B" w14:paraId="34EF48D4" w14:textId="77777777" w:rsidTr="00E732C7">
        <w:trPr>
          <w:trHeight w:val="620"/>
        </w:trPr>
        <w:tc>
          <w:tcPr>
            <w:tcW w:w="1632" w:type="dxa"/>
            <w:shd w:val="clear" w:color="auto" w:fill="auto"/>
            <w:vAlign w:val="bottom"/>
            <w:hideMark/>
          </w:tcPr>
          <w:p w14:paraId="678A519A"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Energy Production</w:t>
            </w:r>
          </w:p>
        </w:tc>
        <w:tc>
          <w:tcPr>
            <w:tcW w:w="8533" w:type="dxa"/>
            <w:shd w:val="clear" w:color="auto" w:fill="auto"/>
            <w:vAlign w:val="bottom"/>
            <w:hideMark/>
          </w:tcPr>
          <w:p w14:paraId="40697E00"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Virginia primary energy production in trillion BTU (detrended); Spatially-general representation of energy production (annual, state)</w:t>
            </w:r>
          </w:p>
        </w:tc>
        <w:tc>
          <w:tcPr>
            <w:tcW w:w="1620" w:type="dxa"/>
            <w:vMerge/>
            <w:shd w:val="clear" w:color="auto" w:fill="auto"/>
            <w:vAlign w:val="bottom"/>
            <w:hideMark/>
          </w:tcPr>
          <w:p w14:paraId="2A13A5E9" w14:textId="77777777" w:rsidR="0019254B" w:rsidRPr="0019254B" w:rsidRDefault="0019254B" w:rsidP="0019254B">
            <w:pPr>
              <w:spacing w:after="0" w:line="240" w:lineRule="auto"/>
              <w:rPr>
                <w:rFonts w:ascii="Times New Roman" w:eastAsia="Times New Roman" w:hAnsi="Times New Roman" w:cs="Times New Roman"/>
                <w:color w:val="000000"/>
              </w:rPr>
            </w:pPr>
          </w:p>
        </w:tc>
        <w:tc>
          <w:tcPr>
            <w:tcW w:w="1890" w:type="dxa"/>
            <w:shd w:val="clear" w:color="auto" w:fill="auto"/>
            <w:vAlign w:val="bottom"/>
            <w:hideMark/>
          </w:tcPr>
          <w:p w14:paraId="4ED0A24D" w14:textId="77777777" w:rsidR="0019254B" w:rsidRPr="0019254B" w:rsidRDefault="0019254B" w:rsidP="0019254B">
            <w:pPr>
              <w:spacing w:after="0" w:line="240" w:lineRule="auto"/>
              <w:rPr>
                <w:rFonts w:ascii="Times New Roman" w:eastAsia="Times New Roman" w:hAnsi="Times New Roman" w:cs="Times New Roman"/>
                <w:color w:val="000000"/>
              </w:rPr>
            </w:pPr>
            <w:r w:rsidRPr="0019254B">
              <w:rPr>
                <w:rFonts w:ascii="Times New Roman" w:eastAsia="Times New Roman" w:hAnsi="Times New Roman" w:cs="Times New Roman"/>
                <w:color w:val="000000"/>
              </w:rPr>
              <w:t xml:space="preserve">Min, </w:t>
            </w:r>
            <w:proofErr w:type="spellStart"/>
            <w:r w:rsidRPr="0019254B">
              <w:rPr>
                <w:rFonts w:ascii="Times New Roman" w:eastAsia="Times New Roman" w:hAnsi="Times New Roman" w:cs="Times New Roman"/>
                <w:color w:val="000000"/>
              </w:rPr>
              <w:t>Thm</w:t>
            </w:r>
            <w:proofErr w:type="spellEnd"/>
          </w:p>
        </w:tc>
      </w:tr>
    </w:tbl>
    <w:p w14:paraId="5AC9B339" w14:textId="75DDDB8D" w:rsidR="0019254B" w:rsidRPr="0019254B" w:rsidRDefault="0019254B" w:rsidP="0019254B">
      <w:pPr>
        <w:spacing w:line="480" w:lineRule="auto"/>
        <w:jc w:val="center"/>
        <w:rPr>
          <w:rFonts w:ascii="Times New Roman" w:eastAsia="Calibri" w:hAnsi="Times New Roman" w:cs="Times New Roman"/>
          <w:i/>
          <w:sz w:val="24"/>
          <w:szCs w:val="24"/>
        </w:rPr>
      </w:pPr>
      <w:r w:rsidRPr="0019254B">
        <w:rPr>
          <w:rFonts w:ascii="Times New Roman" w:eastAsia="Calibri" w:hAnsi="Times New Roman" w:cs="Times New Roman"/>
          <w:i/>
          <w:sz w:val="24"/>
          <w:szCs w:val="24"/>
        </w:rPr>
        <w:t xml:space="preserve">Table </w:t>
      </w:r>
      <w:r>
        <w:rPr>
          <w:rFonts w:ascii="Times New Roman" w:eastAsia="Calibri" w:hAnsi="Times New Roman" w:cs="Times New Roman"/>
          <w:i/>
          <w:sz w:val="24"/>
          <w:szCs w:val="24"/>
        </w:rPr>
        <w:t>S1</w:t>
      </w:r>
      <w:r w:rsidRPr="0019254B">
        <w:rPr>
          <w:rFonts w:ascii="Times New Roman" w:eastAsia="Calibri" w:hAnsi="Times New Roman" w:cs="Times New Roman"/>
          <w:i/>
          <w:sz w:val="24"/>
          <w:szCs w:val="24"/>
        </w:rPr>
        <w:t>: Summary of socio-economic predictor variables</w:t>
      </w:r>
    </w:p>
    <w:p w14:paraId="15EECD1C" w14:textId="77777777" w:rsidR="0019254B" w:rsidRDefault="0019254B" w:rsidP="0019254B">
      <w:pPr>
        <w:rPr>
          <w:rFonts w:ascii="Times New Roman" w:hAnsi="Times New Roman" w:cs="Times New Roman"/>
          <w:sz w:val="24"/>
          <w:szCs w:val="24"/>
        </w:rPr>
        <w:sectPr w:rsidR="0019254B" w:rsidSect="0019254B">
          <w:pgSz w:w="15840" w:h="12240" w:orient="landscape"/>
          <w:pgMar w:top="1440" w:right="1440" w:bottom="1440" w:left="1440" w:header="720" w:footer="720" w:gutter="0"/>
          <w:cols w:space="720"/>
          <w:docGrid w:linePitch="360"/>
        </w:sectPr>
      </w:pPr>
    </w:p>
    <w:p w14:paraId="1329DE26" w14:textId="57C22618" w:rsidR="0019254B" w:rsidRDefault="0006686C">
      <w:pPr>
        <w:rPr>
          <w:rFonts w:ascii="Times New Roman" w:hAnsi="Times New Roman" w:cs="Times New Roman"/>
          <w:b/>
          <w:sz w:val="24"/>
          <w:szCs w:val="24"/>
        </w:rPr>
      </w:pPr>
      <w:r>
        <w:rPr>
          <w:rFonts w:ascii="Times New Roman" w:hAnsi="Times New Roman" w:cs="Times New Roman"/>
          <w:b/>
          <w:sz w:val="24"/>
          <w:szCs w:val="24"/>
        </w:rPr>
        <w:lastRenderedPageBreak/>
        <w:t>S</w:t>
      </w:r>
      <w:r w:rsidR="0019254B" w:rsidRPr="0019254B">
        <w:rPr>
          <w:rFonts w:ascii="Times New Roman" w:hAnsi="Times New Roman" w:cs="Times New Roman"/>
          <w:b/>
          <w:sz w:val="24"/>
          <w:szCs w:val="24"/>
        </w:rPr>
        <w:t>2. Facility Clustering Analysis</w:t>
      </w:r>
    </w:p>
    <w:p w14:paraId="3F6E7C0C" w14:textId="7A09FFC7" w:rsidR="0019254B" w:rsidRPr="0019254B" w:rsidRDefault="0019254B" w:rsidP="0019254B">
      <w:pPr>
        <w:spacing w:line="480" w:lineRule="auto"/>
        <w:ind w:firstLine="720"/>
        <w:rPr>
          <w:rFonts w:ascii="Times New Roman" w:eastAsia="Calibri" w:hAnsi="Times New Roman" w:cs="Times New Roman"/>
          <w:sz w:val="24"/>
          <w:szCs w:val="24"/>
        </w:rPr>
      </w:pPr>
      <w:r w:rsidRPr="0019254B">
        <w:rPr>
          <w:rFonts w:ascii="Times New Roman" w:eastAsia="Calibri" w:hAnsi="Times New Roman" w:cs="Times New Roman"/>
          <w:sz w:val="24"/>
          <w:szCs w:val="24"/>
        </w:rPr>
        <w:t xml:space="preserve">One limitation with sectoral grouping is that facilities in a single sector might actually exhibit very different pattern of water use, particularly in the industrial and commercial sectors </w:t>
      </w:r>
      <w:r w:rsidRPr="0019254B">
        <w:rPr>
          <w:rFonts w:ascii="Times New Roman" w:eastAsia="Calibri" w:hAnsi="Times New Roman" w:cs="Times New Roman"/>
          <w:sz w:val="24"/>
          <w:szCs w:val="24"/>
        </w:rPr>
        <w:fldChar w:fldCharType="begin"/>
      </w:r>
      <w:r w:rsidR="0006686C">
        <w:rPr>
          <w:rFonts w:ascii="Times New Roman" w:eastAsia="Calibri" w:hAnsi="Times New Roman" w:cs="Times New Roman"/>
          <w:sz w:val="24"/>
          <w:szCs w:val="24"/>
        </w:rPr>
        <w:instrText xml:space="preserve"> ADDIN ZOTERO_ITEM CSL_CITATION {"citationID":"rQcY48W9","properties":{"formattedCitation":"(Attaallah, 2018; McCarthy et al., 2022)","plainCitation":"(Attaallah, 2018; McCarthy et al., 2022)","noteIndex":0},"citationItems":[{"id":1639,"uris":["http://zotero.org/users/2386190/items/DQ9AYMDP"],"uri":["http://zotero.org/users/2386190/items/DQ9AYMDP"],"itemData":{"id":1639,"type":"thesis","event-place":"Logan, Utah","genre":"M.S. thesis, Civil and Environmental Engineering","language":"en","number-of-pages":"63","publisher":"Utah State University","publisher-place":"Logan, Utah","source":"Zotero","title":"Demand Dissagregation for Non-residential Water Users in the City of Logan, Utah, USA","author":[{"family":"Attaallah","given":"Nour Aldin Mahmoud"}],"issued":{"date-parts":[["2018"]]}}},{"id":2607,"uris":["http://zotero.org/users/2386190/items/LMPAQA26"],"uri":["http://zotero.org/users/2386190/items/LMPAQA26"],"itemData":{"id":2607,"type":"article-journal","abstract":"Understanding water consumption is an important component of water management. However, water consumption data are limited and consumption coefficients do not account for variability through time and across users. This study combines federally maintained discharge data with state-maintained withdrawal data at monthly time steps to estimate facility-level and spatially aggregated water consumption in Virginia between 2010 and 2016. We evaluate (1) the feasibility of using discharge and withdrawal datasets to estimate sub-annual water consumption, (2) how these consumption estimates vary depending on the level of spatial aggregation, and (3) what patterns of seasonality exist in consumption estimates. We find that a combined process of text matching and geospatial analysis is effective in matching facilities and yielding monthly time-series of water consumption. Our results suggest that median consumption in industrial (17%) and commercial (19%) facilities may be higher than median consumption coefficients in the literature (10%). Consumption estimates also demonstrated more variability across facilities and seasons than aggregate coefficients in the literature suggest. Combining this approach with institutional knowledge can assist in quantifying issues such as inter-basin transfers and infiltration that impact consumption estimates, ultimately allowing for more accurate accounts of water use and availability.","container-title":"JAWRA Journal of the American Water Resources Association","DOI":"10.1111/1752-1688.13037","ISSN":"1752-1688","issue":"n/a","language":"en","note":"_eprint: https://onlinelibrary.wiley.com/doi/pdf/10.1111/1752-1688.13037","source":"Wiley Online Library","title":"Estimating Facility-Level Monthly Water Consumption of Commercial, Industrial, Municipal, and Thermoelectric Users in Virginia","URL":"https://onlinelibrary.wiley.com/doi/abs/10.1111/1752-1688.13037","volume":"n/a","author":[{"family":"McCarthy","given":"Morgan"},{"family":"Brogan","given":"Connor"},{"family":"Shortridge","given":"Julie"},{"family":"Burgholzer","given":"Robert"},{"family":"Kleiner","given":"Joseph"},{"family":"Scott","given":"Durelle"}],"accessed":{"date-parts":[["2022",6,24]]},"issued":{"date-parts":[["2022"]]}}}],"schema":"https://github.com/citation-style-language/schema/raw/master/csl-citation.json"} </w:instrText>
      </w:r>
      <w:r w:rsidRPr="0019254B">
        <w:rPr>
          <w:rFonts w:ascii="Times New Roman" w:eastAsia="Calibri" w:hAnsi="Times New Roman" w:cs="Times New Roman"/>
          <w:sz w:val="24"/>
          <w:szCs w:val="24"/>
        </w:rPr>
        <w:fldChar w:fldCharType="separate"/>
      </w:r>
      <w:r w:rsidR="0006686C" w:rsidRPr="0006686C">
        <w:rPr>
          <w:rFonts w:ascii="Times New Roman" w:hAnsi="Times New Roman" w:cs="Times New Roman"/>
          <w:sz w:val="24"/>
        </w:rPr>
        <w:t>(</w:t>
      </w:r>
      <w:proofErr w:type="spellStart"/>
      <w:r w:rsidR="0006686C" w:rsidRPr="0006686C">
        <w:rPr>
          <w:rFonts w:ascii="Times New Roman" w:hAnsi="Times New Roman" w:cs="Times New Roman"/>
          <w:sz w:val="24"/>
        </w:rPr>
        <w:t>Attaallah</w:t>
      </w:r>
      <w:proofErr w:type="spellEnd"/>
      <w:r w:rsidR="0006686C" w:rsidRPr="0006686C">
        <w:rPr>
          <w:rFonts w:ascii="Times New Roman" w:hAnsi="Times New Roman" w:cs="Times New Roman"/>
          <w:sz w:val="24"/>
        </w:rPr>
        <w:t>, 2018; McCarthy et al., 2022)</w:t>
      </w:r>
      <w:r w:rsidRPr="0019254B">
        <w:rPr>
          <w:rFonts w:ascii="Times New Roman" w:eastAsia="Calibri" w:hAnsi="Times New Roman" w:cs="Times New Roman"/>
          <w:sz w:val="24"/>
          <w:szCs w:val="24"/>
        </w:rPr>
        <w:fldChar w:fldCharType="end"/>
      </w:r>
      <w:r w:rsidRPr="0019254B">
        <w:rPr>
          <w:rFonts w:ascii="Times New Roman" w:eastAsia="Calibri" w:hAnsi="Times New Roman" w:cs="Times New Roman"/>
          <w:sz w:val="24"/>
          <w:szCs w:val="24"/>
        </w:rPr>
        <w:t xml:space="preserve">. Thus, the small and large cluster grouping levels were determined based on the results of a hierarchical cluster analysis </w:t>
      </w:r>
      <w:r w:rsidRPr="0019254B">
        <w:rPr>
          <w:rFonts w:ascii="Times New Roman" w:eastAsia="Calibri" w:hAnsi="Times New Roman" w:cs="Times New Roman"/>
          <w:sz w:val="24"/>
          <w:szCs w:val="24"/>
        </w:rPr>
        <w:fldChar w:fldCharType="begin"/>
      </w:r>
      <w:r w:rsidRPr="0019254B">
        <w:rPr>
          <w:rFonts w:ascii="Times New Roman" w:eastAsia="Calibri" w:hAnsi="Times New Roman" w:cs="Times New Roman"/>
          <w:sz w:val="24"/>
          <w:szCs w:val="24"/>
        </w:rPr>
        <w:instrText xml:space="preserve"> ADDIN ZOTERO_ITEM CSL_CITATION {"citationID":"nDdg4A6s","properties":{"formattedCitation":"(Everitt et al., 2011)","plainCitation":"(Everitt et al., 2011)","noteIndex":0},"citationItems":[{"id":2610,"uris":["http://zotero.org/users/2386190/items/FB75CM2Y"],"uri":["http://zotero.org/users/2386190/items/FB75CM2Y"],"itemData":{"id":2610,"type":"book","abstract":"Cluster analysis comprises a range of methods for classifying multivariate data into subgroups. By organizing multivariate data into such subgroups, clustering can help reveal the characteristics of any structure or patterns present. These techniques have proven useful in a wide range of areas such as medicine, psychology, market research and bioinformatics. This fifth edition of the highly successful Cluster Analysis includes coverage of the latest developments in the field and a new chapter dealing with finite mixture models for structured data. Real life examples are used throughout to demonstrate the application of the theory, and figures are used extensively to illustrate graphical techniques. The book is comprehensive yet relatively non-mathematical, focusing on the practical aspects of cluster analysis. Key Features:  Presents a comprehensive guide to clustering techniques, with focus on the practical aspects of cluster analysis Provides a thorough revision of the fourth edition, including new developments in clustering longitudinal data and examples from bioinformatics and gene studies./li&gt; Updates the chapter on mixture models to include recent developments and presents a new chapter on mixture modeling for structured data  Practitioners and researchers working in cluster analysis and data analysis will benefit from this book.","event-place":"London, United Kingdom","ISBN":"978-0-470-97844-3","language":"en","number-of-pages":"377","publisher":"John Wiley &amp; Sons","publisher-place":"London, United Kingdom","source":"Google Books","title":"Cluster Analysis","author":[{"family":"Everitt","given":"Brian S."},{"family":"Leese","given":"Morven"},{"family":"Stahl","given":"Daniel"},{"family":"Landau, Sabine","given":""}],"issued":{"date-parts":[["2011",1,14]]}}}],"schema":"https://github.com/citation-style-language/schema/raw/master/csl-citation.json"} </w:instrText>
      </w:r>
      <w:r w:rsidRPr="0019254B">
        <w:rPr>
          <w:rFonts w:ascii="Times New Roman" w:eastAsia="Calibri" w:hAnsi="Times New Roman" w:cs="Times New Roman"/>
          <w:sz w:val="24"/>
          <w:szCs w:val="24"/>
        </w:rPr>
        <w:fldChar w:fldCharType="separate"/>
      </w:r>
      <w:r w:rsidRPr="0019254B">
        <w:rPr>
          <w:rFonts w:ascii="Times New Roman" w:eastAsia="Calibri" w:hAnsi="Times New Roman" w:cs="Times New Roman"/>
          <w:sz w:val="24"/>
        </w:rPr>
        <w:t>(Everitt et al., 2011)</w:t>
      </w:r>
      <w:r w:rsidRPr="0019254B">
        <w:rPr>
          <w:rFonts w:ascii="Times New Roman" w:eastAsia="Calibri" w:hAnsi="Times New Roman" w:cs="Times New Roman"/>
          <w:sz w:val="24"/>
          <w:szCs w:val="24"/>
        </w:rPr>
        <w:fldChar w:fldCharType="end"/>
      </w:r>
      <w:r w:rsidRPr="0019254B">
        <w:rPr>
          <w:rFonts w:ascii="Times New Roman" w:eastAsia="Calibri" w:hAnsi="Times New Roman" w:cs="Times New Roman"/>
          <w:sz w:val="24"/>
          <w:szCs w:val="24"/>
        </w:rPr>
        <w:t xml:space="preserve"> that identified coherent facility groupings based on five water use characteristics calculated for each facility: </w:t>
      </w:r>
    </w:p>
    <w:p w14:paraId="0C99AB3C" w14:textId="77777777" w:rsidR="0019254B" w:rsidRPr="0019254B" w:rsidRDefault="0019254B" w:rsidP="0019254B">
      <w:pPr>
        <w:numPr>
          <w:ilvl w:val="0"/>
          <w:numId w:val="1"/>
        </w:numPr>
        <w:spacing w:line="480" w:lineRule="auto"/>
        <w:contextualSpacing/>
        <w:rPr>
          <w:rFonts w:ascii="Times New Roman" w:eastAsia="Calibri" w:hAnsi="Times New Roman" w:cs="Times New Roman"/>
          <w:sz w:val="24"/>
          <w:szCs w:val="24"/>
        </w:rPr>
      </w:pPr>
      <w:r w:rsidRPr="0019254B">
        <w:rPr>
          <w:rFonts w:ascii="Times New Roman" w:eastAsia="Calibri" w:hAnsi="Times New Roman" w:cs="Times New Roman"/>
          <w:sz w:val="24"/>
          <w:szCs w:val="24"/>
        </w:rPr>
        <w:t>Mean withdrawal volume (MG/month), log transformed.</w:t>
      </w:r>
    </w:p>
    <w:p w14:paraId="7E4ACC39" w14:textId="77777777" w:rsidR="0019254B" w:rsidRPr="0019254B" w:rsidRDefault="0019254B" w:rsidP="0019254B">
      <w:pPr>
        <w:numPr>
          <w:ilvl w:val="0"/>
          <w:numId w:val="1"/>
        </w:numPr>
        <w:spacing w:line="480" w:lineRule="auto"/>
        <w:contextualSpacing/>
        <w:rPr>
          <w:rFonts w:ascii="Times New Roman" w:eastAsia="Calibri" w:hAnsi="Times New Roman" w:cs="Times New Roman"/>
          <w:sz w:val="24"/>
          <w:szCs w:val="24"/>
        </w:rPr>
      </w:pPr>
      <w:r w:rsidRPr="0019254B">
        <w:rPr>
          <w:rFonts w:ascii="Times New Roman" w:eastAsia="Calibri" w:hAnsi="Times New Roman" w:cs="Times New Roman"/>
          <w:sz w:val="24"/>
          <w:szCs w:val="24"/>
        </w:rPr>
        <w:t>Coefficient of variation: standard deviation of withdrawal divided by mean.</w:t>
      </w:r>
    </w:p>
    <w:p w14:paraId="1689A617" w14:textId="77777777" w:rsidR="0019254B" w:rsidRPr="0019254B" w:rsidRDefault="0019254B" w:rsidP="0019254B">
      <w:pPr>
        <w:numPr>
          <w:ilvl w:val="0"/>
          <w:numId w:val="1"/>
        </w:numPr>
        <w:spacing w:line="480" w:lineRule="auto"/>
        <w:contextualSpacing/>
        <w:rPr>
          <w:rFonts w:ascii="Times New Roman" w:eastAsia="Calibri" w:hAnsi="Times New Roman" w:cs="Times New Roman"/>
          <w:sz w:val="24"/>
          <w:szCs w:val="24"/>
        </w:rPr>
      </w:pPr>
      <w:r w:rsidRPr="0019254B">
        <w:rPr>
          <w:rFonts w:ascii="Times New Roman" w:eastAsia="Calibri" w:hAnsi="Times New Roman" w:cs="Times New Roman"/>
          <w:sz w:val="24"/>
          <w:szCs w:val="24"/>
        </w:rPr>
        <w:t>Seasonality: the lowest three-month mean withdrawal divided by the highest three-month mean withdrawal, where lower values indicate greater seasonality in withdrawal volume.</w:t>
      </w:r>
    </w:p>
    <w:p w14:paraId="39B56BBD" w14:textId="77777777" w:rsidR="0019254B" w:rsidRPr="0019254B" w:rsidRDefault="0019254B" w:rsidP="0019254B">
      <w:pPr>
        <w:numPr>
          <w:ilvl w:val="0"/>
          <w:numId w:val="1"/>
        </w:numPr>
        <w:spacing w:line="480" w:lineRule="auto"/>
        <w:contextualSpacing/>
        <w:rPr>
          <w:rFonts w:ascii="Times New Roman" w:eastAsia="Calibri" w:hAnsi="Times New Roman" w:cs="Times New Roman"/>
          <w:sz w:val="24"/>
          <w:szCs w:val="24"/>
        </w:rPr>
      </w:pPr>
      <w:r w:rsidRPr="0019254B">
        <w:rPr>
          <w:rFonts w:ascii="Times New Roman" w:eastAsia="Calibri" w:hAnsi="Times New Roman" w:cs="Times New Roman"/>
          <w:sz w:val="24"/>
          <w:szCs w:val="24"/>
        </w:rPr>
        <w:t xml:space="preserve">Autocorrelation: maximum degree of autocorrelation observed at any time lag. </w:t>
      </w:r>
    </w:p>
    <w:p w14:paraId="7FF31204" w14:textId="77777777" w:rsidR="0019254B" w:rsidRPr="0019254B" w:rsidRDefault="0019254B" w:rsidP="0019254B">
      <w:pPr>
        <w:numPr>
          <w:ilvl w:val="0"/>
          <w:numId w:val="1"/>
        </w:numPr>
        <w:spacing w:line="480" w:lineRule="auto"/>
        <w:contextualSpacing/>
        <w:rPr>
          <w:rFonts w:ascii="Times New Roman" w:eastAsia="Calibri" w:hAnsi="Times New Roman" w:cs="Times New Roman"/>
          <w:sz w:val="24"/>
          <w:szCs w:val="24"/>
        </w:rPr>
      </w:pPr>
      <w:r w:rsidRPr="0019254B">
        <w:rPr>
          <w:rFonts w:ascii="Times New Roman" w:eastAsia="Calibri" w:hAnsi="Times New Roman" w:cs="Times New Roman"/>
          <w:sz w:val="24"/>
          <w:szCs w:val="24"/>
        </w:rPr>
        <w:t xml:space="preserve">Number of Observations: the number of nonzero withdrawal observations available. </w:t>
      </w:r>
    </w:p>
    <w:p w14:paraId="2B0713EC" w14:textId="00946299" w:rsidR="0019254B" w:rsidRPr="0019254B" w:rsidRDefault="0019254B" w:rsidP="0019254B">
      <w:pPr>
        <w:spacing w:line="480" w:lineRule="auto"/>
        <w:rPr>
          <w:rFonts w:ascii="Times New Roman" w:eastAsia="Calibri" w:hAnsi="Times New Roman" w:cs="Times New Roman"/>
          <w:sz w:val="24"/>
          <w:szCs w:val="24"/>
        </w:rPr>
      </w:pPr>
      <w:r w:rsidRPr="0019254B">
        <w:rPr>
          <w:rFonts w:ascii="Times New Roman" w:eastAsia="Calibri" w:hAnsi="Times New Roman" w:cs="Times New Roman"/>
          <w:sz w:val="24"/>
          <w:szCs w:val="24"/>
        </w:rPr>
        <w:t>Figures</w:t>
      </w:r>
      <w:r>
        <w:rPr>
          <w:rFonts w:ascii="Times New Roman" w:eastAsia="Calibri" w:hAnsi="Times New Roman" w:cs="Times New Roman"/>
          <w:sz w:val="24"/>
          <w:szCs w:val="24"/>
        </w:rPr>
        <w:t xml:space="preserve"> S1 through S4</w:t>
      </w:r>
      <w:r w:rsidRPr="0019254B">
        <w:rPr>
          <w:rFonts w:ascii="Times New Roman" w:eastAsia="Calibri" w:hAnsi="Times New Roman" w:cs="Times New Roman"/>
          <w:sz w:val="24"/>
          <w:szCs w:val="24"/>
        </w:rPr>
        <w:t xml:space="preserve"> summariz</w:t>
      </w:r>
      <w:r>
        <w:rPr>
          <w:rFonts w:ascii="Times New Roman" w:eastAsia="Calibri" w:hAnsi="Times New Roman" w:cs="Times New Roman"/>
          <w:sz w:val="24"/>
          <w:szCs w:val="24"/>
        </w:rPr>
        <w:t>e</w:t>
      </w:r>
      <w:r w:rsidRPr="0019254B">
        <w:rPr>
          <w:rFonts w:ascii="Times New Roman" w:eastAsia="Calibri" w:hAnsi="Times New Roman" w:cs="Times New Roman"/>
          <w:sz w:val="24"/>
          <w:szCs w:val="24"/>
        </w:rPr>
        <w:t xml:space="preserve"> observed values </w:t>
      </w:r>
      <w:r>
        <w:rPr>
          <w:rFonts w:ascii="Times New Roman" w:eastAsia="Calibri" w:hAnsi="Times New Roman" w:cs="Times New Roman"/>
          <w:sz w:val="24"/>
          <w:szCs w:val="24"/>
        </w:rPr>
        <w:t>of withdrawal volume, COV, seasonality, and autocorrelation across facilities in each of the eight sectors analyzed</w:t>
      </w:r>
      <w:r w:rsidRPr="0019254B">
        <w:rPr>
          <w:rFonts w:ascii="Times New Roman" w:eastAsia="Calibri" w:hAnsi="Times New Roman" w:cs="Times New Roman"/>
          <w:sz w:val="24"/>
          <w:szCs w:val="24"/>
        </w:rPr>
        <w:t xml:space="preserve">. To determine the optimal number of clusters, facilities were divided into </w:t>
      </w:r>
      <w:r w:rsidRPr="0019254B">
        <w:rPr>
          <w:rFonts w:ascii="Times New Roman" w:eastAsia="Calibri" w:hAnsi="Times New Roman" w:cs="Times New Roman"/>
          <w:i/>
          <w:sz w:val="24"/>
          <w:szCs w:val="24"/>
        </w:rPr>
        <w:t xml:space="preserve">k </w:t>
      </w:r>
      <m:oMath>
        <m:r>
          <w:rPr>
            <w:rFonts w:ascii="Cambria Math" w:eastAsia="Calibri" w:hAnsi="Cambria Math" w:cs="Times New Roman"/>
            <w:sz w:val="24"/>
            <w:szCs w:val="24"/>
          </w:rPr>
          <m:t>∈</m:t>
        </m:r>
      </m:oMath>
      <w:r w:rsidRPr="0019254B">
        <w:rPr>
          <w:rFonts w:ascii="Times New Roman" w:eastAsia="Calibri" w:hAnsi="Times New Roman" w:cs="Times New Roman"/>
          <w:sz w:val="24"/>
          <w:szCs w:val="24"/>
        </w:rPr>
        <w:t xml:space="preserve"> {1, 15} hierarchical clusters based on Euclidian distance using the FactoExtra package in R </w:t>
      </w:r>
      <w:r w:rsidRPr="0019254B">
        <w:rPr>
          <w:rFonts w:ascii="Times New Roman" w:eastAsia="Calibri" w:hAnsi="Times New Roman" w:cs="Times New Roman"/>
          <w:sz w:val="24"/>
          <w:szCs w:val="24"/>
        </w:rPr>
        <w:fldChar w:fldCharType="begin"/>
      </w:r>
      <w:r w:rsidRPr="0019254B">
        <w:rPr>
          <w:rFonts w:ascii="Times New Roman" w:eastAsia="Calibri" w:hAnsi="Times New Roman" w:cs="Times New Roman"/>
          <w:sz w:val="24"/>
          <w:szCs w:val="24"/>
        </w:rPr>
        <w:instrText xml:space="preserve"> ADDIN ZOTERO_ITEM CSL_CITATION {"citationID":"mdxfmD74","properties":{"formattedCitation":"(Kassambara &amp; Mundt, 2020)","plainCitation":"(Kassambara &amp; Mundt, 2020)","noteIndex":0},"citationItems":[{"id":2586,"uris":["http://zotero.org/users/2386190/items/FHFHE26B"],"uri":["http://zotero.org/users/2386190/items/FHFHE26B"],"itemData":{"id":2586,"type":"report","title":"Factoextra: Extract and Visualize the Results of Multivariate Data Analyses. R Package Version 1.0.7.","URL":"https://CRAN.R-project.org/package=factoextra","author":[{"family":"Kassambara","given":"A."},{"family":"Mundt","given":"F."}],"issued":{"date-parts":[["2020"]]}}}],"schema":"https://github.com/citation-style-language/schema/raw/master/csl-citation.json"} </w:instrText>
      </w:r>
      <w:r w:rsidRPr="0019254B">
        <w:rPr>
          <w:rFonts w:ascii="Times New Roman" w:eastAsia="Calibri" w:hAnsi="Times New Roman" w:cs="Times New Roman"/>
          <w:sz w:val="24"/>
          <w:szCs w:val="24"/>
        </w:rPr>
        <w:fldChar w:fldCharType="separate"/>
      </w:r>
      <w:r w:rsidRPr="0019254B">
        <w:rPr>
          <w:rFonts w:ascii="Times New Roman" w:eastAsia="Calibri" w:hAnsi="Times New Roman" w:cs="Times New Roman"/>
          <w:sz w:val="24"/>
        </w:rPr>
        <w:t>(Kassambara &amp; Mundt, 2020)</w:t>
      </w:r>
      <w:r w:rsidRPr="0019254B">
        <w:rPr>
          <w:rFonts w:ascii="Times New Roman" w:eastAsia="Calibri" w:hAnsi="Times New Roman" w:cs="Times New Roman"/>
          <w:sz w:val="24"/>
          <w:szCs w:val="24"/>
        </w:rPr>
        <w:fldChar w:fldCharType="end"/>
      </w:r>
      <w:r w:rsidRPr="0019254B">
        <w:rPr>
          <w:rFonts w:ascii="Times New Roman" w:eastAsia="Calibri" w:hAnsi="Times New Roman" w:cs="Times New Roman"/>
          <w:sz w:val="24"/>
          <w:szCs w:val="24"/>
        </w:rPr>
        <w:t xml:space="preserve">. Gap statistic estimates for each value of </w:t>
      </w:r>
      <w:r w:rsidRPr="0019254B">
        <w:rPr>
          <w:rFonts w:ascii="Times New Roman" w:eastAsia="Calibri" w:hAnsi="Times New Roman" w:cs="Times New Roman"/>
          <w:i/>
          <w:sz w:val="24"/>
          <w:szCs w:val="24"/>
        </w:rPr>
        <w:t xml:space="preserve">k </w:t>
      </w:r>
      <w:r w:rsidRPr="0019254B">
        <w:rPr>
          <w:rFonts w:ascii="Times New Roman" w:eastAsia="Calibri" w:hAnsi="Times New Roman" w:cs="Times New Roman"/>
          <w:sz w:val="24"/>
          <w:szCs w:val="24"/>
        </w:rPr>
        <w:t xml:space="preserve">(included in the supplementary material) exhibited non-monotonic behavior indicating well defined clusters at </w:t>
      </w:r>
      <w:r w:rsidRPr="0019254B">
        <w:rPr>
          <w:rFonts w:ascii="Times New Roman" w:eastAsia="Calibri" w:hAnsi="Times New Roman" w:cs="Times New Roman"/>
          <w:i/>
          <w:sz w:val="24"/>
          <w:szCs w:val="24"/>
        </w:rPr>
        <w:t>k</w:t>
      </w:r>
      <w:r w:rsidRPr="0019254B">
        <w:rPr>
          <w:rFonts w:ascii="Times New Roman" w:eastAsia="Calibri" w:hAnsi="Times New Roman" w:cs="Times New Roman"/>
          <w:sz w:val="24"/>
          <w:szCs w:val="24"/>
        </w:rPr>
        <w:t xml:space="preserve"> = 3 and </w:t>
      </w:r>
      <w:r w:rsidRPr="0019254B">
        <w:rPr>
          <w:rFonts w:ascii="Times New Roman" w:eastAsia="Calibri" w:hAnsi="Times New Roman" w:cs="Times New Roman"/>
          <w:i/>
          <w:sz w:val="24"/>
          <w:szCs w:val="24"/>
        </w:rPr>
        <w:t xml:space="preserve">k </w:t>
      </w:r>
      <w:r w:rsidRPr="0019254B">
        <w:rPr>
          <w:rFonts w:ascii="Times New Roman" w:eastAsia="Calibri" w:hAnsi="Times New Roman" w:cs="Times New Roman"/>
          <w:sz w:val="24"/>
          <w:szCs w:val="24"/>
        </w:rPr>
        <w:t>= 8</w:t>
      </w:r>
      <w:r>
        <w:rPr>
          <w:rFonts w:ascii="Times New Roman" w:eastAsia="Calibri" w:hAnsi="Times New Roman" w:cs="Times New Roman"/>
          <w:sz w:val="24"/>
          <w:szCs w:val="24"/>
        </w:rPr>
        <w:t xml:space="preserve"> (Figure S5)</w:t>
      </w:r>
      <w:r w:rsidRPr="0019254B">
        <w:rPr>
          <w:rFonts w:ascii="Times New Roman" w:eastAsia="Calibri" w:hAnsi="Times New Roman" w:cs="Times New Roman"/>
          <w:sz w:val="24"/>
          <w:szCs w:val="24"/>
        </w:rPr>
        <w:t xml:space="preserve">, suggesting that there were three large clusters of facilities that could be further divided into eight smaller </w:t>
      </w:r>
      <w:proofErr w:type="spellStart"/>
      <w:r w:rsidRPr="0019254B">
        <w:rPr>
          <w:rFonts w:ascii="Times New Roman" w:eastAsia="Calibri" w:hAnsi="Times New Roman" w:cs="Times New Roman"/>
          <w:sz w:val="24"/>
          <w:szCs w:val="24"/>
        </w:rPr>
        <w:t>subclusters</w:t>
      </w:r>
      <w:proofErr w:type="spellEnd"/>
      <w:r w:rsidRPr="0019254B">
        <w:rPr>
          <w:rFonts w:ascii="Times New Roman" w:eastAsia="Calibri" w:hAnsi="Times New Roman" w:cs="Times New Roman"/>
          <w:sz w:val="24"/>
          <w:szCs w:val="24"/>
        </w:rPr>
        <w:t xml:space="preserve"> </w:t>
      </w:r>
      <w:r w:rsidRPr="0019254B">
        <w:rPr>
          <w:rFonts w:ascii="Times New Roman" w:eastAsia="Calibri" w:hAnsi="Times New Roman" w:cs="Times New Roman"/>
          <w:sz w:val="24"/>
          <w:szCs w:val="24"/>
        </w:rPr>
        <w:fldChar w:fldCharType="begin"/>
      </w:r>
      <w:r w:rsidRPr="0019254B">
        <w:rPr>
          <w:rFonts w:ascii="Times New Roman" w:eastAsia="Calibri" w:hAnsi="Times New Roman" w:cs="Times New Roman"/>
          <w:sz w:val="24"/>
          <w:szCs w:val="24"/>
        </w:rPr>
        <w:instrText xml:space="preserve"> ADDIN ZOTERO_ITEM CSL_CITATION {"citationID":"EyHPFSTL","properties":{"formattedCitation":"(Tibshirani et al., 2001)","plainCitation":"(Tibshirani et al., 2001)","noteIndex":0},"citationItems":[{"id":2589,"uris":["http://zotero.org/users/2386190/items/FTUZKSYR"],"uri":["http://zotero.org/users/2386190/items/FTUZKSYR"],"itemData":{"id":2589,"type":"article-journal","abstract":"We propose a method (the ‘gap statistic’) for estimating the number of clusters (groups) in a set of data. The technique uses the output of any clustering algorithm (e.g. K-means or hierarchical), comparing the change in within-cluster dispersion with that expected under an appropriate reference null distribution. Some theory is developed for the proposal and a simulation study shows that the gap statistic usually outperforms other methods that have been proposed in the literature.","container-title":"Journal of the Royal Statistical Society: Series B (Statistical Methodology)","DOI":"10.1111/1467-9868.00293","ISSN":"1467-9868","issue":"2","language":"en","note":"_eprint: https://onlinelibrary.wiley.com/doi/pdf/10.1111/1467-9868.00293","page":"411-423","source":"Wiley Online Library","title":"Estimating the number of clusters in a data set via the gap statistic","volume":"63","author":[{"family":"Tibshirani","given":"Robert"},{"family":"Walther","given":"Guenther"},{"family":"Hastie","given":"Trevor"}],"issued":{"date-parts":[["2001"]]}}}],"schema":"https://github.com/citation-style-language/schema/raw/master/csl-citation.json"} </w:instrText>
      </w:r>
      <w:r w:rsidRPr="0019254B">
        <w:rPr>
          <w:rFonts w:ascii="Times New Roman" w:eastAsia="Calibri" w:hAnsi="Times New Roman" w:cs="Times New Roman"/>
          <w:sz w:val="24"/>
          <w:szCs w:val="24"/>
        </w:rPr>
        <w:fldChar w:fldCharType="separate"/>
      </w:r>
      <w:r w:rsidRPr="0019254B">
        <w:rPr>
          <w:rFonts w:ascii="Times New Roman" w:eastAsia="Calibri" w:hAnsi="Times New Roman" w:cs="Times New Roman"/>
          <w:sz w:val="24"/>
        </w:rPr>
        <w:t>(Tibshirani et al., 2001)</w:t>
      </w:r>
      <w:r w:rsidRPr="0019254B">
        <w:rPr>
          <w:rFonts w:ascii="Times New Roman" w:eastAsia="Calibri" w:hAnsi="Times New Roman" w:cs="Times New Roman"/>
          <w:sz w:val="24"/>
          <w:szCs w:val="24"/>
        </w:rPr>
        <w:fldChar w:fldCharType="end"/>
      </w:r>
      <w:r w:rsidRPr="0019254B">
        <w:rPr>
          <w:rFonts w:ascii="Times New Roman" w:eastAsia="Calibri" w:hAnsi="Times New Roman" w:cs="Times New Roman"/>
          <w:sz w:val="24"/>
          <w:szCs w:val="24"/>
        </w:rPr>
        <w:t>. An analysis of correspondence between cluster assignment and sector indicated that while certain clusters largely corresponded to a single sector, the majority did not</w:t>
      </w:r>
      <w:r>
        <w:rPr>
          <w:rFonts w:ascii="Times New Roman" w:eastAsia="Calibri" w:hAnsi="Times New Roman" w:cs="Times New Roman"/>
          <w:sz w:val="24"/>
          <w:szCs w:val="24"/>
        </w:rPr>
        <w:t xml:space="preserve"> (Tables S2 and S3)</w:t>
      </w:r>
      <w:r w:rsidRPr="0019254B">
        <w:rPr>
          <w:rFonts w:ascii="Times New Roman" w:eastAsia="Calibri" w:hAnsi="Times New Roman" w:cs="Times New Roman"/>
          <w:sz w:val="24"/>
          <w:szCs w:val="24"/>
        </w:rPr>
        <w:t xml:space="preserve">. This suggests that there are certain patterns of water use </w:t>
      </w:r>
      <w:r w:rsidRPr="0019254B">
        <w:rPr>
          <w:rFonts w:ascii="Times New Roman" w:eastAsia="Calibri" w:hAnsi="Times New Roman" w:cs="Times New Roman"/>
          <w:sz w:val="24"/>
          <w:szCs w:val="24"/>
        </w:rPr>
        <w:lastRenderedPageBreak/>
        <w:t xml:space="preserve">behavior that cannot be explained simply by sectoral classifications, echoing previous research that demonstrates significant variability across water use behavior across facilities that are generally grouped into a single sectoral classification </w:t>
      </w:r>
      <w:r w:rsidRPr="0019254B">
        <w:rPr>
          <w:rFonts w:ascii="Times New Roman" w:eastAsia="Calibri" w:hAnsi="Times New Roman" w:cs="Times New Roman"/>
          <w:sz w:val="24"/>
          <w:szCs w:val="24"/>
        </w:rPr>
        <w:fldChar w:fldCharType="begin"/>
      </w:r>
      <w:r w:rsidRPr="0019254B">
        <w:rPr>
          <w:rFonts w:ascii="Times New Roman" w:eastAsia="Calibri" w:hAnsi="Times New Roman" w:cs="Times New Roman"/>
          <w:sz w:val="24"/>
          <w:szCs w:val="24"/>
        </w:rPr>
        <w:instrText xml:space="preserve"> ADDIN ZOTERO_ITEM CSL_CITATION {"citationID":"oNPTrVIC","properties":{"formattedCitation":"(Attaallah, 2018; McCarthy et al., 2022)","plainCitation":"(Attaallah, 2018; McCarthy et al., 2022)","noteIndex":0},"citationItems":[{"id":1639,"uris":["http://zotero.org/users/2386190/items/DQ9AYMDP"],"uri":["http://zotero.org/users/2386190/items/DQ9AYMDP"],"itemData":{"id":1639,"type":"thesis","event-place":"Logan, Utah","genre":"M.S. thesis, Civil and Environmental Engineering","language":"en","number-of-pages":"63","publisher":"Utah State University","publisher-place":"Logan, Utah","source":"Zotero","title":"Demand Dissagregation for Non-residential Water Users in the City of Logan, Utah, USA","author":[{"family":"Attaallah","given":"Nour Aldin Mahmoud"}],"issued":{"date-parts":[["2018"]]}}},{"id":2607,"uris":["http://zotero.org/users/2386190/items/LMPAQA26"],"uri":["http://zotero.org/users/2386190/items/LMPAQA26"],"itemData":{"id":2607,"type":"article-journal","abstract":"Understanding water consumption is an important component of water management. However, water consumption data are limited and consumption coefficients do not account for variability through time and across users. This study combines federally maintained discharge data with state-maintained withdrawal data at monthly time steps to estimate facility-level and spatially aggregated water consumption in Virginia between 2010 and 2016. We evaluate (1) the feasibility of using discharge and withdrawal datasets to estimate sub-annual water consumption, (2) how these consumption estimates vary depending on the level of spatial aggregation, and (3) what patterns of seasonality exist in consumption estimates. We find that a combined process of text matching and geospatial analysis is effective in matching facilities and yielding monthly time-series of water consumption. Our results suggest that median consumption in industrial (17%) and commercial (19%) facilities may be higher than median consumption coefficients in the literature (10%). Consumption estimates also demonstrated more variability across facilities and seasons than aggregate coefficients in the literature suggest. Combining this approach with institutional knowledge can assist in quantifying issues such as inter-basin transfers and infiltration that impact consumption estimates, ultimately allowing for more accurate accounts of water use and availability.","container-title":"JAWRA Journal of the American Water Resources Association","DOI":"10.1111/1752-1688.13037","ISSN":"1752-1688","issue":"n/a","language":"en","note":"_eprint: https://onlinelibrary.wiley.com/doi/pdf/10.1111/1752-1688.13037","source":"Wiley Online Library","title":"Estimating Facility-Level Monthly Water Consumption of Commercial, Industrial, Municipal, and Thermoelectric Users in Virginia","URL":"https://onlinelibrary.wiley.com/doi/abs/10.1111/1752-1688.13037","volume":"n/a","author":[{"family":"McCarthy","given":"Morgan"},{"family":"Brogan","given":"Connor"},{"family":"Shortridge","given":"Julie"},{"family":"Burgholzer","given":"Robert"},{"family":"Kleiner","given":"Joseph"},{"family":"Scott","given":"Durelle"}],"accessed":{"date-parts":[["2022",6,24]]},"issued":{"date-parts":[["2022"]]}}}],"schema":"https://github.com/citation-style-language/schema/raw/master/csl-citation.json"} </w:instrText>
      </w:r>
      <w:r w:rsidRPr="0019254B">
        <w:rPr>
          <w:rFonts w:ascii="Times New Roman" w:eastAsia="Calibri" w:hAnsi="Times New Roman" w:cs="Times New Roman"/>
          <w:sz w:val="24"/>
          <w:szCs w:val="24"/>
        </w:rPr>
        <w:fldChar w:fldCharType="separate"/>
      </w:r>
      <w:r w:rsidRPr="0019254B">
        <w:rPr>
          <w:rFonts w:ascii="Times New Roman" w:eastAsia="Calibri" w:hAnsi="Times New Roman" w:cs="Times New Roman"/>
          <w:sz w:val="24"/>
        </w:rPr>
        <w:t>(Attaallah, 2018; McCarthy et al., 2022)</w:t>
      </w:r>
      <w:r w:rsidRPr="0019254B">
        <w:rPr>
          <w:rFonts w:ascii="Times New Roman" w:eastAsia="Calibri" w:hAnsi="Times New Roman" w:cs="Times New Roman"/>
          <w:sz w:val="24"/>
          <w:szCs w:val="24"/>
        </w:rPr>
        <w:fldChar w:fldCharType="end"/>
      </w:r>
      <w:r w:rsidRPr="0019254B">
        <w:rPr>
          <w:rFonts w:ascii="Times New Roman" w:eastAsia="Calibri" w:hAnsi="Times New Roman" w:cs="Times New Roman"/>
          <w:sz w:val="24"/>
          <w:szCs w:val="24"/>
        </w:rPr>
        <w:t>. Thus, models were also fit at the large (</w:t>
      </w:r>
      <w:r w:rsidRPr="0019254B">
        <w:rPr>
          <w:rFonts w:ascii="Times New Roman" w:eastAsia="Calibri" w:hAnsi="Times New Roman" w:cs="Times New Roman"/>
          <w:i/>
          <w:sz w:val="24"/>
          <w:szCs w:val="24"/>
        </w:rPr>
        <w:t>k</w:t>
      </w:r>
      <w:r w:rsidRPr="0019254B">
        <w:rPr>
          <w:rFonts w:ascii="Times New Roman" w:eastAsia="Calibri" w:hAnsi="Times New Roman" w:cs="Times New Roman"/>
          <w:sz w:val="24"/>
          <w:szCs w:val="24"/>
        </w:rPr>
        <w:t xml:space="preserve"> = 3) and small (</w:t>
      </w:r>
      <w:r w:rsidRPr="0019254B">
        <w:rPr>
          <w:rFonts w:ascii="Times New Roman" w:eastAsia="Calibri" w:hAnsi="Times New Roman" w:cs="Times New Roman"/>
          <w:i/>
          <w:sz w:val="24"/>
          <w:szCs w:val="24"/>
        </w:rPr>
        <w:t>k = 8</w:t>
      </w:r>
      <w:r w:rsidRPr="0019254B">
        <w:rPr>
          <w:rFonts w:ascii="Times New Roman" w:eastAsia="Calibri" w:hAnsi="Times New Roman" w:cs="Times New Roman"/>
          <w:sz w:val="24"/>
          <w:szCs w:val="24"/>
        </w:rPr>
        <w:t>) cluster levels, where data from all facilities within a single cluster were combined into a single model. Additional details and results of the cluster analysis are included in the supplementary material.</w:t>
      </w:r>
    </w:p>
    <w:p w14:paraId="1563F39E" w14:textId="77777777" w:rsidR="0019254B" w:rsidRPr="0019254B" w:rsidRDefault="0019254B">
      <w:pPr>
        <w:rPr>
          <w:rFonts w:ascii="Times New Roman" w:hAnsi="Times New Roman" w:cs="Times New Roman"/>
          <w:sz w:val="24"/>
          <w:szCs w:val="24"/>
        </w:rPr>
      </w:pPr>
    </w:p>
    <w:p w14:paraId="7EDD8A80" w14:textId="77777777" w:rsidR="0019254B" w:rsidRPr="0019254B" w:rsidRDefault="0019254B">
      <w:pPr>
        <w:rPr>
          <w:rFonts w:ascii="Times New Roman" w:hAnsi="Times New Roman" w:cs="Times New Roman"/>
          <w:sz w:val="24"/>
          <w:szCs w:val="24"/>
        </w:rPr>
      </w:pPr>
    </w:p>
    <w:p w14:paraId="2EC913D3" w14:textId="69CA7838" w:rsidR="00E066E7" w:rsidRPr="0019254B" w:rsidRDefault="00E066E7" w:rsidP="00E066E7">
      <w:pPr>
        <w:jc w:val="center"/>
        <w:rPr>
          <w:rFonts w:ascii="Times New Roman" w:hAnsi="Times New Roman" w:cs="Times New Roman"/>
          <w:sz w:val="24"/>
          <w:szCs w:val="24"/>
        </w:rPr>
      </w:pPr>
      <w:r w:rsidRPr="0019254B">
        <w:rPr>
          <w:rFonts w:ascii="Times New Roman" w:hAnsi="Times New Roman" w:cs="Times New Roman"/>
          <w:noProof/>
          <w:sz w:val="24"/>
          <w:szCs w:val="24"/>
        </w:rPr>
        <w:lastRenderedPageBreak/>
        <w:drawing>
          <wp:inline distT="0" distB="0" distL="0" distR="0" wp14:anchorId="2085D4F1" wp14:editId="622A918F">
            <wp:extent cx="5486400" cy="7315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92557" cy="7323409"/>
                    </a:xfrm>
                    <a:prstGeom prst="rect">
                      <a:avLst/>
                    </a:prstGeom>
                    <a:noFill/>
                    <a:ln>
                      <a:noFill/>
                    </a:ln>
                  </pic:spPr>
                </pic:pic>
              </a:graphicData>
            </a:graphic>
          </wp:inline>
        </w:drawing>
      </w:r>
    </w:p>
    <w:p w14:paraId="14F0F90A" w14:textId="5D488C90" w:rsidR="00E066E7" w:rsidRPr="0019254B" w:rsidRDefault="00E066E7" w:rsidP="00E066E7">
      <w:pPr>
        <w:jc w:val="center"/>
        <w:rPr>
          <w:rFonts w:ascii="Times New Roman" w:hAnsi="Times New Roman" w:cs="Times New Roman"/>
          <w:i/>
          <w:sz w:val="24"/>
          <w:szCs w:val="24"/>
        </w:rPr>
      </w:pPr>
      <w:r w:rsidRPr="0019254B">
        <w:rPr>
          <w:rFonts w:ascii="Times New Roman" w:hAnsi="Times New Roman" w:cs="Times New Roman"/>
          <w:i/>
          <w:sz w:val="24"/>
          <w:szCs w:val="24"/>
        </w:rPr>
        <w:t>Figure S1: Kernel density plots of facility withdrawal volume in each water use sector</w:t>
      </w:r>
    </w:p>
    <w:p w14:paraId="434550E5" w14:textId="422D9495" w:rsidR="00E066E7" w:rsidRPr="0019254B" w:rsidRDefault="00E066E7" w:rsidP="00E066E7">
      <w:pPr>
        <w:jc w:val="center"/>
        <w:rPr>
          <w:rFonts w:ascii="Times New Roman" w:hAnsi="Times New Roman" w:cs="Times New Roman"/>
          <w:i/>
          <w:sz w:val="24"/>
          <w:szCs w:val="24"/>
        </w:rPr>
      </w:pPr>
      <w:r w:rsidRPr="0019254B">
        <w:rPr>
          <w:rFonts w:ascii="Times New Roman" w:hAnsi="Times New Roman" w:cs="Times New Roman"/>
          <w:noProof/>
          <w:sz w:val="24"/>
          <w:szCs w:val="24"/>
        </w:rPr>
        <w:lastRenderedPageBreak/>
        <w:drawing>
          <wp:inline distT="0" distB="0" distL="0" distR="0" wp14:anchorId="636F589C" wp14:editId="2F48EF8C">
            <wp:extent cx="5751999" cy="7669332"/>
            <wp:effectExtent l="0" t="0" r="127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53983" cy="7671977"/>
                    </a:xfrm>
                    <a:prstGeom prst="rect">
                      <a:avLst/>
                    </a:prstGeom>
                    <a:noFill/>
                    <a:ln>
                      <a:noFill/>
                    </a:ln>
                  </pic:spPr>
                </pic:pic>
              </a:graphicData>
            </a:graphic>
          </wp:inline>
        </w:drawing>
      </w:r>
    </w:p>
    <w:p w14:paraId="36919B0C" w14:textId="77777777" w:rsidR="00E066E7" w:rsidRPr="0019254B" w:rsidRDefault="00E066E7" w:rsidP="00E066E7">
      <w:pPr>
        <w:jc w:val="center"/>
        <w:rPr>
          <w:rFonts w:ascii="Times New Roman" w:hAnsi="Times New Roman" w:cs="Times New Roman"/>
          <w:i/>
          <w:sz w:val="24"/>
          <w:szCs w:val="24"/>
        </w:rPr>
      </w:pPr>
      <w:r w:rsidRPr="0019254B">
        <w:rPr>
          <w:rFonts w:ascii="Times New Roman" w:hAnsi="Times New Roman" w:cs="Times New Roman"/>
          <w:i/>
          <w:sz w:val="24"/>
          <w:szCs w:val="24"/>
        </w:rPr>
        <w:t>Figure S2: Kernel density plots of facility coefficient of variation</w:t>
      </w:r>
    </w:p>
    <w:p w14:paraId="412B06CF" w14:textId="458EB59E" w:rsidR="00E066E7" w:rsidRPr="0019254B" w:rsidRDefault="00E066E7" w:rsidP="00E066E7">
      <w:pPr>
        <w:jc w:val="center"/>
        <w:rPr>
          <w:rFonts w:ascii="Times New Roman" w:hAnsi="Times New Roman" w:cs="Times New Roman"/>
          <w:i/>
          <w:sz w:val="24"/>
          <w:szCs w:val="24"/>
        </w:rPr>
      </w:pPr>
      <w:r w:rsidRPr="0019254B">
        <w:rPr>
          <w:rFonts w:ascii="Times New Roman" w:hAnsi="Times New Roman" w:cs="Times New Roman"/>
          <w:noProof/>
          <w:sz w:val="24"/>
          <w:szCs w:val="24"/>
        </w:rPr>
        <w:lastRenderedPageBreak/>
        <w:drawing>
          <wp:inline distT="0" distB="0" distL="0" distR="0" wp14:anchorId="00768238" wp14:editId="68F5D674">
            <wp:extent cx="5597396" cy="7463195"/>
            <wp:effectExtent l="0" t="0" r="381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99710" cy="7466281"/>
                    </a:xfrm>
                    <a:prstGeom prst="rect">
                      <a:avLst/>
                    </a:prstGeom>
                    <a:noFill/>
                    <a:ln>
                      <a:noFill/>
                    </a:ln>
                  </pic:spPr>
                </pic:pic>
              </a:graphicData>
            </a:graphic>
          </wp:inline>
        </w:drawing>
      </w:r>
    </w:p>
    <w:p w14:paraId="0AF5E8EA" w14:textId="161F1310" w:rsidR="00E066E7" w:rsidRPr="0019254B" w:rsidRDefault="00E066E7" w:rsidP="00E066E7">
      <w:pPr>
        <w:jc w:val="center"/>
        <w:rPr>
          <w:rFonts w:ascii="Times New Roman" w:hAnsi="Times New Roman" w:cs="Times New Roman"/>
          <w:i/>
          <w:sz w:val="24"/>
          <w:szCs w:val="24"/>
        </w:rPr>
      </w:pPr>
      <w:r w:rsidRPr="0019254B">
        <w:rPr>
          <w:rFonts w:ascii="Times New Roman" w:hAnsi="Times New Roman" w:cs="Times New Roman"/>
          <w:i/>
          <w:sz w:val="24"/>
          <w:szCs w:val="24"/>
        </w:rPr>
        <w:t>Figure S3: Kernel density plots of facility autocorrelation</w:t>
      </w:r>
    </w:p>
    <w:p w14:paraId="09E09F93" w14:textId="77777777" w:rsidR="00E066E7" w:rsidRPr="0019254B" w:rsidRDefault="00E066E7" w:rsidP="00E066E7">
      <w:pPr>
        <w:jc w:val="center"/>
        <w:rPr>
          <w:rFonts w:ascii="Times New Roman" w:hAnsi="Times New Roman" w:cs="Times New Roman"/>
          <w:i/>
          <w:sz w:val="24"/>
          <w:szCs w:val="24"/>
        </w:rPr>
      </w:pPr>
    </w:p>
    <w:p w14:paraId="16F50C69" w14:textId="2859DB1E" w:rsidR="00E066E7" w:rsidRPr="0019254B" w:rsidRDefault="00E066E7" w:rsidP="00E066E7">
      <w:pPr>
        <w:jc w:val="center"/>
        <w:rPr>
          <w:rFonts w:ascii="Times New Roman" w:hAnsi="Times New Roman" w:cs="Times New Roman"/>
          <w:i/>
          <w:sz w:val="24"/>
          <w:szCs w:val="24"/>
        </w:rPr>
      </w:pPr>
      <w:r w:rsidRPr="0019254B">
        <w:rPr>
          <w:rFonts w:ascii="Times New Roman" w:hAnsi="Times New Roman" w:cs="Times New Roman"/>
          <w:noProof/>
          <w:sz w:val="24"/>
          <w:szCs w:val="24"/>
        </w:rPr>
        <w:lastRenderedPageBreak/>
        <w:drawing>
          <wp:inline distT="0" distB="0" distL="0" distR="0" wp14:anchorId="2ACBB4FA" wp14:editId="7D9395C6">
            <wp:extent cx="5644967" cy="752662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47743" cy="7530324"/>
                    </a:xfrm>
                    <a:prstGeom prst="rect">
                      <a:avLst/>
                    </a:prstGeom>
                    <a:noFill/>
                    <a:ln>
                      <a:noFill/>
                    </a:ln>
                  </pic:spPr>
                </pic:pic>
              </a:graphicData>
            </a:graphic>
          </wp:inline>
        </w:drawing>
      </w:r>
      <w:r w:rsidRPr="0019254B">
        <w:rPr>
          <w:rFonts w:ascii="Times New Roman" w:hAnsi="Times New Roman" w:cs="Times New Roman"/>
          <w:i/>
          <w:sz w:val="24"/>
          <w:szCs w:val="24"/>
        </w:rPr>
        <w:t>Figure S4: Histograms of facility seasonality values</w:t>
      </w:r>
    </w:p>
    <w:p w14:paraId="6D68F357" w14:textId="77777777" w:rsidR="00E066E7" w:rsidRPr="0019254B" w:rsidRDefault="00E066E7" w:rsidP="00E066E7">
      <w:pPr>
        <w:jc w:val="center"/>
        <w:rPr>
          <w:rFonts w:ascii="Times New Roman" w:hAnsi="Times New Roman" w:cs="Times New Roman"/>
          <w:i/>
          <w:sz w:val="24"/>
          <w:szCs w:val="24"/>
        </w:rPr>
      </w:pPr>
    </w:p>
    <w:p w14:paraId="4C82EA7B" w14:textId="77777777" w:rsidR="00E066E7" w:rsidRPr="0019254B" w:rsidRDefault="00E066E7" w:rsidP="00E066E7">
      <w:pPr>
        <w:jc w:val="center"/>
        <w:rPr>
          <w:rFonts w:ascii="Times New Roman" w:hAnsi="Times New Roman" w:cs="Times New Roman"/>
          <w:i/>
          <w:sz w:val="24"/>
          <w:szCs w:val="24"/>
        </w:rPr>
      </w:pPr>
      <w:r w:rsidRPr="0019254B">
        <w:rPr>
          <w:rFonts w:ascii="Times New Roman" w:hAnsi="Times New Roman" w:cs="Times New Roman"/>
          <w:noProof/>
          <w:sz w:val="24"/>
          <w:szCs w:val="24"/>
        </w:rPr>
        <w:lastRenderedPageBreak/>
        <w:drawing>
          <wp:inline distT="0" distB="0" distL="0" distR="0" wp14:anchorId="48EFE49B" wp14:editId="557A9461">
            <wp:extent cx="4630141" cy="35306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48135" cy="3544381"/>
                    </a:xfrm>
                    <a:prstGeom prst="rect">
                      <a:avLst/>
                    </a:prstGeom>
                    <a:noFill/>
                    <a:ln>
                      <a:noFill/>
                    </a:ln>
                  </pic:spPr>
                </pic:pic>
              </a:graphicData>
            </a:graphic>
          </wp:inline>
        </w:drawing>
      </w:r>
    </w:p>
    <w:p w14:paraId="51E9E2D9" w14:textId="00AD0F9B" w:rsidR="00E066E7" w:rsidRPr="0019254B" w:rsidRDefault="00E066E7" w:rsidP="00E066E7">
      <w:pPr>
        <w:jc w:val="center"/>
        <w:rPr>
          <w:rFonts w:ascii="Times New Roman" w:hAnsi="Times New Roman" w:cs="Times New Roman"/>
          <w:i/>
          <w:sz w:val="24"/>
          <w:szCs w:val="24"/>
        </w:rPr>
      </w:pPr>
      <w:r w:rsidRPr="0019254B">
        <w:rPr>
          <w:rFonts w:ascii="Times New Roman" w:hAnsi="Times New Roman" w:cs="Times New Roman"/>
          <w:i/>
          <w:sz w:val="24"/>
          <w:szCs w:val="24"/>
        </w:rPr>
        <w:t>Figure S5: Plot of cluster gap statistic when grouping facilities into different numbers of clusters (k)</w:t>
      </w:r>
    </w:p>
    <w:p w14:paraId="0A3C6CDA" w14:textId="3FD09424" w:rsidR="00E066E7" w:rsidRPr="0019254B" w:rsidRDefault="00E066E7">
      <w:pPr>
        <w:rPr>
          <w:rFonts w:ascii="Times New Roman" w:hAnsi="Times New Roman" w:cs="Times New Roman"/>
          <w:i/>
          <w:sz w:val="24"/>
          <w:szCs w:val="24"/>
        </w:rPr>
      </w:pPr>
      <w:r w:rsidRPr="0019254B">
        <w:rPr>
          <w:rFonts w:ascii="Times New Roman" w:hAnsi="Times New Roman" w:cs="Times New Roman"/>
          <w:i/>
          <w:sz w:val="24"/>
          <w:szCs w:val="24"/>
        </w:rPr>
        <w:br w:type="page"/>
      </w:r>
    </w:p>
    <w:p w14:paraId="3FD00FF4" w14:textId="77777777" w:rsidR="00E066E7" w:rsidRPr="0019254B" w:rsidRDefault="00E066E7" w:rsidP="00E066E7">
      <w:pPr>
        <w:jc w:val="center"/>
        <w:rPr>
          <w:rFonts w:ascii="Times New Roman" w:hAnsi="Times New Roman" w:cs="Times New Roman"/>
          <w:i/>
          <w:sz w:val="24"/>
          <w:szCs w:val="24"/>
        </w:rPr>
      </w:pPr>
    </w:p>
    <w:tbl>
      <w:tblPr>
        <w:tblW w:w="4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2"/>
        <w:gridCol w:w="1053"/>
        <w:gridCol w:w="1053"/>
        <w:gridCol w:w="1053"/>
      </w:tblGrid>
      <w:tr w:rsidR="00E066E7" w:rsidRPr="0019254B" w14:paraId="101B3E30" w14:textId="77777777" w:rsidTr="00E066E7">
        <w:trPr>
          <w:trHeight w:val="290"/>
          <w:jc w:val="center"/>
        </w:trPr>
        <w:tc>
          <w:tcPr>
            <w:tcW w:w="1540" w:type="dxa"/>
            <w:shd w:val="clear" w:color="auto" w:fill="auto"/>
            <w:noWrap/>
            <w:vAlign w:val="bottom"/>
            <w:hideMark/>
          </w:tcPr>
          <w:p w14:paraId="2DFBF0B1" w14:textId="77777777" w:rsidR="00E066E7" w:rsidRPr="0019254B" w:rsidRDefault="00E066E7" w:rsidP="00E066E7">
            <w:pPr>
              <w:spacing w:after="0" w:line="240" w:lineRule="auto"/>
              <w:rPr>
                <w:rFonts w:ascii="Times New Roman" w:eastAsia="Times New Roman" w:hAnsi="Times New Roman" w:cs="Times New Roman"/>
                <w:sz w:val="24"/>
                <w:szCs w:val="24"/>
              </w:rPr>
            </w:pPr>
          </w:p>
        </w:tc>
        <w:tc>
          <w:tcPr>
            <w:tcW w:w="1053" w:type="dxa"/>
            <w:shd w:val="clear" w:color="auto" w:fill="auto"/>
            <w:noWrap/>
            <w:vAlign w:val="bottom"/>
            <w:hideMark/>
          </w:tcPr>
          <w:p w14:paraId="354D8AE5"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h_1</w:t>
            </w:r>
          </w:p>
        </w:tc>
        <w:tc>
          <w:tcPr>
            <w:tcW w:w="1053" w:type="dxa"/>
            <w:shd w:val="clear" w:color="auto" w:fill="auto"/>
            <w:noWrap/>
            <w:vAlign w:val="bottom"/>
            <w:hideMark/>
          </w:tcPr>
          <w:p w14:paraId="7AD64FCD"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h_2</w:t>
            </w:r>
          </w:p>
        </w:tc>
        <w:tc>
          <w:tcPr>
            <w:tcW w:w="1053" w:type="dxa"/>
            <w:shd w:val="clear" w:color="auto" w:fill="auto"/>
            <w:noWrap/>
            <w:vAlign w:val="bottom"/>
            <w:hideMark/>
          </w:tcPr>
          <w:p w14:paraId="0AC058CC"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h_3</w:t>
            </w:r>
          </w:p>
        </w:tc>
      </w:tr>
      <w:tr w:rsidR="00E066E7" w:rsidRPr="0019254B" w14:paraId="7F1C1F4A" w14:textId="77777777" w:rsidTr="00E066E7">
        <w:trPr>
          <w:trHeight w:val="290"/>
          <w:jc w:val="center"/>
        </w:trPr>
        <w:tc>
          <w:tcPr>
            <w:tcW w:w="1540" w:type="dxa"/>
            <w:shd w:val="clear" w:color="auto" w:fill="auto"/>
            <w:noWrap/>
            <w:vAlign w:val="bottom"/>
            <w:hideMark/>
          </w:tcPr>
          <w:p w14:paraId="002D7422"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agriculture</w:t>
            </w:r>
          </w:p>
        </w:tc>
        <w:tc>
          <w:tcPr>
            <w:tcW w:w="1053" w:type="dxa"/>
            <w:shd w:val="clear" w:color="auto" w:fill="auto"/>
            <w:noWrap/>
            <w:vAlign w:val="bottom"/>
            <w:hideMark/>
          </w:tcPr>
          <w:p w14:paraId="6ACCF4C5" w14:textId="144553BE"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66.2%</w:t>
            </w:r>
          </w:p>
        </w:tc>
        <w:tc>
          <w:tcPr>
            <w:tcW w:w="1053" w:type="dxa"/>
            <w:shd w:val="clear" w:color="auto" w:fill="auto"/>
            <w:noWrap/>
            <w:vAlign w:val="bottom"/>
            <w:hideMark/>
          </w:tcPr>
          <w:p w14:paraId="53D72127" w14:textId="1DA52C6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14.7%</w:t>
            </w:r>
          </w:p>
        </w:tc>
        <w:tc>
          <w:tcPr>
            <w:tcW w:w="1053" w:type="dxa"/>
            <w:shd w:val="clear" w:color="auto" w:fill="auto"/>
            <w:noWrap/>
            <w:vAlign w:val="bottom"/>
            <w:hideMark/>
          </w:tcPr>
          <w:p w14:paraId="7F1FB97E" w14:textId="31F1B713"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19.1%</w:t>
            </w:r>
          </w:p>
        </w:tc>
      </w:tr>
      <w:tr w:rsidR="00E066E7" w:rsidRPr="0019254B" w14:paraId="26543DE6" w14:textId="77777777" w:rsidTr="00E066E7">
        <w:trPr>
          <w:trHeight w:val="290"/>
          <w:jc w:val="center"/>
        </w:trPr>
        <w:tc>
          <w:tcPr>
            <w:tcW w:w="1540" w:type="dxa"/>
            <w:shd w:val="clear" w:color="auto" w:fill="auto"/>
            <w:noWrap/>
            <w:vAlign w:val="bottom"/>
            <w:hideMark/>
          </w:tcPr>
          <w:p w14:paraId="74E95849"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aquaculture</w:t>
            </w:r>
          </w:p>
        </w:tc>
        <w:tc>
          <w:tcPr>
            <w:tcW w:w="1053" w:type="dxa"/>
            <w:shd w:val="clear" w:color="auto" w:fill="auto"/>
            <w:noWrap/>
            <w:vAlign w:val="bottom"/>
            <w:hideMark/>
          </w:tcPr>
          <w:p w14:paraId="36ECD2D8" w14:textId="760D5C23"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14.3%</w:t>
            </w:r>
          </w:p>
        </w:tc>
        <w:tc>
          <w:tcPr>
            <w:tcW w:w="1053" w:type="dxa"/>
            <w:shd w:val="clear" w:color="auto" w:fill="auto"/>
            <w:noWrap/>
            <w:vAlign w:val="bottom"/>
            <w:hideMark/>
          </w:tcPr>
          <w:p w14:paraId="366178B8" w14:textId="535A59FD"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64.3%</w:t>
            </w:r>
          </w:p>
        </w:tc>
        <w:tc>
          <w:tcPr>
            <w:tcW w:w="1053" w:type="dxa"/>
            <w:shd w:val="clear" w:color="auto" w:fill="auto"/>
            <w:noWrap/>
            <w:vAlign w:val="bottom"/>
            <w:hideMark/>
          </w:tcPr>
          <w:p w14:paraId="5460F2ED" w14:textId="121A5076"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21.4%</w:t>
            </w:r>
          </w:p>
        </w:tc>
      </w:tr>
      <w:tr w:rsidR="00E066E7" w:rsidRPr="0019254B" w14:paraId="2DCFC8BB" w14:textId="77777777" w:rsidTr="00E066E7">
        <w:trPr>
          <w:trHeight w:val="290"/>
          <w:jc w:val="center"/>
        </w:trPr>
        <w:tc>
          <w:tcPr>
            <w:tcW w:w="1540" w:type="dxa"/>
            <w:shd w:val="clear" w:color="auto" w:fill="auto"/>
            <w:noWrap/>
            <w:vAlign w:val="bottom"/>
            <w:hideMark/>
          </w:tcPr>
          <w:p w14:paraId="08D76531"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commercial</w:t>
            </w:r>
          </w:p>
        </w:tc>
        <w:tc>
          <w:tcPr>
            <w:tcW w:w="1053" w:type="dxa"/>
            <w:shd w:val="clear" w:color="auto" w:fill="auto"/>
            <w:noWrap/>
            <w:vAlign w:val="bottom"/>
            <w:hideMark/>
          </w:tcPr>
          <w:p w14:paraId="4A51CAF6" w14:textId="4A8835BA"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68.7%</w:t>
            </w:r>
          </w:p>
        </w:tc>
        <w:tc>
          <w:tcPr>
            <w:tcW w:w="1053" w:type="dxa"/>
            <w:shd w:val="clear" w:color="auto" w:fill="auto"/>
            <w:noWrap/>
            <w:vAlign w:val="bottom"/>
            <w:hideMark/>
          </w:tcPr>
          <w:p w14:paraId="3EE4281E" w14:textId="258CC781"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12.6%</w:t>
            </w:r>
          </w:p>
        </w:tc>
        <w:tc>
          <w:tcPr>
            <w:tcW w:w="1053" w:type="dxa"/>
            <w:shd w:val="clear" w:color="auto" w:fill="auto"/>
            <w:noWrap/>
            <w:vAlign w:val="bottom"/>
            <w:hideMark/>
          </w:tcPr>
          <w:p w14:paraId="51E3DE30" w14:textId="1EEF0DC6"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18.7%</w:t>
            </w:r>
          </w:p>
        </w:tc>
      </w:tr>
      <w:tr w:rsidR="00E066E7" w:rsidRPr="0019254B" w14:paraId="571D0573" w14:textId="77777777" w:rsidTr="00E066E7">
        <w:trPr>
          <w:trHeight w:val="290"/>
          <w:jc w:val="center"/>
        </w:trPr>
        <w:tc>
          <w:tcPr>
            <w:tcW w:w="1540" w:type="dxa"/>
            <w:shd w:val="clear" w:color="auto" w:fill="auto"/>
            <w:noWrap/>
            <w:vAlign w:val="bottom"/>
            <w:hideMark/>
          </w:tcPr>
          <w:p w14:paraId="175479FD"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industrial</w:t>
            </w:r>
          </w:p>
        </w:tc>
        <w:tc>
          <w:tcPr>
            <w:tcW w:w="1053" w:type="dxa"/>
            <w:shd w:val="clear" w:color="auto" w:fill="auto"/>
            <w:noWrap/>
            <w:vAlign w:val="bottom"/>
            <w:hideMark/>
          </w:tcPr>
          <w:p w14:paraId="1ED8A066" w14:textId="3F0D069F"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5.8%</w:t>
            </w:r>
          </w:p>
        </w:tc>
        <w:tc>
          <w:tcPr>
            <w:tcW w:w="1053" w:type="dxa"/>
            <w:shd w:val="clear" w:color="auto" w:fill="auto"/>
            <w:noWrap/>
            <w:vAlign w:val="bottom"/>
            <w:hideMark/>
          </w:tcPr>
          <w:p w14:paraId="778E3973" w14:textId="03E31C91"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50.9%</w:t>
            </w:r>
          </w:p>
        </w:tc>
        <w:tc>
          <w:tcPr>
            <w:tcW w:w="1053" w:type="dxa"/>
            <w:shd w:val="clear" w:color="auto" w:fill="auto"/>
            <w:noWrap/>
            <w:vAlign w:val="bottom"/>
            <w:hideMark/>
          </w:tcPr>
          <w:p w14:paraId="263EED29" w14:textId="2FF11B53"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43.4%</w:t>
            </w:r>
          </w:p>
        </w:tc>
      </w:tr>
      <w:tr w:rsidR="00E066E7" w:rsidRPr="0019254B" w14:paraId="3D0938F5" w14:textId="77777777" w:rsidTr="00E066E7">
        <w:trPr>
          <w:trHeight w:val="290"/>
          <w:jc w:val="center"/>
        </w:trPr>
        <w:tc>
          <w:tcPr>
            <w:tcW w:w="1540" w:type="dxa"/>
            <w:shd w:val="clear" w:color="auto" w:fill="auto"/>
            <w:noWrap/>
            <w:vAlign w:val="bottom"/>
            <w:hideMark/>
          </w:tcPr>
          <w:p w14:paraId="0F66F887"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irrigation</w:t>
            </w:r>
          </w:p>
        </w:tc>
        <w:tc>
          <w:tcPr>
            <w:tcW w:w="1053" w:type="dxa"/>
            <w:shd w:val="clear" w:color="auto" w:fill="auto"/>
            <w:noWrap/>
            <w:vAlign w:val="bottom"/>
            <w:hideMark/>
          </w:tcPr>
          <w:p w14:paraId="7C590E28" w14:textId="7BEBF72B"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96.5%</w:t>
            </w:r>
          </w:p>
        </w:tc>
        <w:tc>
          <w:tcPr>
            <w:tcW w:w="1053" w:type="dxa"/>
            <w:shd w:val="clear" w:color="auto" w:fill="auto"/>
            <w:noWrap/>
            <w:vAlign w:val="bottom"/>
            <w:hideMark/>
          </w:tcPr>
          <w:p w14:paraId="7F8120CB" w14:textId="20295AD0"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0.0%</w:t>
            </w:r>
          </w:p>
        </w:tc>
        <w:tc>
          <w:tcPr>
            <w:tcW w:w="1053" w:type="dxa"/>
            <w:shd w:val="clear" w:color="auto" w:fill="auto"/>
            <w:noWrap/>
            <w:vAlign w:val="bottom"/>
            <w:hideMark/>
          </w:tcPr>
          <w:p w14:paraId="17D40D26" w14:textId="6E3AF930"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3.5%</w:t>
            </w:r>
          </w:p>
        </w:tc>
      </w:tr>
      <w:tr w:rsidR="00E066E7" w:rsidRPr="0019254B" w14:paraId="1C2EE85B" w14:textId="77777777" w:rsidTr="00E066E7">
        <w:trPr>
          <w:trHeight w:val="290"/>
          <w:jc w:val="center"/>
        </w:trPr>
        <w:tc>
          <w:tcPr>
            <w:tcW w:w="1540" w:type="dxa"/>
            <w:shd w:val="clear" w:color="auto" w:fill="auto"/>
            <w:noWrap/>
            <w:vAlign w:val="bottom"/>
            <w:hideMark/>
          </w:tcPr>
          <w:p w14:paraId="25DAD3CA"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mining</w:t>
            </w:r>
          </w:p>
        </w:tc>
        <w:tc>
          <w:tcPr>
            <w:tcW w:w="1053" w:type="dxa"/>
            <w:shd w:val="clear" w:color="auto" w:fill="auto"/>
            <w:noWrap/>
            <w:vAlign w:val="bottom"/>
            <w:hideMark/>
          </w:tcPr>
          <w:p w14:paraId="56FBBC7B" w14:textId="490FAAEF"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14.5%</w:t>
            </w:r>
          </w:p>
        </w:tc>
        <w:tc>
          <w:tcPr>
            <w:tcW w:w="1053" w:type="dxa"/>
            <w:shd w:val="clear" w:color="auto" w:fill="auto"/>
            <w:noWrap/>
            <w:vAlign w:val="bottom"/>
            <w:hideMark/>
          </w:tcPr>
          <w:p w14:paraId="127A9B32" w14:textId="7AF24F80"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44.7%</w:t>
            </w:r>
          </w:p>
        </w:tc>
        <w:tc>
          <w:tcPr>
            <w:tcW w:w="1053" w:type="dxa"/>
            <w:shd w:val="clear" w:color="auto" w:fill="auto"/>
            <w:noWrap/>
            <w:vAlign w:val="bottom"/>
            <w:hideMark/>
          </w:tcPr>
          <w:p w14:paraId="04A07ED8" w14:textId="1AEC0061"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40.8%</w:t>
            </w:r>
          </w:p>
        </w:tc>
      </w:tr>
      <w:tr w:rsidR="00E066E7" w:rsidRPr="0019254B" w14:paraId="0346D48F" w14:textId="77777777" w:rsidTr="00E066E7">
        <w:trPr>
          <w:trHeight w:val="290"/>
          <w:jc w:val="center"/>
        </w:trPr>
        <w:tc>
          <w:tcPr>
            <w:tcW w:w="1540" w:type="dxa"/>
            <w:shd w:val="clear" w:color="auto" w:fill="auto"/>
            <w:noWrap/>
            <w:vAlign w:val="bottom"/>
            <w:hideMark/>
          </w:tcPr>
          <w:p w14:paraId="4E94B443"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municipal</w:t>
            </w:r>
          </w:p>
        </w:tc>
        <w:tc>
          <w:tcPr>
            <w:tcW w:w="1053" w:type="dxa"/>
            <w:shd w:val="clear" w:color="auto" w:fill="auto"/>
            <w:noWrap/>
            <w:vAlign w:val="bottom"/>
            <w:hideMark/>
          </w:tcPr>
          <w:p w14:paraId="39D459F0" w14:textId="626B7A2C"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4.0%</w:t>
            </w:r>
          </w:p>
        </w:tc>
        <w:tc>
          <w:tcPr>
            <w:tcW w:w="1053" w:type="dxa"/>
            <w:shd w:val="clear" w:color="auto" w:fill="auto"/>
            <w:noWrap/>
            <w:vAlign w:val="bottom"/>
            <w:hideMark/>
          </w:tcPr>
          <w:p w14:paraId="228B1FBC" w14:textId="7A407E45"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48.1%</w:t>
            </w:r>
          </w:p>
        </w:tc>
        <w:tc>
          <w:tcPr>
            <w:tcW w:w="1053" w:type="dxa"/>
            <w:shd w:val="clear" w:color="auto" w:fill="auto"/>
            <w:noWrap/>
            <w:vAlign w:val="bottom"/>
            <w:hideMark/>
          </w:tcPr>
          <w:p w14:paraId="4E4D3714" w14:textId="0216D4FE"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47.9%</w:t>
            </w:r>
          </w:p>
        </w:tc>
      </w:tr>
      <w:tr w:rsidR="00E066E7" w:rsidRPr="0019254B" w14:paraId="5FE2B3DF" w14:textId="77777777" w:rsidTr="00E066E7">
        <w:trPr>
          <w:trHeight w:val="290"/>
          <w:jc w:val="center"/>
        </w:trPr>
        <w:tc>
          <w:tcPr>
            <w:tcW w:w="1540" w:type="dxa"/>
            <w:shd w:val="clear" w:color="auto" w:fill="auto"/>
            <w:noWrap/>
            <w:vAlign w:val="bottom"/>
            <w:hideMark/>
          </w:tcPr>
          <w:p w14:paraId="4F5520B4"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thermoelectric</w:t>
            </w:r>
          </w:p>
        </w:tc>
        <w:tc>
          <w:tcPr>
            <w:tcW w:w="1053" w:type="dxa"/>
            <w:shd w:val="clear" w:color="auto" w:fill="auto"/>
            <w:noWrap/>
            <w:vAlign w:val="bottom"/>
            <w:hideMark/>
          </w:tcPr>
          <w:p w14:paraId="0FD4806C" w14:textId="3238E8B1"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4.2%</w:t>
            </w:r>
          </w:p>
        </w:tc>
        <w:tc>
          <w:tcPr>
            <w:tcW w:w="1053" w:type="dxa"/>
            <w:shd w:val="clear" w:color="auto" w:fill="auto"/>
            <w:noWrap/>
            <w:vAlign w:val="bottom"/>
            <w:hideMark/>
          </w:tcPr>
          <w:p w14:paraId="664F7058" w14:textId="560CF2FF"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70.8%</w:t>
            </w:r>
          </w:p>
        </w:tc>
        <w:tc>
          <w:tcPr>
            <w:tcW w:w="1053" w:type="dxa"/>
            <w:shd w:val="clear" w:color="auto" w:fill="auto"/>
            <w:noWrap/>
            <w:vAlign w:val="bottom"/>
            <w:hideMark/>
          </w:tcPr>
          <w:p w14:paraId="1095DA41" w14:textId="40191263"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hAnsi="Times New Roman" w:cs="Times New Roman"/>
                <w:color w:val="000000"/>
                <w:sz w:val="24"/>
                <w:szCs w:val="24"/>
              </w:rPr>
              <w:t>25.0%</w:t>
            </w:r>
          </w:p>
        </w:tc>
      </w:tr>
    </w:tbl>
    <w:p w14:paraId="6FF09396" w14:textId="77777777" w:rsidR="00E066E7" w:rsidRPr="0019254B" w:rsidRDefault="00E066E7" w:rsidP="00E066E7">
      <w:pPr>
        <w:jc w:val="center"/>
        <w:rPr>
          <w:rFonts w:ascii="Times New Roman" w:hAnsi="Times New Roman" w:cs="Times New Roman"/>
          <w:i/>
          <w:sz w:val="24"/>
          <w:szCs w:val="24"/>
        </w:rPr>
      </w:pPr>
    </w:p>
    <w:p w14:paraId="14B07C58" w14:textId="6B980D32" w:rsidR="00E066E7" w:rsidRPr="0019254B" w:rsidRDefault="00E066E7" w:rsidP="00E066E7">
      <w:pPr>
        <w:jc w:val="center"/>
        <w:rPr>
          <w:rFonts w:ascii="Times New Roman" w:hAnsi="Times New Roman" w:cs="Times New Roman"/>
          <w:i/>
          <w:sz w:val="24"/>
          <w:szCs w:val="24"/>
        </w:rPr>
      </w:pPr>
      <w:r w:rsidRPr="0019254B">
        <w:rPr>
          <w:rFonts w:ascii="Times New Roman" w:hAnsi="Times New Roman" w:cs="Times New Roman"/>
          <w:i/>
          <w:sz w:val="24"/>
          <w:szCs w:val="24"/>
        </w:rPr>
        <w:t>Table S</w:t>
      </w:r>
      <w:r w:rsidR="0019254B">
        <w:rPr>
          <w:rFonts w:ascii="Times New Roman" w:hAnsi="Times New Roman" w:cs="Times New Roman"/>
          <w:i/>
          <w:sz w:val="24"/>
          <w:szCs w:val="24"/>
        </w:rPr>
        <w:t>2</w:t>
      </w:r>
      <w:r w:rsidRPr="0019254B">
        <w:rPr>
          <w:rFonts w:ascii="Times New Roman" w:hAnsi="Times New Roman" w:cs="Times New Roman"/>
          <w:i/>
          <w:sz w:val="24"/>
          <w:szCs w:val="24"/>
        </w:rPr>
        <w:t>: Correspondence between facility sector and large cluster (k=3) assignment. Percentages indicate the percent of facilities in each sector assigned to a given cluster.</w:t>
      </w:r>
    </w:p>
    <w:p w14:paraId="3A7F4F5D" w14:textId="41146579" w:rsidR="00E066E7" w:rsidRPr="0019254B" w:rsidRDefault="00E066E7" w:rsidP="00E066E7">
      <w:pPr>
        <w:jc w:val="center"/>
        <w:rPr>
          <w:rFonts w:ascii="Times New Roman" w:hAnsi="Times New Roman" w:cs="Times New Roman"/>
          <w:i/>
          <w:sz w:val="24"/>
          <w:szCs w:val="24"/>
        </w:rPr>
      </w:pPr>
    </w:p>
    <w:p w14:paraId="46859FC2" w14:textId="77777777" w:rsidR="00E066E7" w:rsidRPr="0019254B" w:rsidRDefault="00E066E7" w:rsidP="00E066E7">
      <w:pPr>
        <w:jc w:val="center"/>
        <w:rPr>
          <w:rFonts w:ascii="Times New Roman" w:hAnsi="Times New Roman" w:cs="Times New Roman"/>
          <w:i/>
          <w:sz w:val="24"/>
          <w:szCs w:val="24"/>
        </w:rPr>
      </w:pPr>
    </w:p>
    <w:tbl>
      <w:tblPr>
        <w:tblW w:w="90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2"/>
        <w:gridCol w:w="960"/>
        <w:gridCol w:w="960"/>
        <w:gridCol w:w="960"/>
        <w:gridCol w:w="960"/>
        <w:gridCol w:w="960"/>
        <w:gridCol w:w="960"/>
        <w:gridCol w:w="960"/>
        <w:gridCol w:w="960"/>
      </w:tblGrid>
      <w:tr w:rsidR="00E066E7" w:rsidRPr="0019254B" w14:paraId="1990C846" w14:textId="77777777" w:rsidTr="00E066E7">
        <w:trPr>
          <w:trHeight w:val="290"/>
        </w:trPr>
        <w:tc>
          <w:tcPr>
            <w:tcW w:w="1354" w:type="dxa"/>
            <w:shd w:val="clear" w:color="auto" w:fill="auto"/>
            <w:noWrap/>
            <w:vAlign w:val="bottom"/>
            <w:hideMark/>
          </w:tcPr>
          <w:p w14:paraId="430F2A31" w14:textId="77777777" w:rsidR="00E066E7" w:rsidRPr="0019254B" w:rsidRDefault="00E066E7" w:rsidP="00E066E7">
            <w:pPr>
              <w:spacing w:after="0" w:line="240" w:lineRule="auto"/>
              <w:rPr>
                <w:rFonts w:ascii="Times New Roman" w:eastAsia="Times New Roman" w:hAnsi="Times New Roman" w:cs="Times New Roman"/>
                <w:sz w:val="24"/>
                <w:szCs w:val="24"/>
              </w:rPr>
            </w:pPr>
          </w:p>
        </w:tc>
        <w:tc>
          <w:tcPr>
            <w:tcW w:w="960" w:type="dxa"/>
            <w:shd w:val="clear" w:color="auto" w:fill="auto"/>
            <w:noWrap/>
            <w:vAlign w:val="bottom"/>
            <w:hideMark/>
          </w:tcPr>
          <w:p w14:paraId="37D2700B"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h_1</w:t>
            </w:r>
          </w:p>
        </w:tc>
        <w:tc>
          <w:tcPr>
            <w:tcW w:w="960" w:type="dxa"/>
            <w:shd w:val="clear" w:color="auto" w:fill="auto"/>
            <w:noWrap/>
            <w:vAlign w:val="bottom"/>
            <w:hideMark/>
          </w:tcPr>
          <w:p w14:paraId="1F213276"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h_2</w:t>
            </w:r>
          </w:p>
        </w:tc>
        <w:tc>
          <w:tcPr>
            <w:tcW w:w="960" w:type="dxa"/>
            <w:shd w:val="clear" w:color="auto" w:fill="auto"/>
            <w:noWrap/>
            <w:vAlign w:val="bottom"/>
            <w:hideMark/>
          </w:tcPr>
          <w:p w14:paraId="579991E3"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h_3</w:t>
            </w:r>
          </w:p>
        </w:tc>
        <w:tc>
          <w:tcPr>
            <w:tcW w:w="960" w:type="dxa"/>
            <w:shd w:val="clear" w:color="auto" w:fill="auto"/>
            <w:noWrap/>
            <w:vAlign w:val="bottom"/>
            <w:hideMark/>
          </w:tcPr>
          <w:p w14:paraId="397E9412"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h_4</w:t>
            </w:r>
          </w:p>
        </w:tc>
        <w:tc>
          <w:tcPr>
            <w:tcW w:w="960" w:type="dxa"/>
            <w:shd w:val="clear" w:color="auto" w:fill="auto"/>
            <w:noWrap/>
            <w:vAlign w:val="bottom"/>
            <w:hideMark/>
          </w:tcPr>
          <w:p w14:paraId="480351E0"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h_5</w:t>
            </w:r>
          </w:p>
        </w:tc>
        <w:tc>
          <w:tcPr>
            <w:tcW w:w="960" w:type="dxa"/>
            <w:shd w:val="clear" w:color="auto" w:fill="auto"/>
            <w:noWrap/>
            <w:vAlign w:val="bottom"/>
            <w:hideMark/>
          </w:tcPr>
          <w:p w14:paraId="4268E853"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h_6</w:t>
            </w:r>
          </w:p>
        </w:tc>
        <w:tc>
          <w:tcPr>
            <w:tcW w:w="960" w:type="dxa"/>
            <w:shd w:val="clear" w:color="auto" w:fill="auto"/>
            <w:noWrap/>
            <w:vAlign w:val="bottom"/>
            <w:hideMark/>
          </w:tcPr>
          <w:p w14:paraId="4DA58BD9"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h_7</w:t>
            </w:r>
          </w:p>
        </w:tc>
        <w:tc>
          <w:tcPr>
            <w:tcW w:w="960" w:type="dxa"/>
            <w:shd w:val="clear" w:color="auto" w:fill="auto"/>
            <w:noWrap/>
            <w:vAlign w:val="bottom"/>
            <w:hideMark/>
          </w:tcPr>
          <w:p w14:paraId="62F2D98C"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h_8</w:t>
            </w:r>
          </w:p>
        </w:tc>
      </w:tr>
      <w:tr w:rsidR="00E066E7" w:rsidRPr="0019254B" w14:paraId="5E77F8F6" w14:textId="77777777" w:rsidTr="00E066E7">
        <w:trPr>
          <w:trHeight w:val="290"/>
        </w:trPr>
        <w:tc>
          <w:tcPr>
            <w:tcW w:w="1354" w:type="dxa"/>
            <w:shd w:val="clear" w:color="auto" w:fill="auto"/>
            <w:noWrap/>
            <w:vAlign w:val="bottom"/>
            <w:hideMark/>
          </w:tcPr>
          <w:p w14:paraId="625FD4EF"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agriculture</w:t>
            </w:r>
          </w:p>
        </w:tc>
        <w:tc>
          <w:tcPr>
            <w:tcW w:w="960" w:type="dxa"/>
            <w:shd w:val="clear" w:color="auto" w:fill="auto"/>
            <w:noWrap/>
            <w:vAlign w:val="bottom"/>
            <w:hideMark/>
          </w:tcPr>
          <w:p w14:paraId="1178B4CF"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39.7%</w:t>
            </w:r>
          </w:p>
        </w:tc>
        <w:tc>
          <w:tcPr>
            <w:tcW w:w="960" w:type="dxa"/>
            <w:shd w:val="clear" w:color="auto" w:fill="auto"/>
            <w:noWrap/>
            <w:vAlign w:val="bottom"/>
            <w:hideMark/>
          </w:tcPr>
          <w:p w14:paraId="5EBD36D3"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14.7%</w:t>
            </w:r>
          </w:p>
        </w:tc>
        <w:tc>
          <w:tcPr>
            <w:tcW w:w="960" w:type="dxa"/>
            <w:shd w:val="clear" w:color="auto" w:fill="auto"/>
            <w:noWrap/>
            <w:vAlign w:val="bottom"/>
            <w:hideMark/>
          </w:tcPr>
          <w:p w14:paraId="1BED1D63"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16.2%</w:t>
            </w:r>
          </w:p>
        </w:tc>
        <w:tc>
          <w:tcPr>
            <w:tcW w:w="960" w:type="dxa"/>
            <w:shd w:val="clear" w:color="auto" w:fill="auto"/>
            <w:noWrap/>
            <w:vAlign w:val="bottom"/>
            <w:hideMark/>
          </w:tcPr>
          <w:p w14:paraId="728D258B"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2.9%</w:t>
            </w:r>
          </w:p>
        </w:tc>
        <w:tc>
          <w:tcPr>
            <w:tcW w:w="960" w:type="dxa"/>
            <w:shd w:val="clear" w:color="auto" w:fill="auto"/>
            <w:noWrap/>
            <w:vAlign w:val="bottom"/>
            <w:hideMark/>
          </w:tcPr>
          <w:p w14:paraId="2BE649BF"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10.3%</w:t>
            </w:r>
          </w:p>
        </w:tc>
        <w:tc>
          <w:tcPr>
            <w:tcW w:w="960" w:type="dxa"/>
            <w:shd w:val="clear" w:color="auto" w:fill="auto"/>
            <w:noWrap/>
            <w:vAlign w:val="bottom"/>
            <w:hideMark/>
          </w:tcPr>
          <w:p w14:paraId="3CA7EECB"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11.8%</w:t>
            </w:r>
          </w:p>
        </w:tc>
        <w:tc>
          <w:tcPr>
            <w:tcW w:w="960" w:type="dxa"/>
            <w:shd w:val="clear" w:color="auto" w:fill="auto"/>
            <w:noWrap/>
            <w:vAlign w:val="bottom"/>
            <w:hideMark/>
          </w:tcPr>
          <w:p w14:paraId="1180A363"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4.4%</w:t>
            </w:r>
          </w:p>
        </w:tc>
        <w:tc>
          <w:tcPr>
            <w:tcW w:w="960" w:type="dxa"/>
            <w:shd w:val="clear" w:color="auto" w:fill="auto"/>
            <w:noWrap/>
            <w:vAlign w:val="bottom"/>
            <w:hideMark/>
          </w:tcPr>
          <w:p w14:paraId="0F08C4F1"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0.0%</w:t>
            </w:r>
          </w:p>
        </w:tc>
      </w:tr>
      <w:tr w:rsidR="00E066E7" w:rsidRPr="0019254B" w14:paraId="5E8005B8" w14:textId="77777777" w:rsidTr="00E066E7">
        <w:trPr>
          <w:trHeight w:val="290"/>
        </w:trPr>
        <w:tc>
          <w:tcPr>
            <w:tcW w:w="1354" w:type="dxa"/>
            <w:shd w:val="clear" w:color="auto" w:fill="auto"/>
            <w:noWrap/>
            <w:vAlign w:val="bottom"/>
            <w:hideMark/>
          </w:tcPr>
          <w:p w14:paraId="3B96E409"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aquaculture</w:t>
            </w:r>
          </w:p>
        </w:tc>
        <w:tc>
          <w:tcPr>
            <w:tcW w:w="960" w:type="dxa"/>
            <w:shd w:val="clear" w:color="auto" w:fill="auto"/>
            <w:noWrap/>
            <w:vAlign w:val="bottom"/>
            <w:hideMark/>
          </w:tcPr>
          <w:p w14:paraId="26B711FA"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7.1%</w:t>
            </w:r>
          </w:p>
        </w:tc>
        <w:tc>
          <w:tcPr>
            <w:tcW w:w="960" w:type="dxa"/>
            <w:shd w:val="clear" w:color="auto" w:fill="auto"/>
            <w:noWrap/>
            <w:vAlign w:val="bottom"/>
            <w:hideMark/>
          </w:tcPr>
          <w:p w14:paraId="58395C17"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0.0%</w:t>
            </w:r>
          </w:p>
        </w:tc>
        <w:tc>
          <w:tcPr>
            <w:tcW w:w="960" w:type="dxa"/>
            <w:shd w:val="clear" w:color="auto" w:fill="auto"/>
            <w:noWrap/>
            <w:vAlign w:val="bottom"/>
            <w:hideMark/>
          </w:tcPr>
          <w:p w14:paraId="2B8EC802"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7.1%</w:t>
            </w:r>
          </w:p>
        </w:tc>
        <w:tc>
          <w:tcPr>
            <w:tcW w:w="960" w:type="dxa"/>
            <w:shd w:val="clear" w:color="auto" w:fill="auto"/>
            <w:noWrap/>
            <w:vAlign w:val="bottom"/>
            <w:hideMark/>
          </w:tcPr>
          <w:p w14:paraId="1F9BAC8D"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0.0%</w:t>
            </w:r>
          </w:p>
        </w:tc>
        <w:tc>
          <w:tcPr>
            <w:tcW w:w="960" w:type="dxa"/>
            <w:shd w:val="clear" w:color="auto" w:fill="auto"/>
            <w:noWrap/>
            <w:vAlign w:val="bottom"/>
            <w:hideMark/>
          </w:tcPr>
          <w:p w14:paraId="32375D10"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0.0%</w:t>
            </w:r>
          </w:p>
        </w:tc>
        <w:tc>
          <w:tcPr>
            <w:tcW w:w="960" w:type="dxa"/>
            <w:shd w:val="clear" w:color="auto" w:fill="auto"/>
            <w:noWrap/>
            <w:vAlign w:val="bottom"/>
            <w:hideMark/>
          </w:tcPr>
          <w:p w14:paraId="10F9FF5D"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7.1%</w:t>
            </w:r>
          </w:p>
        </w:tc>
        <w:tc>
          <w:tcPr>
            <w:tcW w:w="960" w:type="dxa"/>
            <w:shd w:val="clear" w:color="auto" w:fill="auto"/>
            <w:noWrap/>
            <w:vAlign w:val="bottom"/>
            <w:hideMark/>
          </w:tcPr>
          <w:p w14:paraId="61C65060"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14.3%</w:t>
            </w:r>
          </w:p>
        </w:tc>
        <w:tc>
          <w:tcPr>
            <w:tcW w:w="960" w:type="dxa"/>
            <w:shd w:val="clear" w:color="auto" w:fill="auto"/>
            <w:noWrap/>
            <w:vAlign w:val="bottom"/>
            <w:hideMark/>
          </w:tcPr>
          <w:p w14:paraId="1006588E"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64.3%</w:t>
            </w:r>
          </w:p>
        </w:tc>
      </w:tr>
      <w:tr w:rsidR="00E066E7" w:rsidRPr="0019254B" w14:paraId="1C339E97" w14:textId="77777777" w:rsidTr="00E066E7">
        <w:trPr>
          <w:trHeight w:val="290"/>
        </w:trPr>
        <w:tc>
          <w:tcPr>
            <w:tcW w:w="1354" w:type="dxa"/>
            <w:shd w:val="clear" w:color="auto" w:fill="auto"/>
            <w:noWrap/>
            <w:vAlign w:val="bottom"/>
            <w:hideMark/>
          </w:tcPr>
          <w:p w14:paraId="70683E48"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commercial</w:t>
            </w:r>
          </w:p>
        </w:tc>
        <w:tc>
          <w:tcPr>
            <w:tcW w:w="960" w:type="dxa"/>
            <w:shd w:val="clear" w:color="auto" w:fill="auto"/>
            <w:noWrap/>
            <w:vAlign w:val="bottom"/>
            <w:hideMark/>
          </w:tcPr>
          <w:p w14:paraId="6A2A3336"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35.6%</w:t>
            </w:r>
          </w:p>
        </w:tc>
        <w:tc>
          <w:tcPr>
            <w:tcW w:w="960" w:type="dxa"/>
            <w:shd w:val="clear" w:color="auto" w:fill="auto"/>
            <w:noWrap/>
            <w:vAlign w:val="bottom"/>
            <w:hideMark/>
          </w:tcPr>
          <w:p w14:paraId="6FFB7D8C"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11.9%</w:t>
            </w:r>
          </w:p>
        </w:tc>
        <w:tc>
          <w:tcPr>
            <w:tcW w:w="960" w:type="dxa"/>
            <w:shd w:val="clear" w:color="auto" w:fill="auto"/>
            <w:noWrap/>
            <w:vAlign w:val="bottom"/>
            <w:hideMark/>
          </w:tcPr>
          <w:p w14:paraId="1E0C6962"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29.3%</w:t>
            </w:r>
          </w:p>
        </w:tc>
        <w:tc>
          <w:tcPr>
            <w:tcW w:w="960" w:type="dxa"/>
            <w:shd w:val="clear" w:color="auto" w:fill="auto"/>
            <w:noWrap/>
            <w:vAlign w:val="bottom"/>
            <w:hideMark/>
          </w:tcPr>
          <w:p w14:paraId="5D33A273"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2.3%</w:t>
            </w:r>
          </w:p>
        </w:tc>
        <w:tc>
          <w:tcPr>
            <w:tcW w:w="960" w:type="dxa"/>
            <w:shd w:val="clear" w:color="auto" w:fill="auto"/>
            <w:noWrap/>
            <w:vAlign w:val="bottom"/>
            <w:hideMark/>
          </w:tcPr>
          <w:p w14:paraId="20EC0B6B"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3.8%</w:t>
            </w:r>
          </w:p>
        </w:tc>
        <w:tc>
          <w:tcPr>
            <w:tcW w:w="960" w:type="dxa"/>
            <w:shd w:val="clear" w:color="auto" w:fill="auto"/>
            <w:noWrap/>
            <w:vAlign w:val="bottom"/>
            <w:hideMark/>
          </w:tcPr>
          <w:p w14:paraId="1A7EC218"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9.1%</w:t>
            </w:r>
          </w:p>
        </w:tc>
        <w:tc>
          <w:tcPr>
            <w:tcW w:w="960" w:type="dxa"/>
            <w:shd w:val="clear" w:color="auto" w:fill="auto"/>
            <w:noWrap/>
            <w:vAlign w:val="bottom"/>
            <w:hideMark/>
          </w:tcPr>
          <w:p w14:paraId="0BE8CB5E"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7.3%</w:t>
            </w:r>
          </w:p>
        </w:tc>
        <w:tc>
          <w:tcPr>
            <w:tcW w:w="960" w:type="dxa"/>
            <w:shd w:val="clear" w:color="auto" w:fill="auto"/>
            <w:noWrap/>
            <w:vAlign w:val="bottom"/>
            <w:hideMark/>
          </w:tcPr>
          <w:p w14:paraId="7CCE94E9"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0.8%</w:t>
            </w:r>
          </w:p>
        </w:tc>
      </w:tr>
      <w:tr w:rsidR="00E066E7" w:rsidRPr="0019254B" w14:paraId="0077FAD5" w14:textId="77777777" w:rsidTr="00E066E7">
        <w:trPr>
          <w:trHeight w:val="290"/>
        </w:trPr>
        <w:tc>
          <w:tcPr>
            <w:tcW w:w="1354" w:type="dxa"/>
            <w:shd w:val="clear" w:color="auto" w:fill="auto"/>
            <w:noWrap/>
            <w:vAlign w:val="bottom"/>
            <w:hideMark/>
          </w:tcPr>
          <w:p w14:paraId="0357C8B9"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industrial</w:t>
            </w:r>
          </w:p>
        </w:tc>
        <w:tc>
          <w:tcPr>
            <w:tcW w:w="960" w:type="dxa"/>
            <w:shd w:val="clear" w:color="auto" w:fill="auto"/>
            <w:noWrap/>
            <w:vAlign w:val="bottom"/>
            <w:hideMark/>
          </w:tcPr>
          <w:p w14:paraId="59BC07B8"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3.5%</w:t>
            </w:r>
          </w:p>
        </w:tc>
        <w:tc>
          <w:tcPr>
            <w:tcW w:w="960" w:type="dxa"/>
            <w:shd w:val="clear" w:color="auto" w:fill="auto"/>
            <w:noWrap/>
            <w:vAlign w:val="bottom"/>
            <w:hideMark/>
          </w:tcPr>
          <w:p w14:paraId="1D81059F"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20.8%</w:t>
            </w:r>
          </w:p>
        </w:tc>
        <w:tc>
          <w:tcPr>
            <w:tcW w:w="960" w:type="dxa"/>
            <w:shd w:val="clear" w:color="auto" w:fill="auto"/>
            <w:noWrap/>
            <w:vAlign w:val="bottom"/>
            <w:hideMark/>
          </w:tcPr>
          <w:p w14:paraId="79C16E30"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0.6%</w:t>
            </w:r>
          </w:p>
        </w:tc>
        <w:tc>
          <w:tcPr>
            <w:tcW w:w="960" w:type="dxa"/>
            <w:shd w:val="clear" w:color="auto" w:fill="auto"/>
            <w:noWrap/>
            <w:vAlign w:val="bottom"/>
            <w:hideMark/>
          </w:tcPr>
          <w:p w14:paraId="0CAD27F1"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3.5%</w:t>
            </w:r>
          </w:p>
        </w:tc>
        <w:tc>
          <w:tcPr>
            <w:tcW w:w="960" w:type="dxa"/>
            <w:shd w:val="clear" w:color="auto" w:fill="auto"/>
            <w:noWrap/>
            <w:vAlign w:val="bottom"/>
            <w:hideMark/>
          </w:tcPr>
          <w:p w14:paraId="69E20FCE"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1.7%</w:t>
            </w:r>
          </w:p>
        </w:tc>
        <w:tc>
          <w:tcPr>
            <w:tcW w:w="960" w:type="dxa"/>
            <w:shd w:val="clear" w:color="auto" w:fill="auto"/>
            <w:noWrap/>
            <w:vAlign w:val="bottom"/>
            <w:hideMark/>
          </w:tcPr>
          <w:p w14:paraId="20854813"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30.6%</w:t>
            </w:r>
          </w:p>
        </w:tc>
        <w:tc>
          <w:tcPr>
            <w:tcW w:w="960" w:type="dxa"/>
            <w:shd w:val="clear" w:color="auto" w:fill="auto"/>
            <w:noWrap/>
            <w:vAlign w:val="bottom"/>
            <w:hideMark/>
          </w:tcPr>
          <w:p w14:paraId="342ACC82"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9.2%</w:t>
            </w:r>
          </w:p>
        </w:tc>
        <w:tc>
          <w:tcPr>
            <w:tcW w:w="960" w:type="dxa"/>
            <w:shd w:val="clear" w:color="auto" w:fill="auto"/>
            <w:noWrap/>
            <w:vAlign w:val="bottom"/>
            <w:hideMark/>
          </w:tcPr>
          <w:p w14:paraId="68F45544"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30.1%</w:t>
            </w:r>
          </w:p>
        </w:tc>
      </w:tr>
      <w:tr w:rsidR="00E066E7" w:rsidRPr="0019254B" w14:paraId="3CF6F61F" w14:textId="77777777" w:rsidTr="00E066E7">
        <w:trPr>
          <w:trHeight w:val="290"/>
        </w:trPr>
        <w:tc>
          <w:tcPr>
            <w:tcW w:w="1354" w:type="dxa"/>
            <w:shd w:val="clear" w:color="auto" w:fill="auto"/>
            <w:noWrap/>
            <w:vAlign w:val="bottom"/>
            <w:hideMark/>
          </w:tcPr>
          <w:p w14:paraId="15DE6ACA"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irrigation</w:t>
            </w:r>
          </w:p>
        </w:tc>
        <w:tc>
          <w:tcPr>
            <w:tcW w:w="960" w:type="dxa"/>
            <w:shd w:val="clear" w:color="auto" w:fill="auto"/>
            <w:noWrap/>
            <w:vAlign w:val="bottom"/>
            <w:hideMark/>
          </w:tcPr>
          <w:p w14:paraId="10B37DB6"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47.0%</w:t>
            </w:r>
          </w:p>
        </w:tc>
        <w:tc>
          <w:tcPr>
            <w:tcW w:w="960" w:type="dxa"/>
            <w:shd w:val="clear" w:color="auto" w:fill="auto"/>
            <w:noWrap/>
            <w:vAlign w:val="bottom"/>
            <w:hideMark/>
          </w:tcPr>
          <w:p w14:paraId="50EA622E"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0.0%</w:t>
            </w:r>
          </w:p>
        </w:tc>
        <w:tc>
          <w:tcPr>
            <w:tcW w:w="960" w:type="dxa"/>
            <w:shd w:val="clear" w:color="auto" w:fill="auto"/>
            <w:noWrap/>
            <w:vAlign w:val="bottom"/>
            <w:hideMark/>
          </w:tcPr>
          <w:p w14:paraId="4AC5639A"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22.3%</w:t>
            </w:r>
          </w:p>
        </w:tc>
        <w:tc>
          <w:tcPr>
            <w:tcW w:w="960" w:type="dxa"/>
            <w:shd w:val="clear" w:color="auto" w:fill="auto"/>
            <w:noWrap/>
            <w:vAlign w:val="bottom"/>
            <w:hideMark/>
          </w:tcPr>
          <w:p w14:paraId="118AE7DC"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0.6%</w:t>
            </w:r>
          </w:p>
        </w:tc>
        <w:tc>
          <w:tcPr>
            <w:tcW w:w="960" w:type="dxa"/>
            <w:shd w:val="clear" w:color="auto" w:fill="auto"/>
            <w:noWrap/>
            <w:vAlign w:val="bottom"/>
            <w:hideMark/>
          </w:tcPr>
          <w:p w14:paraId="18ED9F64"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27.2%</w:t>
            </w:r>
          </w:p>
        </w:tc>
        <w:tc>
          <w:tcPr>
            <w:tcW w:w="960" w:type="dxa"/>
            <w:shd w:val="clear" w:color="auto" w:fill="auto"/>
            <w:noWrap/>
            <w:vAlign w:val="bottom"/>
            <w:hideMark/>
          </w:tcPr>
          <w:p w14:paraId="6F088934"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2.9%</w:t>
            </w:r>
          </w:p>
        </w:tc>
        <w:tc>
          <w:tcPr>
            <w:tcW w:w="960" w:type="dxa"/>
            <w:shd w:val="clear" w:color="auto" w:fill="auto"/>
            <w:noWrap/>
            <w:vAlign w:val="bottom"/>
            <w:hideMark/>
          </w:tcPr>
          <w:p w14:paraId="358493D7"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0.0%</w:t>
            </w:r>
          </w:p>
        </w:tc>
        <w:tc>
          <w:tcPr>
            <w:tcW w:w="960" w:type="dxa"/>
            <w:shd w:val="clear" w:color="auto" w:fill="auto"/>
            <w:noWrap/>
            <w:vAlign w:val="bottom"/>
            <w:hideMark/>
          </w:tcPr>
          <w:p w14:paraId="3A287400"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0.0%</w:t>
            </w:r>
          </w:p>
        </w:tc>
      </w:tr>
      <w:tr w:rsidR="00E066E7" w:rsidRPr="0019254B" w14:paraId="622A1747" w14:textId="77777777" w:rsidTr="00E066E7">
        <w:trPr>
          <w:trHeight w:val="290"/>
        </w:trPr>
        <w:tc>
          <w:tcPr>
            <w:tcW w:w="1354" w:type="dxa"/>
            <w:shd w:val="clear" w:color="auto" w:fill="auto"/>
            <w:noWrap/>
            <w:vAlign w:val="bottom"/>
            <w:hideMark/>
          </w:tcPr>
          <w:p w14:paraId="694CE018"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mining</w:t>
            </w:r>
          </w:p>
        </w:tc>
        <w:tc>
          <w:tcPr>
            <w:tcW w:w="960" w:type="dxa"/>
            <w:shd w:val="clear" w:color="auto" w:fill="auto"/>
            <w:noWrap/>
            <w:vAlign w:val="bottom"/>
            <w:hideMark/>
          </w:tcPr>
          <w:p w14:paraId="453DFAF2"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9.2%</w:t>
            </w:r>
          </w:p>
        </w:tc>
        <w:tc>
          <w:tcPr>
            <w:tcW w:w="960" w:type="dxa"/>
            <w:shd w:val="clear" w:color="auto" w:fill="auto"/>
            <w:noWrap/>
            <w:vAlign w:val="bottom"/>
            <w:hideMark/>
          </w:tcPr>
          <w:p w14:paraId="75D0E3E9"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9.2%</w:t>
            </w:r>
          </w:p>
        </w:tc>
        <w:tc>
          <w:tcPr>
            <w:tcW w:w="960" w:type="dxa"/>
            <w:shd w:val="clear" w:color="auto" w:fill="auto"/>
            <w:noWrap/>
            <w:vAlign w:val="bottom"/>
            <w:hideMark/>
          </w:tcPr>
          <w:p w14:paraId="69C46537"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0.0%</w:t>
            </w:r>
          </w:p>
        </w:tc>
        <w:tc>
          <w:tcPr>
            <w:tcW w:w="960" w:type="dxa"/>
            <w:shd w:val="clear" w:color="auto" w:fill="auto"/>
            <w:noWrap/>
            <w:vAlign w:val="bottom"/>
            <w:hideMark/>
          </w:tcPr>
          <w:p w14:paraId="2E6BEDB0"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2.6%</w:t>
            </w:r>
          </w:p>
        </w:tc>
        <w:tc>
          <w:tcPr>
            <w:tcW w:w="960" w:type="dxa"/>
            <w:shd w:val="clear" w:color="auto" w:fill="auto"/>
            <w:noWrap/>
            <w:vAlign w:val="bottom"/>
            <w:hideMark/>
          </w:tcPr>
          <w:p w14:paraId="7D8A3254"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5.3%</w:t>
            </w:r>
          </w:p>
        </w:tc>
        <w:tc>
          <w:tcPr>
            <w:tcW w:w="960" w:type="dxa"/>
            <w:shd w:val="clear" w:color="auto" w:fill="auto"/>
            <w:noWrap/>
            <w:vAlign w:val="bottom"/>
            <w:hideMark/>
          </w:tcPr>
          <w:p w14:paraId="39B9C5F7"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25.0%</w:t>
            </w:r>
          </w:p>
        </w:tc>
        <w:tc>
          <w:tcPr>
            <w:tcW w:w="960" w:type="dxa"/>
            <w:shd w:val="clear" w:color="auto" w:fill="auto"/>
            <w:noWrap/>
            <w:vAlign w:val="bottom"/>
            <w:hideMark/>
          </w:tcPr>
          <w:p w14:paraId="26EC5B8A"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13.2%</w:t>
            </w:r>
          </w:p>
        </w:tc>
        <w:tc>
          <w:tcPr>
            <w:tcW w:w="960" w:type="dxa"/>
            <w:shd w:val="clear" w:color="auto" w:fill="auto"/>
            <w:noWrap/>
            <w:vAlign w:val="bottom"/>
            <w:hideMark/>
          </w:tcPr>
          <w:p w14:paraId="5480898F"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35.5%</w:t>
            </w:r>
          </w:p>
        </w:tc>
      </w:tr>
      <w:tr w:rsidR="00E066E7" w:rsidRPr="0019254B" w14:paraId="40713774" w14:textId="77777777" w:rsidTr="00E066E7">
        <w:trPr>
          <w:trHeight w:val="290"/>
        </w:trPr>
        <w:tc>
          <w:tcPr>
            <w:tcW w:w="1354" w:type="dxa"/>
            <w:shd w:val="clear" w:color="auto" w:fill="auto"/>
            <w:noWrap/>
            <w:vAlign w:val="bottom"/>
            <w:hideMark/>
          </w:tcPr>
          <w:p w14:paraId="03CBE0F4"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municipal</w:t>
            </w:r>
          </w:p>
        </w:tc>
        <w:tc>
          <w:tcPr>
            <w:tcW w:w="960" w:type="dxa"/>
            <w:shd w:val="clear" w:color="auto" w:fill="auto"/>
            <w:noWrap/>
            <w:vAlign w:val="bottom"/>
            <w:hideMark/>
          </w:tcPr>
          <w:p w14:paraId="3F81A22B"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2.0%</w:t>
            </w:r>
          </w:p>
        </w:tc>
        <w:tc>
          <w:tcPr>
            <w:tcW w:w="960" w:type="dxa"/>
            <w:shd w:val="clear" w:color="auto" w:fill="auto"/>
            <w:noWrap/>
            <w:vAlign w:val="bottom"/>
            <w:hideMark/>
          </w:tcPr>
          <w:p w14:paraId="6B3727EE"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26.8%</w:t>
            </w:r>
          </w:p>
        </w:tc>
        <w:tc>
          <w:tcPr>
            <w:tcW w:w="960" w:type="dxa"/>
            <w:shd w:val="clear" w:color="auto" w:fill="auto"/>
            <w:noWrap/>
            <w:vAlign w:val="bottom"/>
            <w:hideMark/>
          </w:tcPr>
          <w:p w14:paraId="3E03CD46"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1.0%</w:t>
            </w:r>
          </w:p>
        </w:tc>
        <w:tc>
          <w:tcPr>
            <w:tcW w:w="960" w:type="dxa"/>
            <w:shd w:val="clear" w:color="auto" w:fill="auto"/>
            <w:noWrap/>
            <w:vAlign w:val="bottom"/>
            <w:hideMark/>
          </w:tcPr>
          <w:p w14:paraId="32E6BAFD"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3.7%</w:t>
            </w:r>
          </w:p>
        </w:tc>
        <w:tc>
          <w:tcPr>
            <w:tcW w:w="960" w:type="dxa"/>
            <w:shd w:val="clear" w:color="auto" w:fill="auto"/>
            <w:noWrap/>
            <w:vAlign w:val="bottom"/>
            <w:hideMark/>
          </w:tcPr>
          <w:p w14:paraId="58A05D77"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1.0%</w:t>
            </w:r>
          </w:p>
        </w:tc>
        <w:tc>
          <w:tcPr>
            <w:tcW w:w="960" w:type="dxa"/>
            <w:shd w:val="clear" w:color="auto" w:fill="auto"/>
            <w:noWrap/>
            <w:vAlign w:val="bottom"/>
            <w:hideMark/>
          </w:tcPr>
          <w:p w14:paraId="1B2E8B1B"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31.5%</w:t>
            </w:r>
          </w:p>
        </w:tc>
        <w:tc>
          <w:tcPr>
            <w:tcW w:w="960" w:type="dxa"/>
            <w:shd w:val="clear" w:color="auto" w:fill="auto"/>
            <w:noWrap/>
            <w:vAlign w:val="bottom"/>
            <w:hideMark/>
          </w:tcPr>
          <w:p w14:paraId="639B3B5C"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12.7%</w:t>
            </w:r>
          </w:p>
        </w:tc>
        <w:tc>
          <w:tcPr>
            <w:tcW w:w="960" w:type="dxa"/>
            <w:shd w:val="clear" w:color="auto" w:fill="auto"/>
            <w:noWrap/>
            <w:vAlign w:val="bottom"/>
            <w:hideMark/>
          </w:tcPr>
          <w:p w14:paraId="55412D3C"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21.3%</w:t>
            </w:r>
          </w:p>
        </w:tc>
      </w:tr>
      <w:tr w:rsidR="00E066E7" w:rsidRPr="0019254B" w14:paraId="22102011" w14:textId="77777777" w:rsidTr="00E066E7">
        <w:trPr>
          <w:trHeight w:val="290"/>
        </w:trPr>
        <w:tc>
          <w:tcPr>
            <w:tcW w:w="1354" w:type="dxa"/>
            <w:shd w:val="clear" w:color="auto" w:fill="auto"/>
            <w:noWrap/>
            <w:vAlign w:val="bottom"/>
            <w:hideMark/>
          </w:tcPr>
          <w:p w14:paraId="5269431E" w14:textId="77777777" w:rsidR="00E066E7" w:rsidRPr="0019254B" w:rsidRDefault="00E066E7" w:rsidP="00E066E7">
            <w:pPr>
              <w:spacing w:after="0" w:line="240" w:lineRule="auto"/>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thermoelectric</w:t>
            </w:r>
          </w:p>
        </w:tc>
        <w:tc>
          <w:tcPr>
            <w:tcW w:w="960" w:type="dxa"/>
            <w:shd w:val="clear" w:color="auto" w:fill="auto"/>
            <w:noWrap/>
            <w:vAlign w:val="bottom"/>
            <w:hideMark/>
          </w:tcPr>
          <w:p w14:paraId="2B40B7E8"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0.0%</w:t>
            </w:r>
          </w:p>
        </w:tc>
        <w:tc>
          <w:tcPr>
            <w:tcW w:w="960" w:type="dxa"/>
            <w:shd w:val="clear" w:color="auto" w:fill="auto"/>
            <w:noWrap/>
            <w:vAlign w:val="bottom"/>
            <w:hideMark/>
          </w:tcPr>
          <w:p w14:paraId="6CDC093C"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0.0%</w:t>
            </w:r>
          </w:p>
        </w:tc>
        <w:tc>
          <w:tcPr>
            <w:tcW w:w="960" w:type="dxa"/>
            <w:shd w:val="clear" w:color="auto" w:fill="auto"/>
            <w:noWrap/>
            <w:vAlign w:val="bottom"/>
            <w:hideMark/>
          </w:tcPr>
          <w:p w14:paraId="505B275A"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0.0%</w:t>
            </w:r>
          </w:p>
        </w:tc>
        <w:tc>
          <w:tcPr>
            <w:tcW w:w="960" w:type="dxa"/>
            <w:shd w:val="clear" w:color="auto" w:fill="auto"/>
            <w:noWrap/>
            <w:vAlign w:val="bottom"/>
            <w:hideMark/>
          </w:tcPr>
          <w:p w14:paraId="5401788B"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4.2%</w:t>
            </w:r>
          </w:p>
        </w:tc>
        <w:tc>
          <w:tcPr>
            <w:tcW w:w="960" w:type="dxa"/>
            <w:shd w:val="clear" w:color="auto" w:fill="auto"/>
            <w:noWrap/>
            <w:vAlign w:val="bottom"/>
            <w:hideMark/>
          </w:tcPr>
          <w:p w14:paraId="577A45F6"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4.2%</w:t>
            </w:r>
          </w:p>
        </w:tc>
        <w:tc>
          <w:tcPr>
            <w:tcW w:w="960" w:type="dxa"/>
            <w:shd w:val="clear" w:color="auto" w:fill="auto"/>
            <w:noWrap/>
            <w:vAlign w:val="bottom"/>
            <w:hideMark/>
          </w:tcPr>
          <w:p w14:paraId="08DAC390"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4.2%</w:t>
            </w:r>
          </w:p>
        </w:tc>
        <w:tc>
          <w:tcPr>
            <w:tcW w:w="960" w:type="dxa"/>
            <w:shd w:val="clear" w:color="auto" w:fill="auto"/>
            <w:noWrap/>
            <w:vAlign w:val="bottom"/>
            <w:hideMark/>
          </w:tcPr>
          <w:p w14:paraId="4B8D32F2"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16.7%</w:t>
            </w:r>
          </w:p>
        </w:tc>
        <w:tc>
          <w:tcPr>
            <w:tcW w:w="960" w:type="dxa"/>
            <w:shd w:val="clear" w:color="auto" w:fill="auto"/>
            <w:noWrap/>
            <w:vAlign w:val="bottom"/>
            <w:hideMark/>
          </w:tcPr>
          <w:p w14:paraId="02E83A45" w14:textId="77777777" w:rsidR="00E066E7" w:rsidRPr="0019254B" w:rsidRDefault="00E066E7" w:rsidP="00E066E7">
            <w:pPr>
              <w:spacing w:after="0" w:line="240" w:lineRule="auto"/>
              <w:jc w:val="right"/>
              <w:rPr>
                <w:rFonts w:ascii="Times New Roman" w:eastAsia="Times New Roman" w:hAnsi="Times New Roman" w:cs="Times New Roman"/>
                <w:color w:val="000000"/>
                <w:sz w:val="24"/>
                <w:szCs w:val="24"/>
              </w:rPr>
            </w:pPr>
            <w:r w:rsidRPr="0019254B">
              <w:rPr>
                <w:rFonts w:ascii="Times New Roman" w:eastAsia="Times New Roman" w:hAnsi="Times New Roman" w:cs="Times New Roman"/>
                <w:color w:val="000000"/>
                <w:sz w:val="24"/>
                <w:szCs w:val="24"/>
              </w:rPr>
              <w:t>70.8%</w:t>
            </w:r>
          </w:p>
        </w:tc>
      </w:tr>
    </w:tbl>
    <w:p w14:paraId="248FE903" w14:textId="77777777" w:rsidR="00E066E7" w:rsidRPr="0019254B" w:rsidRDefault="00E066E7" w:rsidP="00E066E7">
      <w:pPr>
        <w:jc w:val="center"/>
        <w:rPr>
          <w:rFonts w:ascii="Times New Roman" w:hAnsi="Times New Roman" w:cs="Times New Roman"/>
          <w:i/>
          <w:sz w:val="24"/>
          <w:szCs w:val="24"/>
        </w:rPr>
      </w:pPr>
    </w:p>
    <w:p w14:paraId="139957C2" w14:textId="671452BE" w:rsidR="00E066E7" w:rsidRPr="0019254B" w:rsidRDefault="00E066E7" w:rsidP="00E066E7">
      <w:pPr>
        <w:jc w:val="center"/>
        <w:rPr>
          <w:rFonts w:ascii="Times New Roman" w:hAnsi="Times New Roman" w:cs="Times New Roman"/>
          <w:i/>
          <w:sz w:val="24"/>
          <w:szCs w:val="24"/>
        </w:rPr>
      </w:pPr>
      <w:r w:rsidRPr="0019254B">
        <w:rPr>
          <w:rFonts w:ascii="Times New Roman" w:hAnsi="Times New Roman" w:cs="Times New Roman"/>
          <w:i/>
          <w:sz w:val="24"/>
          <w:szCs w:val="24"/>
        </w:rPr>
        <w:t>Table S</w:t>
      </w:r>
      <w:r w:rsidR="0019254B">
        <w:rPr>
          <w:rFonts w:ascii="Times New Roman" w:hAnsi="Times New Roman" w:cs="Times New Roman"/>
          <w:i/>
          <w:sz w:val="24"/>
          <w:szCs w:val="24"/>
        </w:rPr>
        <w:t>3</w:t>
      </w:r>
      <w:r w:rsidRPr="0019254B">
        <w:rPr>
          <w:rFonts w:ascii="Times New Roman" w:hAnsi="Times New Roman" w:cs="Times New Roman"/>
          <w:i/>
          <w:sz w:val="24"/>
          <w:szCs w:val="24"/>
        </w:rPr>
        <w:t>: Correspondence between facility sector and small cluster (k=8) assignment. Percentages indicate the percent of facilities in each sector assigned to a given cluster.</w:t>
      </w:r>
    </w:p>
    <w:p w14:paraId="16C8FCE0" w14:textId="77777777" w:rsidR="00E066E7" w:rsidRPr="0019254B" w:rsidRDefault="00E066E7" w:rsidP="00E066E7">
      <w:pPr>
        <w:jc w:val="center"/>
        <w:rPr>
          <w:rFonts w:ascii="Times New Roman" w:hAnsi="Times New Roman" w:cs="Times New Roman"/>
          <w:i/>
          <w:sz w:val="24"/>
          <w:szCs w:val="24"/>
        </w:rPr>
      </w:pPr>
    </w:p>
    <w:p w14:paraId="1772EE50" w14:textId="77777777" w:rsidR="00E066E7" w:rsidRPr="0019254B" w:rsidRDefault="00E066E7">
      <w:pPr>
        <w:rPr>
          <w:rFonts w:ascii="Times New Roman" w:hAnsi="Times New Roman" w:cs="Times New Roman"/>
          <w:sz w:val="24"/>
          <w:szCs w:val="24"/>
        </w:rPr>
      </w:pPr>
    </w:p>
    <w:p w14:paraId="34CF84EF" w14:textId="01F4DD70" w:rsidR="0006686C" w:rsidRDefault="008D630F">
      <w:pPr>
        <w:rPr>
          <w:rFonts w:ascii="Times New Roman" w:hAnsi="Times New Roman" w:cs="Times New Roman"/>
          <w:sz w:val="24"/>
          <w:szCs w:val="24"/>
        </w:rPr>
      </w:pPr>
      <w:r w:rsidRPr="0019254B">
        <w:rPr>
          <w:rFonts w:ascii="Times New Roman" w:hAnsi="Times New Roman" w:cs="Times New Roman"/>
          <w:sz w:val="24"/>
          <w:szCs w:val="24"/>
        </w:rPr>
        <w:t xml:space="preserve"> </w:t>
      </w:r>
    </w:p>
    <w:p w14:paraId="29DFB5E1" w14:textId="77777777" w:rsidR="0006686C" w:rsidRDefault="0006686C">
      <w:pPr>
        <w:rPr>
          <w:rFonts w:ascii="Times New Roman" w:hAnsi="Times New Roman" w:cs="Times New Roman"/>
          <w:sz w:val="24"/>
          <w:szCs w:val="24"/>
        </w:rPr>
      </w:pPr>
      <w:r>
        <w:rPr>
          <w:rFonts w:ascii="Times New Roman" w:hAnsi="Times New Roman" w:cs="Times New Roman"/>
          <w:sz w:val="24"/>
          <w:szCs w:val="24"/>
        </w:rPr>
        <w:br w:type="page"/>
      </w:r>
    </w:p>
    <w:p w14:paraId="2B2D3FC9" w14:textId="77774BC6" w:rsidR="008076F3" w:rsidRDefault="0006686C">
      <w:pPr>
        <w:rPr>
          <w:rFonts w:ascii="Times New Roman" w:hAnsi="Times New Roman" w:cs="Times New Roman"/>
          <w:b/>
          <w:sz w:val="24"/>
          <w:szCs w:val="24"/>
        </w:rPr>
      </w:pPr>
      <w:r>
        <w:rPr>
          <w:rFonts w:ascii="Times New Roman" w:hAnsi="Times New Roman" w:cs="Times New Roman"/>
          <w:b/>
          <w:sz w:val="24"/>
          <w:szCs w:val="24"/>
        </w:rPr>
        <w:lastRenderedPageBreak/>
        <w:t>S3.</w:t>
      </w:r>
      <w:bookmarkStart w:id="0" w:name="_GoBack"/>
      <w:bookmarkEnd w:id="0"/>
      <w:r>
        <w:rPr>
          <w:rFonts w:ascii="Times New Roman" w:hAnsi="Times New Roman" w:cs="Times New Roman"/>
          <w:b/>
          <w:sz w:val="24"/>
          <w:szCs w:val="24"/>
        </w:rPr>
        <w:t xml:space="preserve"> References Cited</w:t>
      </w:r>
    </w:p>
    <w:p w14:paraId="1BE38B54" w14:textId="77777777" w:rsidR="0006686C" w:rsidRPr="0006686C" w:rsidRDefault="0006686C" w:rsidP="0006686C">
      <w:pPr>
        <w:pStyle w:val="Bibliography"/>
        <w:rPr>
          <w:rFonts w:ascii="Times New Roman" w:hAnsi="Times New Roman" w:cs="Times New Roman"/>
          <w:sz w:val="24"/>
        </w:rPr>
      </w:pPr>
      <w:r>
        <w:rPr>
          <w:b/>
        </w:rPr>
        <w:fldChar w:fldCharType="begin"/>
      </w:r>
      <w:r>
        <w:rPr>
          <w:b/>
        </w:rPr>
        <w:instrText xml:space="preserve"> ADDIN ZOTERO_BIBL {"uncited":[],"omitted":[],"custom":[]} CSL_BIBLIOGRAPHY </w:instrText>
      </w:r>
      <w:r>
        <w:rPr>
          <w:b/>
        </w:rPr>
        <w:fldChar w:fldCharType="separate"/>
      </w:r>
      <w:proofErr w:type="spellStart"/>
      <w:r w:rsidRPr="0006686C">
        <w:rPr>
          <w:rFonts w:ascii="Times New Roman" w:hAnsi="Times New Roman" w:cs="Times New Roman"/>
          <w:sz w:val="24"/>
        </w:rPr>
        <w:t>Attaallah</w:t>
      </w:r>
      <w:proofErr w:type="spellEnd"/>
      <w:r w:rsidRPr="0006686C">
        <w:rPr>
          <w:rFonts w:ascii="Times New Roman" w:hAnsi="Times New Roman" w:cs="Times New Roman"/>
          <w:sz w:val="24"/>
        </w:rPr>
        <w:t xml:space="preserve">, N. A. M. (2018). </w:t>
      </w:r>
      <w:r w:rsidRPr="0006686C">
        <w:rPr>
          <w:rFonts w:ascii="Times New Roman" w:hAnsi="Times New Roman" w:cs="Times New Roman"/>
          <w:i/>
          <w:iCs/>
          <w:sz w:val="24"/>
        </w:rPr>
        <w:t xml:space="preserve">Demand </w:t>
      </w:r>
      <w:proofErr w:type="spellStart"/>
      <w:r w:rsidRPr="0006686C">
        <w:rPr>
          <w:rFonts w:ascii="Times New Roman" w:hAnsi="Times New Roman" w:cs="Times New Roman"/>
          <w:i/>
          <w:iCs/>
          <w:sz w:val="24"/>
        </w:rPr>
        <w:t>Dissagregation</w:t>
      </w:r>
      <w:proofErr w:type="spellEnd"/>
      <w:r w:rsidRPr="0006686C">
        <w:rPr>
          <w:rFonts w:ascii="Times New Roman" w:hAnsi="Times New Roman" w:cs="Times New Roman"/>
          <w:i/>
          <w:iCs/>
          <w:sz w:val="24"/>
        </w:rPr>
        <w:t xml:space="preserve"> for Non-residential Water Users in the City of Logan, Utah, USA</w:t>
      </w:r>
      <w:r w:rsidRPr="0006686C">
        <w:rPr>
          <w:rFonts w:ascii="Times New Roman" w:hAnsi="Times New Roman" w:cs="Times New Roman"/>
          <w:sz w:val="24"/>
        </w:rPr>
        <w:t xml:space="preserve"> (M.S. thesis, Civil and Environmental Engineering). Utah State University, Logan, Utah.</w:t>
      </w:r>
    </w:p>
    <w:p w14:paraId="0364D3EF" w14:textId="77777777" w:rsidR="0006686C" w:rsidRPr="0006686C" w:rsidRDefault="0006686C" w:rsidP="0006686C">
      <w:pPr>
        <w:pStyle w:val="Bibliography"/>
        <w:rPr>
          <w:rFonts w:ascii="Times New Roman" w:hAnsi="Times New Roman" w:cs="Times New Roman"/>
          <w:sz w:val="24"/>
        </w:rPr>
      </w:pPr>
      <w:r w:rsidRPr="0006686C">
        <w:rPr>
          <w:rFonts w:ascii="Times New Roman" w:hAnsi="Times New Roman" w:cs="Times New Roman"/>
          <w:sz w:val="24"/>
        </w:rPr>
        <w:t xml:space="preserve">Brown, T. C., </w:t>
      </w:r>
      <w:proofErr w:type="spellStart"/>
      <w:r w:rsidRPr="0006686C">
        <w:rPr>
          <w:rFonts w:ascii="Times New Roman" w:hAnsi="Times New Roman" w:cs="Times New Roman"/>
          <w:sz w:val="24"/>
        </w:rPr>
        <w:t>Foti</w:t>
      </w:r>
      <w:proofErr w:type="spellEnd"/>
      <w:r w:rsidRPr="0006686C">
        <w:rPr>
          <w:rFonts w:ascii="Times New Roman" w:hAnsi="Times New Roman" w:cs="Times New Roman"/>
          <w:sz w:val="24"/>
        </w:rPr>
        <w:t xml:space="preserve">, R., &amp; Ramirez, J. A. (2013). Projected freshwater withdrawals in the United States under a changing climate. </w:t>
      </w:r>
      <w:r w:rsidRPr="0006686C">
        <w:rPr>
          <w:rFonts w:ascii="Times New Roman" w:hAnsi="Times New Roman" w:cs="Times New Roman"/>
          <w:i/>
          <w:iCs/>
          <w:sz w:val="24"/>
        </w:rPr>
        <w:t>Water Resources Research</w:t>
      </w:r>
      <w:r w:rsidRPr="0006686C">
        <w:rPr>
          <w:rFonts w:ascii="Times New Roman" w:hAnsi="Times New Roman" w:cs="Times New Roman"/>
          <w:sz w:val="24"/>
        </w:rPr>
        <w:t xml:space="preserve">, </w:t>
      </w:r>
      <w:r w:rsidRPr="0006686C">
        <w:rPr>
          <w:rFonts w:ascii="Times New Roman" w:hAnsi="Times New Roman" w:cs="Times New Roman"/>
          <w:i/>
          <w:iCs/>
          <w:sz w:val="24"/>
        </w:rPr>
        <w:t>49</w:t>
      </w:r>
      <w:r w:rsidRPr="0006686C">
        <w:rPr>
          <w:rFonts w:ascii="Times New Roman" w:hAnsi="Times New Roman" w:cs="Times New Roman"/>
          <w:sz w:val="24"/>
        </w:rPr>
        <w:t>(3), 1259–1276. https://doi.org/10.1002/wrcr.20076</w:t>
      </w:r>
    </w:p>
    <w:p w14:paraId="4E233710" w14:textId="77777777" w:rsidR="0006686C" w:rsidRPr="0006686C" w:rsidRDefault="0006686C" w:rsidP="0006686C">
      <w:pPr>
        <w:pStyle w:val="Bibliography"/>
        <w:rPr>
          <w:rFonts w:ascii="Times New Roman" w:hAnsi="Times New Roman" w:cs="Times New Roman"/>
          <w:sz w:val="24"/>
        </w:rPr>
      </w:pPr>
      <w:r w:rsidRPr="0006686C">
        <w:rPr>
          <w:rFonts w:ascii="Times New Roman" w:hAnsi="Times New Roman" w:cs="Times New Roman"/>
          <w:sz w:val="24"/>
        </w:rPr>
        <w:t xml:space="preserve">Daly, C., </w:t>
      </w:r>
      <w:proofErr w:type="spellStart"/>
      <w:r w:rsidRPr="0006686C">
        <w:rPr>
          <w:rFonts w:ascii="Times New Roman" w:hAnsi="Times New Roman" w:cs="Times New Roman"/>
          <w:sz w:val="24"/>
        </w:rPr>
        <w:t>Halbleib</w:t>
      </w:r>
      <w:proofErr w:type="spellEnd"/>
      <w:r w:rsidRPr="0006686C">
        <w:rPr>
          <w:rFonts w:ascii="Times New Roman" w:hAnsi="Times New Roman" w:cs="Times New Roman"/>
          <w:sz w:val="24"/>
        </w:rPr>
        <w:t xml:space="preserve">, M., Smith, J. I., Gibson, W. P., Doggett, M. K., Taylor, G. H., et al. (2008). </w:t>
      </w:r>
      <w:proofErr w:type="spellStart"/>
      <w:r w:rsidRPr="0006686C">
        <w:rPr>
          <w:rFonts w:ascii="Times New Roman" w:hAnsi="Times New Roman" w:cs="Times New Roman"/>
          <w:sz w:val="24"/>
        </w:rPr>
        <w:t>Physiographically</w:t>
      </w:r>
      <w:proofErr w:type="spellEnd"/>
      <w:r w:rsidRPr="0006686C">
        <w:rPr>
          <w:rFonts w:ascii="Times New Roman" w:hAnsi="Times New Roman" w:cs="Times New Roman"/>
          <w:sz w:val="24"/>
        </w:rPr>
        <w:t xml:space="preserve"> sensitive mapping of climatological temperature and precipitation across the conterminous United States. </w:t>
      </w:r>
      <w:r w:rsidRPr="0006686C">
        <w:rPr>
          <w:rFonts w:ascii="Times New Roman" w:hAnsi="Times New Roman" w:cs="Times New Roman"/>
          <w:i/>
          <w:iCs/>
          <w:sz w:val="24"/>
        </w:rPr>
        <w:t>International Journal of Climatology</w:t>
      </w:r>
      <w:r w:rsidRPr="0006686C">
        <w:rPr>
          <w:rFonts w:ascii="Times New Roman" w:hAnsi="Times New Roman" w:cs="Times New Roman"/>
          <w:sz w:val="24"/>
        </w:rPr>
        <w:t xml:space="preserve">, </w:t>
      </w:r>
      <w:r w:rsidRPr="0006686C">
        <w:rPr>
          <w:rFonts w:ascii="Times New Roman" w:hAnsi="Times New Roman" w:cs="Times New Roman"/>
          <w:i/>
          <w:iCs/>
          <w:sz w:val="24"/>
        </w:rPr>
        <w:t>28</w:t>
      </w:r>
      <w:r w:rsidRPr="0006686C">
        <w:rPr>
          <w:rFonts w:ascii="Times New Roman" w:hAnsi="Times New Roman" w:cs="Times New Roman"/>
          <w:sz w:val="24"/>
        </w:rPr>
        <w:t>(15), 2031–2064. https://doi.org/10.1002/joc.1688</w:t>
      </w:r>
    </w:p>
    <w:p w14:paraId="38044657" w14:textId="77777777" w:rsidR="0006686C" w:rsidRPr="0006686C" w:rsidRDefault="0006686C" w:rsidP="0006686C">
      <w:pPr>
        <w:pStyle w:val="Bibliography"/>
        <w:rPr>
          <w:rFonts w:ascii="Times New Roman" w:hAnsi="Times New Roman" w:cs="Times New Roman"/>
          <w:sz w:val="24"/>
        </w:rPr>
      </w:pPr>
      <w:proofErr w:type="spellStart"/>
      <w:r w:rsidRPr="0006686C">
        <w:rPr>
          <w:rFonts w:ascii="Times New Roman" w:hAnsi="Times New Roman" w:cs="Times New Roman"/>
          <w:sz w:val="24"/>
        </w:rPr>
        <w:t>Everitt</w:t>
      </w:r>
      <w:proofErr w:type="spellEnd"/>
      <w:r w:rsidRPr="0006686C">
        <w:rPr>
          <w:rFonts w:ascii="Times New Roman" w:hAnsi="Times New Roman" w:cs="Times New Roman"/>
          <w:sz w:val="24"/>
        </w:rPr>
        <w:t xml:space="preserve">, B. S., Leese, M., Stahl, D., &amp; Landau, Sabine. (2011). </w:t>
      </w:r>
      <w:r w:rsidRPr="0006686C">
        <w:rPr>
          <w:rFonts w:ascii="Times New Roman" w:hAnsi="Times New Roman" w:cs="Times New Roman"/>
          <w:i/>
          <w:iCs/>
          <w:sz w:val="24"/>
        </w:rPr>
        <w:t>Cluster Analysis</w:t>
      </w:r>
      <w:r w:rsidRPr="0006686C">
        <w:rPr>
          <w:rFonts w:ascii="Times New Roman" w:hAnsi="Times New Roman" w:cs="Times New Roman"/>
          <w:sz w:val="24"/>
        </w:rPr>
        <w:t>. London, United Kingdom: John Wiley &amp; Sons.</w:t>
      </w:r>
    </w:p>
    <w:p w14:paraId="170B562B" w14:textId="77777777" w:rsidR="0006686C" w:rsidRPr="0006686C" w:rsidRDefault="0006686C" w:rsidP="0006686C">
      <w:pPr>
        <w:pStyle w:val="Bibliography"/>
        <w:rPr>
          <w:rFonts w:ascii="Times New Roman" w:hAnsi="Times New Roman" w:cs="Times New Roman"/>
          <w:sz w:val="24"/>
        </w:rPr>
      </w:pPr>
      <w:r w:rsidRPr="0006686C">
        <w:rPr>
          <w:rFonts w:ascii="Times New Roman" w:hAnsi="Times New Roman" w:cs="Times New Roman"/>
          <w:sz w:val="24"/>
        </w:rPr>
        <w:t xml:space="preserve">House-Peters, L. A., &amp; Chang, H. (2011). Urban water demand modeling: Review of concepts, methods, and organizing principles. </w:t>
      </w:r>
      <w:r w:rsidRPr="0006686C">
        <w:rPr>
          <w:rFonts w:ascii="Times New Roman" w:hAnsi="Times New Roman" w:cs="Times New Roman"/>
          <w:i/>
          <w:iCs/>
          <w:sz w:val="24"/>
        </w:rPr>
        <w:t>Water Resources Research</w:t>
      </w:r>
      <w:r w:rsidRPr="0006686C">
        <w:rPr>
          <w:rFonts w:ascii="Times New Roman" w:hAnsi="Times New Roman" w:cs="Times New Roman"/>
          <w:sz w:val="24"/>
        </w:rPr>
        <w:t xml:space="preserve">, </w:t>
      </w:r>
      <w:r w:rsidRPr="0006686C">
        <w:rPr>
          <w:rFonts w:ascii="Times New Roman" w:hAnsi="Times New Roman" w:cs="Times New Roman"/>
          <w:i/>
          <w:iCs/>
          <w:sz w:val="24"/>
        </w:rPr>
        <w:t>47</w:t>
      </w:r>
      <w:r w:rsidRPr="0006686C">
        <w:rPr>
          <w:rFonts w:ascii="Times New Roman" w:hAnsi="Times New Roman" w:cs="Times New Roman"/>
          <w:sz w:val="24"/>
        </w:rPr>
        <w:t>(5). https://doi.org/10.1029/2010WR009624</w:t>
      </w:r>
    </w:p>
    <w:p w14:paraId="28F56BF1" w14:textId="77777777" w:rsidR="0006686C" w:rsidRPr="0006686C" w:rsidRDefault="0006686C" w:rsidP="0006686C">
      <w:pPr>
        <w:pStyle w:val="Bibliography"/>
        <w:rPr>
          <w:rFonts w:ascii="Times New Roman" w:hAnsi="Times New Roman" w:cs="Times New Roman"/>
          <w:sz w:val="24"/>
        </w:rPr>
      </w:pPr>
      <w:proofErr w:type="spellStart"/>
      <w:r w:rsidRPr="0006686C">
        <w:rPr>
          <w:rFonts w:ascii="Times New Roman" w:hAnsi="Times New Roman" w:cs="Times New Roman"/>
          <w:sz w:val="24"/>
        </w:rPr>
        <w:t>Kassambara</w:t>
      </w:r>
      <w:proofErr w:type="spellEnd"/>
      <w:r w:rsidRPr="0006686C">
        <w:rPr>
          <w:rFonts w:ascii="Times New Roman" w:hAnsi="Times New Roman" w:cs="Times New Roman"/>
          <w:sz w:val="24"/>
        </w:rPr>
        <w:t xml:space="preserve">, A., &amp; </w:t>
      </w:r>
      <w:proofErr w:type="spellStart"/>
      <w:r w:rsidRPr="0006686C">
        <w:rPr>
          <w:rFonts w:ascii="Times New Roman" w:hAnsi="Times New Roman" w:cs="Times New Roman"/>
          <w:sz w:val="24"/>
        </w:rPr>
        <w:t>Mundt</w:t>
      </w:r>
      <w:proofErr w:type="spellEnd"/>
      <w:r w:rsidRPr="0006686C">
        <w:rPr>
          <w:rFonts w:ascii="Times New Roman" w:hAnsi="Times New Roman" w:cs="Times New Roman"/>
          <w:sz w:val="24"/>
        </w:rPr>
        <w:t xml:space="preserve">, F. (2020). </w:t>
      </w:r>
      <w:proofErr w:type="spellStart"/>
      <w:r w:rsidRPr="0006686C">
        <w:rPr>
          <w:rFonts w:ascii="Times New Roman" w:hAnsi="Times New Roman" w:cs="Times New Roman"/>
          <w:i/>
          <w:iCs/>
          <w:sz w:val="24"/>
        </w:rPr>
        <w:t>Factoextra</w:t>
      </w:r>
      <w:proofErr w:type="spellEnd"/>
      <w:r w:rsidRPr="0006686C">
        <w:rPr>
          <w:rFonts w:ascii="Times New Roman" w:hAnsi="Times New Roman" w:cs="Times New Roman"/>
          <w:i/>
          <w:iCs/>
          <w:sz w:val="24"/>
        </w:rPr>
        <w:t>: Extract and Visualize the Results of Multivariate Data Analyses. R Package Version 1.0.7.</w:t>
      </w:r>
      <w:r w:rsidRPr="0006686C">
        <w:rPr>
          <w:rFonts w:ascii="Times New Roman" w:hAnsi="Times New Roman" w:cs="Times New Roman"/>
          <w:sz w:val="24"/>
        </w:rPr>
        <w:t xml:space="preserve"> Retrieved from https://CRAN.R-project.org/package=factoextra</w:t>
      </w:r>
    </w:p>
    <w:p w14:paraId="6A3AB87E" w14:textId="77777777" w:rsidR="0006686C" w:rsidRPr="0006686C" w:rsidRDefault="0006686C" w:rsidP="0006686C">
      <w:pPr>
        <w:pStyle w:val="Bibliography"/>
        <w:rPr>
          <w:rFonts w:ascii="Times New Roman" w:hAnsi="Times New Roman" w:cs="Times New Roman"/>
          <w:sz w:val="24"/>
        </w:rPr>
      </w:pPr>
      <w:r w:rsidRPr="0006686C">
        <w:rPr>
          <w:rFonts w:ascii="Times New Roman" w:hAnsi="Times New Roman" w:cs="Times New Roman"/>
          <w:sz w:val="24"/>
        </w:rPr>
        <w:t xml:space="preserve">Lee, S.-J., Chang, H., &amp; Gober, P. (2015). Space and time dynamics of urban water demand in Portland, Oregon and Phoenix, Arizona. </w:t>
      </w:r>
      <w:r w:rsidRPr="0006686C">
        <w:rPr>
          <w:rFonts w:ascii="Times New Roman" w:hAnsi="Times New Roman" w:cs="Times New Roman"/>
          <w:i/>
          <w:iCs/>
          <w:sz w:val="24"/>
        </w:rPr>
        <w:t>Stochastic Environmental Research and Risk Assessment</w:t>
      </w:r>
      <w:r w:rsidRPr="0006686C">
        <w:rPr>
          <w:rFonts w:ascii="Times New Roman" w:hAnsi="Times New Roman" w:cs="Times New Roman"/>
          <w:sz w:val="24"/>
        </w:rPr>
        <w:t xml:space="preserve">, </w:t>
      </w:r>
      <w:r w:rsidRPr="0006686C">
        <w:rPr>
          <w:rFonts w:ascii="Times New Roman" w:hAnsi="Times New Roman" w:cs="Times New Roman"/>
          <w:i/>
          <w:iCs/>
          <w:sz w:val="24"/>
        </w:rPr>
        <w:t>29</w:t>
      </w:r>
      <w:r w:rsidRPr="0006686C">
        <w:rPr>
          <w:rFonts w:ascii="Times New Roman" w:hAnsi="Times New Roman" w:cs="Times New Roman"/>
          <w:sz w:val="24"/>
        </w:rPr>
        <w:t>(4), 1135–1147. https://doi.org/10.1007/s00477-014-1015-z</w:t>
      </w:r>
    </w:p>
    <w:p w14:paraId="69C49F99" w14:textId="77777777" w:rsidR="0006686C" w:rsidRPr="0006686C" w:rsidRDefault="0006686C" w:rsidP="0006686C">
      <w:pPr>
        <w:pStyle w:val="Bibliography"/>
        <w:rPr>
          <w:rFonts w:ascii="Times New Roman" w:hAnsi="Times New Roman" w:cs="Times New Roman"/>
          <w:sz w:val="24"/>
        </w:rPr>
      </w:pPr>
      <w:r w:rsidRPr="0006686C">
        <w:rPr>
          <w:rFonts w:ascii="Times New Roman" w:hAnsi="Times New Roman" w:cs="Times New Roman"/>
          <w:sz w:val="24"/>
        </w:rPr>
        <w:lastRenderedPageBreak/>
        <w:t xml:space="preserve">Marston, M. L., &amp; Ellis, A. W. (2019). Change in the uniformity of the temporal distribution of precipitation across the MidAtlantic region of the United States, 1950-2017. </w:t>
      </w:r>
      <w:r w:rsidRPr="0006686C">
        <w:rPr>
          <w:rFonts w:ascii="Times New Roman" w:hAnsi="Times New Roman" w:cs="Times New Roman"/>
          <w:i/>
          <w:iCs/>
          <w:sz w:val="24"/>
        </w:rPr>
        <w:t>Climate Research</w:t>
      </w:r>
      <w:r w:rsidRPr="0006686C">
        <w:rPr>
          <w:rFonts w:ascii="Times New Roman" w:hAnsi="Times New Roman" w:cs="Times New Roman"/>
          <w:sz w:val="24"/>
        </w:rPr>
        <w:t xml:space="preserve">, </w:t>
      </w:r>
      <w:r w:rsidRPr="0006686C">
        <w:rPr>
          <w:rFonts w:ascii="Times New Roman" w:hAnsi="Times New Roman" w:cs="Times New Roman"/>
          <w:i/>
          <w:iCs/>
          <w:sz w:val="24"/>
        </w:rPr>
        <w:t>78</w:t>
      </w:r>
      <w:r w:rsidRPr="0006686C">
        <w:rPr>
          <w:rFonts w:ascii="Times New Roman" w:hAnsi="Times New Roman" w:cs="Times New Roman"/>
          <w:sz w:val="24"/>
        </w:rPr>
        <w:t>(1), 69–81. https://doi.org/10.3354/cr01561</w:t>
      </w:r>
    </w:p>
    <w:p w14:paraId="372BAB04" w14:textId="77777777" w:rsidR="0006686C" w:rsidRPr="0006686C" w:rsidRDefault="0006686C" w:rsidP="0006686C">
      <w:pPr>
        <w:pStyle w:val="Bibliography"/>
        <w:rPr>
          <w:rFonts w:ascii="Times New Roman" w:hAnsi="Times New Roman" w:cs="Times New Roman"/>
          <w:sz w:val="24"/>
        </w:rPr>
      </w:pPr>
      <w:r w:rsidRPr="0006686C">
        <w:rPr>
          <w:rFonts w:ascii="Times New Roman" w:hAnsi="Times New Roman" w:cs="Times New Roman"/>
          <w:sz w:val="24"/>
        </w:rPr>
        <w:t xml:space="preserve">McCarthy, M., Brogan, C., Shortridge, J., </w:t>
      </w:r>
      <w:proofErr w:type="spellStart"/>
      <w:r w:rsidRPr="0006686C">
        <w:rPr>
          <w:rFonts w:ascii="Times New Roman" w:hAnsi="Times New Roman" w:cs="Times New Roman"/>
          <w:sz w:val="24"/>
        </w:rPr>
        <w:t>Burgholzer</w:t>
      </w:r>
      <w:proofErr w:type="spellEnd"/>
      <w:r w:rsidRPr="0006686C">
        <w:rPr>
          <w:rFonts w:ascii="Times New Roman" w:hAnsi="Times New Roman" w:cs="Times New Roman"/>
          <w:sz w:val="24"/>
        </w:rPr>
        <w:t xml:space="preserve">, R., Kleiner, J., &amp; Scott, D. (2022). Estimating Facility-Level Monthly Water Consumption of Commercial, Industrial, Municipal, and Thermoelectric Users in Virginia. </w:t>
      </w:r>
      <w:r w:rsidRPr="0006686C">
        <w:rPr>
          <w:rFonts w:ascii="Times New Roman" w:hAnsi="Times New Roman" w:cs="Times New Roman"/>
          <w:i/>
          <w:iCs/>
          <w:sz w:val="24"/>
        </w:rPr>
        <w:t>JAWRA Journal of the American Water Resources Association</w:t>
      </w:r>
      <w:r w:rsidRPr="0006686C">
        <w:rPr>
          <w:rFonts w:ascii="Times New Roman" w:hAnsi="Times New Roman" w:cs="Times New Roman"/>
          <w:sz w:val="24"/>
        </w:rPr>
        <w:t xml:space="preserve">, </w:t>
      </w:r>
      <w:r w:rsidRPr="0006686C">
        <w:rPr>
          <w:rFonts w:ascii="Times New Roman" w:hAnsi="Times New Roman" w:cs="Times New Roman"/>
          <w:i/>
          <w:iCs/>
          <w:sz w:val="24"/>
        </w:rPr>
        <w:t>n/a</w:t>
      </w:r>
      <w:r w:rsidRPr="0006686C">
        <w:rPr>
          <w:rFonts w:ascii="Times New Roman" w:hAnsi="Times New Roman" w:cs="Times New Roman"/>
          <w:sz w:val="24"/>
        </w:rPr>
        <w:t>(n/a). https://doi.org/10.1111/1752-1688.13037</w:t>
      </w:r>
    </w:p>
    <w:p w14:paraId="214C8AA7" w14:textId="77777777" w:rsidR="0006686C" w:rsidRPr="0006686C" w:rsidRDefault="0006686C" w:rsidP="0006686C">
      <w:pPr>
        <w:pStyle w:val="Bibliography"/>
        <w:rPr>
          <w:rFonts w:ascii="Times New Roman" w:hAnsi="Times New Roman" w:cs="Times New Roman"/>
          <w:sz w:val="24"/>
        </w:rPr>
      </w:pPr>
      <w:r w:rsidRPr="0006686C">
        <w:rPr>
          <w:rFonts w:ascii="Times New Roman" w:hAnsi="Times New Roman" w:cs="Times New Roman"/>
          <w:sz w:val="24"/>
        </w:rPr>
        <w:t xml:space="preserve">Rajah, K., O’Leary, T., Turner, A., Petrakis, G., Leonard, M., &amp; </w:t>
      </w:r>
      <w:proofErr w:type="spellStart"/>
      <w:r w:rsidRPr="0006686C">
        <w:rPr>
          <w:rFonts w:ascii="Times New Roman" w:hAnsi="Times New Roman" w:cs="Times New Roman"/>
          <w:sz w:val="24"/>
        </w:rPr>
        <w:t>Westra</w:t>
      </w:r>
      <w:proofErr w:type="spellEnd"/>
      <w:r w:rsidRPr="0006686C">
        <w:rPr>
          <w:rFonts w:ascii="Times New Roman" w:hAnsi="Times New Roman" w:cs="Times New Roman"/>
          <w:sz w:val="24"/>
        </w:rPr>
        <w:t xml:space="preserve">, S. (2014). Changes to the temporal distribution of daily precipitation: Changing precipitation temporal patterns. </w:t>
      </w:r>
      <w:r w:rsidRPr="0006686C">
        <w:rPr>
          <w:rFonts w:ascii="Times New Roman" w:hAnsi="Times New Roman" w:cs="Times New Roman"/>
          <w:i/>
          <w:iCs/>
          <w:sz w:val="24"/>
        </w:rPr>
        <w:t>Geophysical Research Letters</w:t>
      </w:r>
      <w:r w:rsidRPr="0006686C">
        <w:rPr>
          <w:rFonts w:ascii="Times New Roman" w:hAnsi="Times New Roman" w:cs="Times New Roman"/>
          <w:sz w:val="24"/>
        </w:rPr>
        <w:t xml:space="preserve">, </w:t>
      </w:r>
      <w:r w:rsidRPr="0006686C">
        <w:rPr>
          <w:rFonts w:ascii="Times New Roman" w:hAnsi="Times New Roman" w:cs="Times New Roman"/>
          <w:i/>
          <w:iCs/>
          <w:sz w:val="24"/>
        </w:rPr>
        <w:t>41</w:t>
      </w:r>
      <w:r w:rsidRPr="0006686C">
        <w:rPr>
          <w:rFonts w:ascii="Times New Roman" w:hAnsi="Times New Roman" w:cs="Times New Roman"/>
          <w:sz w:val="24"/>
        </w:rPr>
        <w:t>(24), 8887–8894. https://doi.org/10.1002/2014GL062156</w:t>
      </w:r>
    </w:p>
    <w:p w14:paraId="106FE61D" w14:textId="77777777" w:rsidR="0006686C" w:rsidRPr="0006686C" w:rsidRDefault="0006686C" w:rsidP="0006686C">
      <w:pPr>
        <w:pStyle w:val="Bibliography"/>
        <w:rPr>
          <w:rFonts w:ascii="Times New Roman" w:hAnsi="Times New Roman" w:cs="Times New Roman"/>
          <w:sz w:val="24"/>
        </w:rPr>
      </w:pPr>
      <w:proofErr w:type="spellStart"/>
      <w:r w:rsidRPr="0006686C">
        <w:rPr>
          <w:rFonts w:ascii="Times New Roman" w:hAnsi="Times New Roman" w:cs="Times New Roman"/>
          <w:sz w:val="24"/>
        </w:rPr>
        <w:t>Sankarasubramanian</w:t>
      </w:r>
      <w:proofErr w:type="spellEnd"/>
      <w:r w:rsidRPr="0006686C">
        <w:rPr>
          <w:rFonts w:ascii="Times New Roman" w:hAnsi="Times New Roman" w:cs="Times New Roman"/>
          <w:sz w:val="24"/>
        </w:rPr>
        <w:t xml:space="preserve">, A., Sabo, J. L., Larson, K. L., </w:t>
      </w:r>
      <w:proofErr w:type="spellStart"/>
      <w:r w:rsidRPr="0006686C">
        <w:rPr>
          <w:rFonts w:ascii="Times New Roman" w:hAnsi="Times New Roman" w:cs="Times New Roman"/>
          <w:sz w:val="24"/>
        </w:rPr>
        <w:t>Seo</w:t>
      </w:r>
      <w:proofErr w:type="spellEnd"/>
      <w:r w:rsidRPr="0006686C">
        <w:rPr>
          <w:rFonts w:ascii="Times New Roman" w:hAnsi="Times New Roman" w:cs="Times New Roman"/>
          <w:sz w:val="24"/>
        </w:rPr>
        <w:t xml:space="preserve">, S. B., Sinha, T., Bhowmik, R., et al. (2017). Synthesis of public water supply use in the United States: </w:t>
      </w:r>
      <w:proofErr w:type="spellStart"/>
      <w:r w:rsidRPr="0006686C">
        <w:rPr>
          <w:rFonts w:ascii="Times New Roman" w:hAnsi="Times New Roman" w:cs="Times New Roman"/>
          <w:sz w:val="24"/>
        </w:rPr>
        <w:t>Spatio</w:t>
      </w:r>
      <w:proofErr w:type="spellEnd"/>
      <w:r w:rsidRPr="0006686C">
        <w:rPr>
          <w:rFonts w:ascii="Times New Roman" w:hAnsi="Times New Roman" w:cs="Times New Roman"/>
          <w:sz w:val="24"/>
        </w:rPr>
        <w:t xml:space="preserve">-temporal patterns and socio-economic controls. </w:t>
      </w:r>
      <w:r w:rsidRPr="0006686C">
        <w:rPr>
          <w:rFonts w:ascii="Times New Roman" w:hAnsi="Times New Roman" w:cs="Times New Roman"/>
          <w:i/>
          <w:iCs/>
          <w:sz w:val="24"/>
        </w:rPr>
        <w:t>Earth’s Future</w:t>
      </w:r>
      <w:r w:rsidRPr="0006686C">
        <w:rPr>
          <w:rFonts w:ascii="Times New Roman" w:hAnsi="Times New Roman" w:cs="Times New Roman"/>
          <w:sz w:val="24"/>
        </w:rPr>
        <w:t xml:space="preserve">, </w:t>
      </w:r>
      <w:r w:rsidRPr="0006686C">
        <w:rPr>
          <w:rFonts w:ascii="Times New Roman" w:hAnsi="Times New Roman" w:cs="Times New Roman"/>
          <w:i/>
          <w:iCs/>
          <w:sz w:val="24"/>
        </w:rPr>
        <w:t>5</w:t>
      </w:r>
      <w:r w:rsidRPr="0006686C">
        <w:rPr>
          <w:rFonts w:ascii="Times New Roman" w:hAnsi="Times New Roman" w:cs="Times New Roman"/>
          <w:sz w:val="24"/>
        </w:rPr>
        <w:t>(7), 771–788. https://doi.org/10.1002/2016EF000511</w:t>
      </w:r>
    </w:p>
    <w:p w14:paraId="2FDB97EA" w14:textId="77777777" w:rsidR="0006686C" w:rsidRPr="0006686C" w:rsidRDefault="0006686C" w:rsidP="0006686C">
      <w:pPr>
        <w:pStyle w:val="Bibliography"/>
        <w:rPr>
          <w:rFonts w:ascii="Times New Roman" w:hAnsi="Times New Roman" w:cs="Times New Roman"/>
          <w:sz w:val="24"/>
        </w:rPr>
      </w:pPr>
      <w:r w:rsidRPr="0006686C">
        <w:rPr>
          <w:rFonts w:ascii="Times New Roman" w:hAnsi="Times New Roman" w:cs="Times New Roman"/>
          <w:sz w:val="24"/>
        </w:rPr>
        <w:t xml:space="preserve">Shortridge, J., &amp; DiCarlo, M. F. (2020). Characterizing Trends, Variability, and Statistical Drivers of Multisectoral Water Withdrawals for Statewide Planning. </w:t>
      </w:r>
      <w:r w:rsidRPr="0006686C">
        <w:rPr>
          <w:rFonts w:ascii="Times New Roman" w:hAnsi="Times New Roman" w:cs="Times New Roman"/>
          <w:i/>
          <w:iCs/>
          <w:sz w:val="24"/>
        </w:rPr>
        <w:t>Journal of Water Resources Planning and Management</w:t>
      </w:r>
      <w:r w:rsidRPr="0006686C">
        <w:rPr>
          <w:rFonts w:ascii="Times New Roman" w:hAnsi="Times New Roman" w:cs="Times New Roman"/>
          <w:sz w:val="24"/>
        </w:rPr>
        <w:t xml:space="preserve">, </w:t>
      </w:r>
      <w:r w:rsidRPr="0006686C">
        <w:rPr>
          <w:rFonts w:ascii="Times New Roman" w:hAnsi="Times New Roman" w:cs="Times New Roman"/>
          <w:i/>
          <w:iCs/>
          <w:sz w:val="24"/>
        </w:rPr>
        <w:t>146</w:t>
      </w:r>
      <w:r w:rsidRPr="0006686C">
        <w:rPr>
          <w:rFonts w:ascii="Times New Roman" w:hAnsi="Times New Roman" w:cs="Times New Roman"/>
          <w:sz w:val="24"/>
        </w:rPr>
        <w:t>(3), 04020002. https://doi.org/10.1061/(ASCE)WR.1943-5452.0001175</w:t>
      </w:r>
    </w:p>
    <w:p w14:paraId="165FBA63" w14:textId="77777777" w:rsidR="0006686C" w:rsidRPr="0006686C" w:rsidRDefault="0006686C" w:rsidP="0006686C">
      <w:pPr>
        <w:pStyle w:val="Bibliography"/>
        <w:rPr>
          <w:rFonts w:ascii="Times New Roman" w:hAnsi="Times New Roman" w:cs="Times New Roman"/>
          <w:sz w:val="24"/>
        </w:rPr>
      </w:pPr>
      <w:r w:rsidRPr="0006686C">
        <w:rPr>
          <w:rFonts w:ascii="Times New Roman" w:hAnsi="Times New Roman" w:cs="Times New Roman"/>
          <w:sz w:val="24"/>
        </w:rPr>
        <w:t xml:space="preserve">Shortridge, J. E., </w:t>
      </w:r>
      <w:proofErr w:type="spellStart"/>
      <w:r w:rsidRPr="0006686C">
        <w:rPr>
          <w:rFonts w:ascii="Times New Roman" w:hAnsi="Times New Roman" w:cs="Times New Roman"/>
          <w:sz w:val="24"/>
        </w:rPr>
        <w:t>Guikema</w:t>
      </w:r>
      <w:proofErr w:type="spellEnd"/>
      <w:r w:rsidRPr="0006686C">
        <w:rPr>
          <w:rFonts w:ascii="Times New Roman" w:hAnsi="Times New Roman" w:cs="Times New Roman"/>
          <w:sz w:val="24"/>
        </w:rPr>
        <w:t xml:space="preserve">, S. D., &amp; </w:t>
      </w:r>
      <w:proofErr w:type="spellStart"/>
      <w:r w:rsidRPr="0006686C">
        <w:rPr>
          <w:rFonts w:ascii="Times New Roman" w:hAnsi="Times New Roman" w:cs="Times New Roman"/>
          <w:sz w:val="24"/>
        </w:rPr>
        <w:t>Zaitchik</w:t>
      </w:r>
      <w:proofErr w:type="spellEnd"/>
      <w:r w:rsidRPr="0006686C">
        <w:rPr>
          <w:rFonts w:ascii="Times New Roman" w:hAnsi="Times New Roman" w:cs="Times New Roman"/>
          <w:sz w:val="24"/>
        </w:rPr>
        <w:t xml:space="preserve">, B. F. (2016). Machine learning methods for empirical streamflow simulation: a comparison of model accuracy, interpretability, and uncertainty in seasonal watersheds. </w:t>
      </w:r>
      <w:proofErr w:type="spellStart"/>
      <w:r w:rsidRPr="0006686C">
        <w:rPr>
          <w:rFonts w:ascii="Times New Roman" w:hAnsi="Times New Roman" w:cs="Times New Roman"/>
          <w:i/>
          <w:iCs/>
          <w:sz w:val="24"/>
        </w:rPr>
        <w:t>Hydrol</w:t>
      </w:r>
      <w:proofErr w:type="spellEnd"/>
      <w:r w:rsidRPr="0006686C">
        <w:rPr>
          <w:rFonts w:ascii="Times New Roman" w:hAnsi="Times New Roman" w:cs="Times New Roman"/>
          <w:i/>
          <w:iCs/>
          <w:sz w:val="24"/>
        </w:rPr>
        <w:t>. Earth Syst. Sci.</w:t>
      </w:r>
      <w:r w:rsidRPr="0006686C">
        <w:rPr>
          <w:rFonts w:ascii="Times New Roman" w:hAnsi="Times New Roman" w:cs="Times New Roman"/>
          <w:sz w:val="24"/>
        </w:rPr>
        <w:t xml:space="preserve">, </w:t>
      </w:r>
      <w:r w:rsidRPr="0006686C">
        <w:rPr>
          <w:rFonts w:ascii="Times New Roman" w:hAnsi="Times New Roman" w:cs="Times New Roman"/>
          <w:i/>
          <w:iCs/>
          <w:sz w:val="24"/>
        </w:rPr>
        <w:t>20</w:t>
      </w:r>
      <w:r w:rsidRPr="0006686C">
        <w:rPr>
          <w:rFonts w:ascii="Times New Roman" w:hAnsi="Times New Roman" w:cs="Times New Roman"/>
          <w:sz w:val="24"/>
        </w:rPr>
        <w:t>(7), 2611–2628. https://doi.org/10.5194/hess-20-2611-2016</w:t>
      </w:r>
    </w:p>
    <w:p w14:paraId="717E1B4A" w14:textId="77777777" w:rsidR="0006686C" w:rsidRPr="0006686C" w:rsidRDefault="0006686C" w:rsidP="0006686C">
      <w:pPr>
        <w:pStyle w:val="Bibliography"/>
        <w:rPr>
          <w:rFonts w:ascii="Times New Roman" w:hAnsi="Times New Roman" w:cs="Times New Roman"/>
          <w:sz w:val="24"/>
        </w:rPr>
      </w:pPr>
      <w:proofErr w:type="spellStart"/>
      <w:r w:rsidRPr="0006686C">
        <w:rPr>
          <w:rFonts w:ascii="Times New Roman" w:hAnsi="Times New Roman" w:cs="Times New Roman"/>
          <w:sz w:val="24"/>
        </w:rPr>
        <w:lastRenderedPageBreak/>
        <w:t>Sohl</w:t>
      </w:r>
      <w:proofErr w:type="spellEnd"/>
      <w:r w:rsidRPr="0006686C">
        <w:rPr>
          <w:rFonts w:ascii="Times New Roman" w:hAnsi="Times New Roman" w:cs="Times New Roman"/>
          <w:sz w:val="24"/>
        </w:rPr>
        <w:t xml:space="preserve">, T. L., </w:t>
      </w:r>
      <w:proofErr w:type="spellStart"/>
      <w:r w:rsidRPr="0006686C">
        <w:rPr>
          <w:rFonts w:ascii="Times New Roman" w:hAnsi="Times New Roman" w:cs="Times New Roman"/>
          <w:sz w:val="24"/>
        </w:rPr>
        <w:t>Sayler</w:t>
      </w:r>
      <w:proofErr w:type="spellEnd"/>
      <w:r w:rsidRPr="0006686C">
        <w:rPr>
          <w:rFonts w:ascii="Times New Roman" w:hAnsi="Times New Roman" w:cs="Times New Roman"/>
          <w:sz w:val="24"/>
        </w:rPr>
        <w:t xml:space="preserve">, K. L., Drummond, M. A., &amp; Loveland, T. R. (2007). The FORE-SCE model: a practical approach for projecting land cover change using scenario-based modeling. </w:t>
      </w:r>
      <w:r w:rsidRPr="0006686C">
        <w:rPr>
          <w:rFonts w:ascii="Times New Roman" w:hAnsi="Times New Roman" w:cs="Times New Roman"/>
          <w:i/>
          <w:iCs/>
          <w:sz w:val="24"/>
        </w:rPr>
        <w:t>Journal of Land Use Science</w:t>
      </w:r>
      <w:r w:rsidRPr="0006686C">
        <w:rPr>
          <w:rFonts w:ascii="Times New Roman" w:hAnsi="Times New Roman" w:cs="Times New Roman"/>
          <w:sz w:val="24"/>
        </w:rPr>
        <w:t xml:space="preserve">, </w:t>
      </w:r>
      <w:r w:rsidRPr="0006686C">
        <w:rPr>
          <w:rFonts w:ascii="Times New Roman" w:hAnsi="Times New Roman" w:cs="Times New Roman"/>
          <w:i/>
          <w:iCs/>
          <w:sz w:val="24"/>
        </w:rPr>
        <w:t>2</w:t>
      </w:r>
      <w:r w:rsidRPr="0006686C">
        <w:rPr>
          <w:rFonts w:ascii="Times New Roman" w:hAnsi="Times New Roman" w:cs="Times New Roman"/>
          <w:sz w:val="24"/>
        </w:rPr>
        <w:t>(2), 103–126. https://doi.org/10.1080/17474230701218202</w:t>
      </w:r>
    </w:p>
    <w:p w14:paraId="0DE9CFFC" w14:textId="77777777" w:rsidR="0006686C" w:rsidRPr="0006686C" w:rsidRDefault="0006686C" w:rsidP="0006686C">
      <w:pPr>
        <w:pStyle w:val="Bibliography"/>
        <w:rPr>
          <w:rFonts w:ascii="Times New Roman" w:hAnsi="Times New Roman" w:cs="Times New Roman"/>
          <w:sz w:val="24"/>
        </w:rPr>
      </w:pPr>
      <w:proofErr w:type="spellStart"/>
      <w:r w:rsidRPr="0006686C">
        <w:rPr>
          <w:rFonts w:ascii="Times New Roman" w:hAnsi="Times New Roman" w:cs="Times New Roman"/>
          <w:sz w:val="24"/>
        </w:rPr>
        <w:t>Tibshirani</w:t>
      </w:r>
      <w:proofErr w:type="spellEnd"/>
      <w:r w:rsidRPr="0006686C">
        <w:rPr>
          <w:rFonts w:ascii="Times New Roman" w:hAnsi="Times New Roman" w:cs="Times New Roman"/>
          <w:sz w:val="24"/>
        </w:rPr>
        <w:t xml:space="preserve">, R., Walther, G., &amp; Hastie, T. (2001). Estimating the number of clusters in a data set via the gap statistic. </w:t>
      </w:r>
      <w:r w:rsidRPr="0006686C">
        <w:rPr>
          <w:rFonts w:ascii="Times New Roman" w:hAnsi="Times New Roman" w:cs="Times New Roman"/>
          <w:i/>
          <w:iCs/>
          <w:sz w:val="24"/>
        </w:rPr>
        <w:t>Journal of the Royal Statistical Society: Series B (Statistical Methodology)</w:t>
      </w:r>
      <w:r w:rsidRPr="0006686C">
        <w:rPr>
          <w:rFonts w:ascii="Times New Roman" w:hAnsi="Times New Roman" w:cs="Times New Roman"/>
          <w:sz w:val="24"/>
        </w:rPr>
        <w:t xml:space="preserve">, </w:t>
      </w:r>
      <w:r w:rsidRPr="0006686C">
        <w:rPr>
          <w:rFonts w:ascii="Times New Roman" w:hAnsi="Times New Roman" w:cs="Times New Roman"/>
          <w:i/>
          <w:iCs/>
          <w:sz w:val="24"/>
        </w:rPr>
        <w:t>63</w:t>
      </w:r>
      <w:r w:rsidRPr="0006686C">
        <w:rPr>
          <w:rFonts w:ascii="Times New Roman" w:hAnsi="Times New Roman" w:cs="Times New Roman"/>
          <w:sz w:val="24"/>
        </w:rPr>
        <w:t>(2), 411–423. https://doi.org/10.1111/1467-9868.00293</w:t>
      </w:r>
    </w:p>
    <w:p w14:paraId="5DDCB1D0" w14:textId="77777777" w:rsidR="0006686C" w:rsidRPr="0006686C" w:rsidRDefault="0006686C" w:rsidP="0006686C">
      <w:pPr>
        <w:pStyle w:val="Bibliography"/>
        <w:rPr>
          <w:rFonts w:ascii="Times New Roman" w:hAnsi="Times New Roman" w:cs="Times New Roman"/>
          <w:sz w:val="24"/>
        </w:rPr>
      </w:pPr>
      <w:r w:rsidRPr="0006686C">
        <w:rPr>
          <w:rFonts w:ascii="Times New Roman" w:hAnsi="Times New Roman" w:cs="Times New Roman"/>
          <w:sz w:val="24"/>
        </w:rPr>
        <w:t>United States Department of Agriculture. (2018). USDA National Agricultural Statistics Service Quick Stats database. Retrieved May 18, 2018, from https://quickstats.nass.usda.gov/</w:t>
      </w:r>
    </w:p>
    <w:p w14:paraId="769E6C66" w14:textId="77777777" w:rsidR="0006686C" w:rsidRPr="0006686C" w:rsidRDefault="0006686C" w:rsidP="0006686C">
      <w:pPr>
        <w:pStyle w:val="Bibliography"/>
        <w:rPr>
          <w:rFonts w:ascii="Times New Roman" w:hAnsi="Times New Roman" w:cs="Times New Roman"/>
          <w:sz w:val="24"/>
        </w:rPr>
      </w:pPr>
      <w:r w:rsidRPr="0006686C">
        <w:rPr>
          <w:rFonts w:ascii="Times New Roman" w:hAnsi="Times New Roman" w:cs="Times New Roman"/>
          <w:sz w:val="24"/>
        </w:rPr>
        <w:t>US Bureau of Economic Analysis. (2022). BEA Data. Retrieved June 24, 2022, from https://www.bea.gov/data</w:t>
      </w:r>
    </w:p>
    <w:p w14:paraId="36B17E37" w14:textId="77777777" w:rsidR="0006686C" w:rsidRPr="0006686C" w:rsidRDefault="0006686C" w:rsidP="0006686C">
      <w:pPr>
        <w:pStyle w:val="Bibliography"/>
        <w:rPr>
          <w:rFonts w:ascii="Times New Roman" w:hAnsi="Times New Roman" w:cs="Times New Roman"/>
          <w:sz w:val="24"/>
        </w:rPr>
      </w:pPr>
      <w:r w:rsidRPr="0006686C">
        <w:rPr>
          <w:rFonts w:ascii="Times New Roman" w:hAnsi="Times New Roman" w:cs="Times New Roman"/>
          <w:sz w:val="24"/>
        </w:rPr>
        <w:t>US Census Bureau. (2022). United States Census Data. Retrieved June 24, 2022, from https://data.census.gov/cedsci/</w:t>
      </w:r>
    </w:p>
    <w:p w14:paraId="5243D2E1" w14:textId="77777777" w:rsidR="0006686C" w:rsidRPr="0006686C" w:rsidRDefault="0006686C" w:rsidP="0006686C">
      <w:pPr>
        <w:pStyle w:val="Bibliography"/>
        <w:rPr>
          <w:rFonts w:ascii="Times New Roman" w:hAnsi="Times New Roman" w:cs="Times New Roman"/>
          <w:sz w:val="24"/>
        </w:rPr>
      </w:pPr>
      <w:r w:rsidRPr="0006686C">
        <w:rPr>
          <w:rFonts w:ascii="Times New Roman" w:hAnsi="Times New Roman" w:cs="Times New Roman"/>
          <w:sz w:val="24"/>
        </w:rPr>
        <w:t>US Energy Information Administration. (2022). Data Tools, Apps, and Maps - U.S. Energy Information Administration. Retrieved June 24, 2022, from https://www.eia.gov/tools/index.php</w:t>
      </w:r>
    </w:p>
    <w:p w14:paraId="0EFDE5D9" w14:textId="77777777" w:rsidR="0006686C" w:rsidRPr="0006686C" w:rsidRDefault="0006686C" w:rsidP="0006686C">
      <w:pPr>
        <w:pStyle w:val="Bibliography"/>
        <w:rPr>
          <w:rFonts w:ascii="Times New Roman" w:hAnsi="Times New Roman" w:cs="Times New Roman"/>
          <w:sz w:val="24"/>
        </w:rPr>
      </w:pPr>
      <w:r w:rsidRPr="0006686C">
        <w:rPr>
          <w:rFonts w:ascii="Times New Roman" w:hAnsi="Times New Roman" w:cs="Times New Roman"/>
          <w:sz w:val="24"/>
        </w:rPr>
        <w:t xml:space="preserve">Worland, S. C., </w:t>
      </w:r>
      <w:proofErr w:type="spellStart"/>
      <w:r w:rsidRPr="0006686C">
        <w:rPr>
          <w:rFonts w:ascii="Times New Roman" w:hAnsi="Times New Roman" w:cs="Times New Roman"/>
          <w:sz w:val="24"/>
        </w:rPr>
        <w:t>Steinschneider</w:t>
      </w:r>
      <w:proofErr w:type="spellEnd"/>
      <w:r w:rsidRPr="0006686C">
        <w:rPr>
          <w:rFonts w:ascii="Times New Roman" w:hAnsi="Times New Roman" w:cs="Times New Roman"/>
          <w:sz w:val="24"/>
        </w:rPr>
        <w:t xml:space="preserve">, S., &amp; Hornberger, G. M. (2018). Drivers of Variability in Public‐Supply Water Use Across the Contiguous United States. </w:t>
      </w:r>
      <w:r w:rsidRPr="0006686C">
        <w:rPr>
          <w:rFonts w:ascii="Times New Roman" w:hAnsi="Times New Roman" w:cs="Times New Roman"/>
          <w:i/>
          <w:iCs/>
          <w:sz w:val="24"/>
        </w:rPr>
        <w:t>Water Resources Research</w:t>
      </w:r>
      <w:r w:rsidRPr="0006686C">
        <w:rPr>
          <w:rFonts w:ascii="Times New Roman" w:hAnsi="Times New Roman" w:cs="Times New Roman"/>
          <w:sz w:val="24"/>
        </w:rPr>
        <w:t xml:space="preserve">, </w:t>
      </w:r>
      <w:r w:rsidRPr="0006686C">
        <w:rPr>
          <w:rFonts w:ascii="Times New Roman" w:hAnsi="Times New Roman" w:cs="Times New Roman"/>
          <w:i/>
          <w:iCs/>
          <w:sz w:val="24"/>
        </w:rPr>
        <w:t>54</w:t>
      </w:r>
      <w:r w:rsidRPr="0006686C">
        <w:rPr>
          <w:rFonts w:ascii="Times New Roman" w:hAnsi="Times New Roman" w:cs="Times New Roman"/>
          <w:sz w:val="24"/>
        </w:rPr>
        <w:t>(3), 1868–1889. https://doi.org/10.1002/2017WR021268</w:t>
      </w:r>
    </w:p>
    <w:p w14:paraId="38AF7E52" w14:textId="415CE319" w:rsidR="0006686C" w:rsidRPr="0006686C" w:rsidRDefault="0006686C">
      <w:pPr>
        <w:rPr>
          <w:rFonts w:ascii="Times New Roman" w:hAnsi="Times New Roman" w:cs="Times New Roman"/>
          <w:b/>
          <w:sz w:val="24"/>
          <w:szCs w:val="24"/>
        </w:rPr>
      </w:pPr>
      <w:r>
        <w:rPr>
          <w:rFonts w:ascii="Times New Roman" w:hAnsi="Times New Roman" w:cs="Times New Roman"/>
          <w:b/>
          <w:sz w:val="24"/>
          <w:szCs w:val="24"/>
        </w:rPr>
        <w:fldChar w:fldCharType="end"/>
      </w:r>
    </w:p>
    <w:sectPr w:rsidR="0006686C" w:rsidRPr="0006686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F72276" w14:textId="77777777" w:rsidR="0022022C" w:rsidRDefault="0022022C" w:rsidP="00256EA8">
      <w:pPr>
        <w:spacing w:after="0" w:line="240" w:lineRule="auto"/>
      </w:pPr>
      <w:r>
        <w:separator/>
      </w:r>
    </w:p>
  </w:endnote>
  <w:endnote w:type="continuationSeparator" w:id="0">
    <w:p w14:paraId="5EF74FE1" w14:textId="77777777" w:rsidR="0022022C" w:rsidRDefault="0022022C" w:rsidP="00256E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DCCE94" w14:textId="32169690" w:rsidR="00256EA8" w:rsidRPr="00256EA8" w:rsidRDefault="00256EA8">
    <w:pPr>
      <w:pStyle w:val="Footer"/>
      <w:jc w:val="center"/>
      <w:rPr>
        <w:rFonts w:ascii="Times New Roman" w:hAnsi="Times New Roman" w:cs="Times New Roman"/>
        <w:sz w:val="24"/>
      </w:rPr>
    </w:pPr>
    <w:r w:rsidRPr="00256EA8">
      <w:rPr>
        <w:rFonts w:ascii="Times New Roman" w:hAnsi="Times New Roman" w:cs="Times New Roman"/>
        <w:sz w:val="24"/>
      </w:rPr>
      <w:t xml:space="preserve">Page </w:t>
    </w:r>
    <w:sdt>
      <w:sdtPr>
        <w:rPr>
          <w:rFonts w:ascii="Times New Roman" w:hAnsi="Times New Roman" w:cs="Times New Roman"/>
          <w:sz w:val="24"/>
        </w:rPr>
        <w:id w:val="1637300221"/>
        <w:docPartObj>
          <w:docPartGallery w:val="Page Numbers (Bottom of Page)"/>
          <w:docPartUnique/>
        </w:docPartObj>
      </w:sdtPr>
      <w:sdtEndPr>
        <w:rPr>
          <w:noProof/>
        </w:rPr>
      </w:sdtEndPr>
      <w:sdtContent>
        <w:r w:rsidRPr="00256EA8">
          <w:rPr>
            <w:rFonts w:ascii="Times New Roman" w:hAnsi="Times New Roman" w:cs="Times New Roman"/>
            <w:sz w:val="24"/>
          </w:rPr>
          <w:fldChar w:fldCharType="begin"/>
        </w:r>
        <w:r w:rsidRPr="00256EA8">
          <w:rPr>
            <w:rFonts w:ascii="Times New Roman" w:hAnsi="Times New Roman" w:cs="Times New Roman"/>
            <w:sz w:val="24"/>
          </w:rPr>
          <w:instrText xml:space="preserve"> PAGE   \* MERGEFORMAT </w:instrText>
        </w:r>
        <w:r w:rsidRPr="00256EA8">
          <w:rPr>
            <w:rFonts w:ascii="Times New Roman" w:hAnsi="Times New Roman" w:cs="Times New Roman"/>
            <w:sz w:val="24"/>
          </w:rPr>
          <w:fldChar w:fldCharType="separate"/>
        </w:r>
        <w:r w:rsidRPr="00256EA8">
          <w:rPr>
            <w:rFonts w:ascii="Times New Roman" w:hAnsi="Times New Roman" w:cs="Times New Roman"/>
            <w:noProof/>
            <w:sz w:val="24"/>
          </w:rPr>
          <w:t>2</w:t>
        </w:r>
        <w:r w:rsidRPr="00256EA8">
          <w:rPr>
            <w:rFonts w:ascii="Times New Roman" w:hAnsi="Times New Roman" w:cs="Times New Roman"/>
            <w:noProof/>
            <w:sz w:val="24"/>
          </w:rPr>
          <w:fldChar w:fldCharType="end"/>
        </w:r>
      </w:sdtContent>
    </w:sdt>
  </w:p>
  <w:p w14:paraId="4A2278FB" w14:textId="28C58DC7" w:rsidR="00256EA8" w:rsidRDefault="00256E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68E846" w14:textId="77777777" w:rsidR="0022022C" w:rsidRDefault="0022022C" w:rsidP="00256EA8">
      <w:pPr>
        <w:spacing w:after="0" w:line="240" w:lineRule="auto"/>
      </w:pPr>
      <w:r>
        <w:separator/>
      </w:r>
    </w:p>
  </w:footnote>
  <w:footnote w:type="continuationSeparator" w:id="0">
    <w:p w14:paraId="18BE97D7" w14:textId="77777777" w:rsidR="0022022C" w:rsidRDefault="0022022C" w:rsidP="00256E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8B70FA"/>
    <w:multiLevelType w:val="hybridMultilevel"/>
    <w:tmpl w:val="D0804D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9E061D"/>
    <w:multiLevelType w:val="hybridMultilevel"/>
    <w:tmpl w:val="8DE05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CAB"/>
    <w:rsid w:val="0006686C"/>
    <w:rsid w:val="001439E9"/>
    <w:rsid w:val="0019254B"/>
    <w:rsid w:val="0022022C"/>
    <w:rsid w:val="00256EA8"/>
    <w:rsid w:val="002B5CAB"/>
    <w:rsid w:val="003E1D14"/>
    <w:rsid w:val="0070514C"/>
    <w:rsid w:val="008076F3"/>
    <w:rsid w:val="008D630F"/>
    <w:rsid w:val="00E066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810DF"/>
  <w15:chartTrackingRefBased/>
  <w15:docId w15:val="{1780BB37-3D10-44DB-B98F-0F4F61D71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514C"/>
    <w:pPr>
      <w:ind w:left="720"/>
      <w:contextualSpacing/>
    </w:pPr>
  </w:style>
  <w:style w:type="paragraph" w:styleId="Header">
    <w:name w:val="header"/>
    <w:basedOn w:val="Normal"/>
    <w:link w:val="HeaderChar"/>
    <w:uiPriority w:val="99"/>
    <w:unhideWhenUsed/>
    <w:rsid w:val="00256E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6EA8"/>
  </w:style>
  <w:style w:type="paragraph" w:styleId="Footer">
    <w:name w:val="footer"/>
    <w:basedOn w:val="Normal"/>
    <w:link w:val="FooterChar"/>
    <w:uiPriority w:val="99"/>
    <w:unhideWhenUsed/>
    <w:rsid w:val="00256E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6EA8"/>
  </w:style>
  <w:style w:type="paragraph" w:styleId="Bibliography">
    <w:name w:val="Bibliography"/>
    <w:basedOn w:val="Normal"/>
    <w:next w:val="Normal"/>
    <w:uiPriority w:val="37"/>
    <w:unhideWhenUsed/>
    <w:rsid w:val="0006686C"/>
    <w:pPr>
      <w:spacing w:after="0" w:line="48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54850">
      <w:bodyDiv w:val="1"/>
      <w:marLeft w:val="0"/>
      <w:marRight w:val="0"/>
      <w:marTop w:val="0"/>
      <w:marBottom w:val="0"/>
      <w:divBdr>
        <w:top w:val="none" w:sz="0" w:space="0" w:color="auto"/>
        <w:left w:val="none" w:sz="0" w:space="0" w:color="auto"/>
        <w:bottom w:val="none" w:sz="0" w:space="0" w:color="auto"/>
        <w:right w:val="none" w:sz="0" w:space="0" w:color="auto"/>
      </w:divBdr>
    </w:div>
    <w:div w:id="133566424">
      <w:bodyDiv w:val="1"/>
      <w:marLeft w:val="0"/>
      <w:marRight w:val="0"/>
      <w:marTop w:val="0"/>
      <w:marBottom w:val="0"/>
      <w:divBdr>
        <w:top w:val="none" w:sz="0" w:space="0" w:color="auto"/>
        <w:left w:val="none" w:sz="0" w:space="0" w:color="auto"/>
        <w:bottom w:val="none" w:sz="0" w:space="0" w:color="auto"/>
        <w:right w:val="none" w:sz="0" w:space="0" w:color="auto"/>
      </w:divBdr>
    </w:div>
    <w:div w:id="1139113400">
      <w:bodyDiv w:val="1"/>
      <w:marLeft w:val="0"/>
      <w:marRight w:val="0"/>
      <w:marTop w:val="0"/>
      <w:marBottom w:val="0"/>
      <w:divBdr>
        <w:top w:val="none" w:sz="0" w:space="0" w:color="auto"/>
        <w:left w:val="none" w:sz="0" w:space="0" w:color="auto"/>
        <w:bottom w:val="none" w:sz="0" w:space="0" w:color="auto"/>
        <w:right w:val="none" w:sz="0" w:space="0" w:color="auto"/>
      </w:divBdr>
    </w:div>
    <w:div w:id="1986230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15</Pages>
  <Words>7681</Words>
  <Characters>43782</Characters>
  <Application>Microsoft Office Word</Application>
  <DocSecurity>0</DocSecurity>
  <Lines>364</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Shortridge, Julie</dc:creator>
  <cp:keywords/>
  <dc:description/>
  <cp:lastModifiedBy>Shortridge, Julie</cp:lastModifiedBy>
  <cp:revision>8</cp:revision>
  <cp:lastPrinted>2022-06-23T17:23:00Z</cp:lastPrinted>
  <dcterms:created xsi:type="dcterms:W3CDTF">2022-06-16T15:22:00Z</dcterms:created>
  <dcterms:modified xsi:type="dcterms:W3CDTF">2022-09-27T14:34:00Z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id="8YXvx7l3"/&gt;&lt;style id="http://www.zotero.org/styles/water-resources-research" hasBibliography="1" bibliographyStyleHasBeenSet="1"/&gt;&lt;prefs&gt;&lt;pref name="fieldType" value="Field"/&gt;&lt;pref name="automa</vt:lpwstr>
  </property>
  <property fmtid="{D5CDD505-2E9C-101B-9397-08002B2CF9AE}" pid="3" name="ZOTERO_PREF_2">
    <vt:lpwstr>ticJournalAbbreviations" value="true"/&gt;&lt;/prefs&gt;&lt;/data&gt;</vt:lpwstr>
  </property>
</Properties>
</file>