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20BA" w:rsidRDefault="003020BA" w:rsidP="003020B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bidi="en-US"/>
        </w:rPr>
      </w:pPr>
      <w:r w:rsidRPr="00337C24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3C02DA56" wp14:editId="547EE2B8">
            <wp:extent cx="5943600" cy="4923341"/>
            <wp:effectExtent l="0" t="0" r="0" b="0"/>
            <wp:docPr id="4" name="Picture 4" descr="C:\Users\ASUS\Desktop\LISON RNA\everything\FIGURES OFFICIELLES METABO\TRANSCRIPTOME TOUT\figures a soumettre\figure1_30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SUS\Desktop\LISON RNA\everything\FIGURES OFFICIELLES METABO\TRANSCRIPTOME TOUT\figures a soumettre\figure1_300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923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20BA" w:rsidRPr="00324865" w:rsidRDefault="003020BA" w:rsidP="003020BA">
      <w:pPr>
        <w:spacing w:after="0" w:line="240" w:lineRule="auto"/>
        <w:jc w:val="both"/>
        <w:rPr>
          <w:rFonts w:ascii="Times New Roman" w:hAnsi="Times New Roman" w:cs="Times New Roman"/>
          <w:spacing w:val="2"/>
          <w:sz w:val="24"/>
          <w:szCs w:val="24"/>
          <w:shd w:val="clear" w:color="auto" w:fill="FFFFFF" w:themeFill="background1"/>
        </w:rPr>
      </w:pPr>
      <w:r w:rsidRPr="00324865">
        <w:rPr>
          <w:rFonts w:ascii="Times New Roman" w:hAnsi="Times New Roman" w:cs="Times New Roman"/>
          <w:b/>
          <w:bCs/>
          <w:sz w:val="24"/>
        </w:rPr>
        <w:t>Fig</w:t>
      </w:r>
      <w:r>
        <w:rPr>
          <w:rFonts w:ascii="Times New Roman" w:hAnsi="Times New Roman" w:cs="Times New Roman"/>
          <w:b/>
          <w:bCs/>
          <w:sz w:val="24"/>
        </w:rPr>
        <w:t>ure S3.</w:t>
      </w:r>
      <w:r w:rsidRPr="0032486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24865">
        <w:rPr>
          <w:rFonts w:ascii="Times New Roman" w:hAnsi="Times New Roman" w:cs="Times New Roman"/>
          <w:sz w:val="24"/>
          <w:szCs w:val="24"/>
        </w:rPr>
        <w:t>Characterization of the 12 sampled key developmental stages throughout the Arabica somatic embryogenesis (SE) process at both a morphological and cellular level</w:t>
      </w:r>
      <w:r w:rsidRPr="00324865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3248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Developmental stages correspond to: leaves from greenhouse plants i.e. explant (L1), explants during </w:t>
      </w:r>
      <w:r w:rsidRPr="00324865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dedifferentiation [1 week (D1), 2 weeks (D2), 5 weeks (D3)], compact primary callus obtained 3 months after induction (C1), embryogenic callus obtained 7 months after induction (C2), established cell clusters obtained after 4 months in liquid proliferation medium (C3), pro-embryogenic masses [1 week in </w:t>
      </w:r>
      <w:proofErr w:type="spellStart"/>
      <w:r w:rsidRPr="00324865">
        <w:rPr>
          <w:rFonts w:ascii="Times New Roman" w:hAnsi="Times New Roman" w:cs="Times New Roman"/>
          <w:bCs/>
          <w:sz w:val="24"/>
          <w:szCs w:val="24"/>
        </w:rPr>
        <w:t>redifferentiation</w:t>
      </w:r>
      <w:proofErr w:type="spellEnd"/>
      <w:r w:rsidRPr="00324865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medium after auxin withdrawal (R1), 24 h in </w:t>
      </w:r>
      <w:proofErr w:type="spellStart"/>
      <w:r w:rsidRPr="00324865">
        <w:rPr>
          <w:rFonts w:ascii="Times New Roman" w:hAnsi="Times New Roman" w:cs="Times New Roman"/>
          <w:bCs/>
          <w:sz w:val="24"/>
          <w:szCs w:val="24"/>
        </w:rPr>
        <w:t>redifferentiation</w:t>
      </w:r>
      <w:proofErr w:type="spellEnd"/>
      <w:r w:rsidRPr="00324865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medium after reducing cell density (R2), 72 h (R3), 10 days (R4)] and globular embryos (E1) obtained after 3 wee</w:t>
      </w:r>
      <w:bookmarkStart w:id="0" w:name="_GoBack"/>
      <w:bookmarkEnd w:id="0"/>
      <w:r w:rsidRPr="00324865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ks of culture. An additional stage, the non-embryogenic callus (NEC), was obtained using the same culture conditions as for the embryogenic callus (C2) and was sampled at the same time. </w:t>
      </w:r>
      <w:r w:rsidRPr="00324865">
        <w:rPr>
          <w:rFonts w:ascii="Times New Roman" w:hAnsi="Times New Roman" w:cs="Times New Roman"/>
          <w:sz w:val="24"/>
          <w:szCs w:val="24"/>
        </w:rPr>
        <w:t xml:space="preserve">Sections were treated with 1% periodic acid and stained with Schiff reagent (which colors polysaccharides purple) and </w:t>
      </w:r>
      <w:proofErr w:type="spellStart"/>
      <w:r w:rsidRPr="00324865">
        <w:rPr>
          <w:rFonts w:ascii="Times New Roman" w:hAnsi="Times New Roman" w:cs="Times New Roman"/>
          <w:sz w:val="24"/>
          <w:szCs w:val="24"/>
        </w:rPr>
        <w:t>naphthol</w:t>
      </w:r>
      <w:proofErr w:type="spellEnd"/>
      <w:r w:rsidRPr="00324865">
        <w:rPr>
          <w:rFonts w:ascii="Times New Roman" w:hAnsi="Times New Roman" w:cs="Times New Roman"/>
          <w:sz w:val="24"/>
          <w:szCs w:val="24"/>
        </w:rPr>
        <w:t xml:space="preserve"> blue black (which colors soluble proteins blue).  Bright field microscopy was used to acquire histological images. The scale bar is 10 µm. </w:t>
      </w:r>
      <w:r w:rsidRPr="00324865">
        <w:rPr>
          <w:rFonts w:ascii="Times New Roman" w:hAnsi="Times New Roman" w:cs="Times New Roman"/>
          <w:sz w:val="24"/>
          <w:szCs w:val="24"/>
          <w:lang w:bidi="en-US"/>
        </w:rPr>
        <w:t xml:space="preserve">Phenotyping images were taken using an Olympus E-5 digital camera mounted on an Olympus SZX7 stereomicroscope. The stereomicroscope was not used for (L1). </w:t>
      </w:r>
      <w:r w:rsidRPr="00324865">
        <w:rPr>
          <w:rFonts w:ascii="Times New Roman" w:hAnsi="Times New Roman" w:cs="Times New Roman"/>
          <w:spacing w:val="2"/>
          <w:sz w:val="24"/>
          <w:szCs w:val="24"/>
          <w:shd w:val="clear" w:color="auto" w:fill="FFFFFF" w:themeFill="background1"/>
        </w:rPr>
        <w:t xml:space="preserve">Morphological and cellular characterization of the different developmental stages is previously </w:t>
      </w:r>
      <w:r>
        <w:rPr>
          <w:rFonts w:ascii="Times New Roman" w:hAnsi="Times New Roman" w:cs="Times New Roman"/>
          <w:spacing w:val="2"/>
          <w:sz w:val="24"/>
          <w:szCs w:val="24"/>
          <w:shd w:val="clear" w:color="auto" w:fill="FFFFFF" w:themeFill="background1"/>
        </w:rPr>
        <w:t xml:space="preserve">described in </w:t>
      </w:r>
      <w:proofErr w:type="spellStart"/>
      <w:r>
        <w:rPr>
          <w:rFonts w:ascii="Times New Roman" w:hAnsi="Times New Roman" w:cs="Times New Roman"/>
          <w:spacing w:val="2"/>
          <w:sz w:val="24"/>
          <w:szCs w:val="24"/>
          <w:shd w:val="clear" w:color="auto" w:fill="FFFFFF" w:themeFill="background1"/>
        </w:rPr>
        <w:t>Awada</w:t>
      </w:r>
      <w:proofErr w:type="spellEnd"/>
      <w:r>
        <w:rPr>
          <w:rFonts w:ascii="Times New Roman" w:hAnsi="Times New Roman" w:cs="Times New Roman"/>
          <w:spacing w:val="2"/>
          <w:sz w:val="24"/>
          <w:szCs w:val="24"/>
          <w:shd w:val="clear" w:color="auto" w:fill="FFFFFF" w:themeFill="background1"/>
        </w:rPr>
        <w:t xml:space="preserve"> et al. [56]</w:t>
      </w:r>
      <w:r w:rsidRPr="00324865">
        <w:rPr>
          <w:rFonts w:ascii="Times New Roman" w:hAnsi="Times New Roman" w:cs="Times New Roman"/>
          <w:spacing w:val="2"/>
          <w:sz w:val="24"/>
          <w:szCs w:val="24"/>
          <w:shd w:val="clear" w:color="auto" w:fill="FFFFFF" w:themeFill="background1"/>
        </w:rPr>
        <w:t>.</w:t>
      </w:r>
    </w:p>
    <w:p w:rsidR="002D1FFD" w:rsidRDefault="002D1FFD"/>
    <w:sectPr w:rsidR="002D1F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20BA"/>
    <w:rsid w:val="002D1FFD"/>
    <w:rsid w:val="00302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CC7FA4"/>
  <w15:chartTrackingRefBased/>
  <w15:docId w15:val="{60DDF6F0-C52E-44A3-9393-905581538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20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(C)</Company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</cp:revision>
  <dcterms:created xsi:type="dcterms:W3CDTF">2022-09-27T08:50:00Z</dcterms:created>
  <dcterms:modified xsi:type="dcterms:W3CDTF">2022-09-27T08:51:00Z</dcterms:modified>
</cp:coreProperties>
</file>