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Appendix 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3853"/>
        <w:gridCol w:w="647"/>
        <w:gridCol w:w="670"/>
        <w:gridCol w:w="750"/>
        <w:gridCol w:w="730"/>
        <w:gridCol w:w="74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6" w:type="dxa"/>
            <w:tcBorders>
              <w:tl2br w:val="nil"/>
              <w:tr2bl w:val="nil"/>
            </w:tcBorders>
          </w:tcPr>
          <w:p>
            <w:pPr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bookmarkStart w:id="0" w:name="OLE_LINK59" w:colFirst="0" w:colLast="6"/>
            <w:bookmarkStart w:id="1" w:name="OLE_LINK42" w:colFirst="0" w:colLast="1"/>
            <w:r>
              <w:rPr>
                <w:rFonts w:hint="eastAsia"/>
                <w:sz w:val="18"/>
                <w:szCs w:val="18"/>
              </w:rPr>
              <w:t>Data</w:t>
            </w:r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a</w:t>
            </w:r>
          </w:p>
        </w:tc>
        <w:tc>
          <w:tcPr>
            <w:tcW w:w="3853" w:type="dxa"/>
            <w:tcBorders>
              <w:tl2br w:val="nil"/>
              <w:tr2bl w:val="nil"/>
            </w:tcBorders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Details of the outbreak</w:t>
            </w:r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b,c</w:t>
            </w:r>
          </w:p>
        </w:tc>
        <w:tc>
          <w:tcPr>
            <w:tcW w:w="647" w:type="dxa"/>
            <w:tcBorders>
              <w:tl2br w:val="nil"/>
              <w:tr2bl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DARL</w:t>
            </w:r>
          </w:p>
        </w:tc>
        <w:tc>
          <w:tcPr>
            <w:tcW w:w="670" w:type="dxa"/>
            <w:tcBorders>
              <w:tl2br w:val="nil"/>
              <w:tr2bl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DARH</w:t>
            </w:r>
          </w:p>
        </w:tc>
        <w:tc>
          <w:tcPr>
            <w:tcW w:w="750" w:type="dxa"/>
            <w:tcBorders>
              <w:tl2br w:val="nil"/>
              <w:tr2bl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DARX</w:t>
            </w:r>
          </w:p>
        </w:tc>
        <w:tc>
          <w:tcPr>
            <w:tcW w:w="730" w:type="dxa"/>
            <w:tcBorders>
              <w:tl2br w:val="nil"/>
              <w:tr2bl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DARY</w:t>
            </w:r>
          </w:p>
        </w:tc>
        <w:tc>
          <w:tcPr>
            <w:tcW w:w="742" w:type="dxa"/>
            <w:tcBorders>
              <w:tl2br w:val="nil"/>
              <w:tr2bl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DARZ</w:t>
            </w:r>
          </w:p>
        </w:tc>
      </w:tr>
      <w:bookmarkEnd w:id="0"/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2021/09/28</w:t>
            </w:r>
          </w:p>
        </w:tc>
        <w:tc>
          <w:tcPr>
            <w:tcW w:w="3853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 and 308 meet standard b</w:t>
            </w:r>
          </w:p>
        </w:tc>
        <w:tc>
          <w:tcPr>
            <w:tcW w:w="647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2021/09/30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107 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2021/11/01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501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2021/11/04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409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2021/11/22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107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2021/11/29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306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2021/11/30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301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2021/12/01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305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2021/12/06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304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2021/12/07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306, 407, and 603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2021/12/08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201, 208, 306, 501, and 502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2021/12/09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105, 205, 506, and 602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2021/12/10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103, 204, and 303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2021/12/13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 and 505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2021/12/14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102, 105, 205, 603, and 606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2021/12/15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105, 205, and 505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2021/12/16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104, 105, 205, 307, and 606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2021/12/17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103, 105, ,307, 505, and 606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2021/12/20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 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2021/12/21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103, 204, and 408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2021/12/22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103, 204, and 408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2021/12/23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 and 204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2021/12/24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 and 204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2021/12/27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 and 204,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2021/12/28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103, 104, and 204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2022/02/21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 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2022/03/03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 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2022/03/07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204 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2022/03/15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 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2022/04/14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302 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2022/04/20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204meet standard a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2022/04/25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 and 204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2022/04/27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 and 208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2022/04/28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 and 205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2022/04/29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 and 205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2022/05/06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203 and 205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2022/05/07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203meets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2022/05/09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601meets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2022/05/10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103, 204, 205, 208, 502, and 601meet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2022/05/12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205, 208, and 502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2022/05/13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601 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2022/05/17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205 and 502meet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2022/05/19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205 and 502meet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2022/05/20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205 and 502meet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2022/05/24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 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2022/06/07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 and 603 meet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2022/06/21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107 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2022/06/23</w:t>
            </w:r>
          </w:p>
        </w:tc>
        <w:tc>
          <w:tcPr>
            <w:tcW w:w="3853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107meets standard b</w:t>
            </w:r>
          </w:p>
        </w:tc>
        <w:tc>
          <w:tcPr>
            <w:tcW w:w="647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  <w:bottom w:val="nil"/>
            </w:tcBorders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2022/06/24</w:t>
            </w:r>
          </w:p>
        </w:tc>
        <w:tc>
          <w:tcPr>
            <w:tcW w:w="3853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107meets standard b</w:t>
            </w:r>
          </w:p>
        </w:tc>
        <w:tc>
          <w:tcPr>
            <w:tcW w:w="647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670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2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Note: </w:t>
      </w:r>
    </w:p>
    <w:p>
      <w:pPr>
        <w:rPr>
          <w:rFonts w:hint="eastAsia"/>
        </w:rPr>
      </w:pPr>
      <w:r>
        <w:rPr>
          <w:rFonts w:hint="eastAsia"/>
          <w:vertAlign w:val="superscript"/>
          <w:lang w:val="en-US" w:eastAsia="zh-CN"/>
        </w:rPr>
        <w:t>a</w:t>
      </w:r>
      <w:r>
        <w:rPr>
          <w:rFonts w:hint="eastAsia"/>
        </w:rPr>
        <w:t xml:space="preserve">The data </w:t>
      </w:r>
      <w:r>
        <w:t>from</w:t>
      </w:r>
      <w:r>
        <w:rPr>
          <w:rFonts w:hint="eastAsia"/>
        </w:rPr>
        <w:t xml:space="preserve"> May 13 and 16, 2022 were missing in the data reported by school physicians. </w:t>
      </w:r>
    </w:p>
    <w:p>
      <w:pPr>
        <w:rPr>
          <w:rFonts w:hint="eastAsia"/>
        </w:rPr>
      </w:pPr>
      <w:r>
        <w:rPr>
          <w:rFonts w:hint="eastAsia"/>
          <w:vertAlign w:val="superscript"/>
          <w:lang w:val="en-US" w:eastAsia="zh-CN"/>
        </w:rPr>
        <w:t xml:space="preserve">b </w:t>
      </w:r>
      <w:r>
        <w:rPr>
          <w:rFonts w:hint="eastAsia"/>
        </w:rPr>
        <w:t xml:space="preserve">Standard a, more than one newly confirmed infectious disease case; Standard b, the number of students with similar epidemiologically relevant symptoms (SERSs) in the same class ≥ 4; Standard c, the number of students with SERSs ≥19. </w:t>
      </w:r>
      <w:bookmarkStart w:id="2" w:name="OLE_LINK64"/>
    </w:p>
    <w:p>
      <w:r>
        <w:rPr>
          <w:rFonts w:hint="eastAsia"/>
          <w:vertAlign w:val="superscript"/>
          <w:lang w:val="en-US" w:eastAsia="zh-CN"/>
        </w:rPr>
        <w:t>c</w:t>
      </w:r>
      <w:r>
        <w:rPr>
          <w:rFonts w:hint="eastAsia"/>
        </w:rPr>
        <w:t xml:space="preserve"> 101 </w:t>
      </w:r>
      <w:bookmarkStart w:id="3" w:name="OLE_LINK63"/>
      <w:r>
        <w:rPr>
          <w:rFonts w:hint="eastAsia"/>
        </w:rPr>
        <w:t>represents</w:t>
      </w:r>
      <w:bookmarkEnd w:id="3"/>
      <w:r>
        <w:rPr>
          <w:rFonts w:hint="eastAsia"/>
        </w:rPr>
        <w:t xml:space="preserve"> Class 1, Grade 1; 203 represents Class 3, </w:t>
      </w:r>
      <w:bookmarkStart w:id="4" w:name="OLE_LINK62"/>
      <w:r>
        <w:rPr>
          <w:rFonts w:hint="eastAsia"/>
        </w:rPr>
        <w:t>Grade 2</w:t>
      </w:r>
      <w:bookmarkEnd w:id="4"/>
      <w:r>
        <w:rPr>
          <w:rFonts w:hint="eastAsia"/>
        </w:rPr>
        <w:t>, and so on.</w:t>
      </w:r>
      <w:bookmarkEnd w:id="2"/>
    </w:p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Appendix 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3686"/>
        <w:gridCol w:w="688"/>
        <w:gridCol w:w="748"/>
        <w:gridCol w:w="738"/>
        <w:gridCol w:w="728"/>
        <w:gridCol w:w="74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l2br w:val="nil"/>
              <w:tr2bl w:val="nil"/>
            </w:tcBorders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Data</w:t>
            </w:r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a</w:t>
            </w:r>
          </w:p>
        </w:tc>
        <w:tc>
          <w:tcPr>
            <w:tcW w:w="3686" w:type="dxa"/>
            <w:tcBorders>
              <w:tl2br w:val="nil"/>
              <w:tr2bl w:val="nil"/>
            </w:tcBorders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Details of the outbreak</w:t>
            </w:r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b,c</w:t>
            </w:r>
          </w:p>
        </w:tc>
        <w:tc>
          <w:tcPr>
            <w:tcW w:w="688" w:type="dxa"/>
            <w:tcBorders>
              <w:tl2br w:val="nil"/>
              <w:tr2bl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DARL</w:t>
            </w:r>
          </w:p>
        </w:tc>
        <w:tc>
          <w:tcPr>
            <w:tcW w:w="748" w:type="dxa"/>
            <w:tcBorders>
              <w:tl2br w:val="nil"/>
              <w:tr2bl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DARH</w:t>
            </w:r>
          </w:p>
        </w:tc>
        <w:tc>
          <w:tcPr>
            <w:tcW w:w="738" w:type="dxa"/>
            <w:tcBorders>
              <w:tl2br w:val="nil"/>
              <w:tr2bl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DARX</w:t>
            </w:r>
          </w:p>
        </w:tc>
        <w:tc>
          <w:tcPr>
            <w:tcW w:w="728" w:type="dxa"/>
            <w:tcBorders>
              <w:tl2br w:val="nil"/>
              <w:tr2bl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DARY</w:t>
            </w:r>
          </w:p>
        </w:tc>
        <w:tc>
          <w:tcPr>
            <w:tcW w:w="749" w:type="dxa"/>
            <w:tcBorders>
              <w:tl2br w:val="nil"/>
              <w:tr2bl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DARZ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2021/09/13</w:t>
            </w:r>
          </w:p>
        </w:tc>
        <w:tc>
          <w:tcPr>
            <w:tcW w:w="3686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 meets standard b</w:t>
            </w:r>
          </w:p>
        </w:tc>
        <w:tc>
          <w:tcPr>
            <w:tcW w:w="688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2021/10/19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106, 201, and 203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2021/10/20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106, 201, 203, and 205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2021/10/21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201, 203, and 205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2021/10/22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201, 203, and 205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2021/10/25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106 and 502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2021/10/26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404 and 502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2021/10/27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201, 205, 404, and 502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2021/10/28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 and 205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2021/10/29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205 meets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2021/11/01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103 meets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2021/11/11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501 meets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2021/11/15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2021/11/24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2021/11/25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2021/11/29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2021/11/30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2021/12/01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304, 501, and 601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2021/12/04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 meets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2021/12/08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2021/12/09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2021/12/10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2021/12/13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2021/12/14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2021/12/15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2021/12/16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2021/12/17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2021/12/20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2021/12/24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603 and 604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2021/12/28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 meets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2022/01/04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101, 105, 202, and 304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2022/01/05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 and 304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2022/01/06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101, 105, 202, and 304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2022/01/07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101 and 202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2022/03/07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Meets standard c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2022/03/14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403 meets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2022/03/18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403 and 404 meet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2022/03/22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401 meets standard b 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2022/03/28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601 meets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2022/04/06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104 meets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2022/05/20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303 meets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2022/05/23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403 meets standard b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2022/05/27</w:t>
            </w:r>
          </w:p>
        </w:tc>
        <w:tc>
          <w:tcPr>
            <w:tcW w:w="3686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104 meets standard a</w:t>
            </w:r>
          </w:p>
        </w:tc>
        <w:tc>
          <w:tcPr>
            <w:tcW w:w="68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2022/06/08</w:t>
            </w:r>
          </w:p>
        </w:tc>
        <w:tc>
          <w:tcPr>
            <w:tcW w:w="3686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501 meets standard b</w:t>
            </w:r>
          </w:p>
        </w:tc>
        <w:tc>
          <w:tcPr>
            <w:tcW w:w="688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8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8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 xml:space="preserve">Note: </w:t>
      </w:r>
    </w:p>
    <w:p>
      <w:pPr>
        <w:rPr>
          <w:rFonts w:hint="eastAsia"/>
        </w:rPr>
      </w:pPr>
      <w:r>
        <w:rPr>
          <w:rFonts w:hint="eastAsia"/>
          <w:vertAlign w:val="superscript"/>
          <w:lang w:val="en-US" w:eastAsia="zh-CN"/>
        </w:rPr>
        <w:t>a</w:t>
      </w:r>
      <w:r>
        <w:rPr>
          <w:rFonts w:hint="eastAsia"/>
        </w:rPr>
        <w:t xml:space="preserve"> The data </w:t>
      </w:r>
      <w:r>
        <w:t>from</w:t>
      </w:r>
      <w:r>
        <w:rPr>
          <w:rFonts w:hint="eastAsia"/>
        </w:rPr>
        <w:t xml:space="preserve"> November 17 and 19, 2021 were missing in the data reported by school physicians. </w:t>
      </w:r>
    </w:p>
    <w:p>
      <w:pPr>
        <w:rPr>
          <w:rFonts w:hint="eastAsia"/>
        </w:rPr>
      </w:pPr>
      <w:r>
        <w:rPr>
          <w:rFonts w:hint="eastAsia"/>
          <w:vertAlign w:val="superscript"/>
          <w:lang w:val="en-US" w:eastAsia="zh-CN"/>
        </w:rPr>
        <w:t>b</w:t>
      </w:r>
      <w:r>
        <w:rPr>
          <w:rFonts w:hint="eastAsia"/>
        </w:rPr>
        <w:t xml:space="preserve"> Standard a, more than one newly confirmed infectious disease case; Standard b, the number of students with similar epidemiologically relevant symptoms (SERSs) in the same class ≥ 4; Standard c, the number of students with SERSs ≥ 10. </w:t>
      </w:r>
    </w:p>
    <w:p>
      <w:r>
        <w:rPr>
          <w:rFonts w:hint="eastAsia"/>
          <w:vertAlign w:val="superscript"/>
          <w:lang w:val="en-US" w:eastAsia="zh-CN"/>
        </w:rPr>
        <w:t>c</w:t>
      </w:r>
      <w:r>
        <w:rPr>
          <w:rFonts w:hint="eastAsia"/>
        </w:rPr>
        <w:t xml:space="preserve"> 101 represents Class 1, Grade 1; 203 represents Class 3, Grade 2, and so on.</w:t>
      </w:r>
    </w:p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1MzljODBiNDliMzEyMzFlZWNlN2EzYjU0N2YzMWEifQ=="/>
  </w:docVars>
  <w:rsids>
    <w:rsidRoot w:val="685C1414"/>
    <w:rsid w:val="05AD19EA"/>
    <w:rsid w:val="685C1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2022-09-27T00:12:00Z</dcterms:created>
  <dc:creator>杨震</dc:creator>
  <cp:lastModifiedBy>杨震</cp:lastModifiedBy>
  <dcterms:modified xsi:type="dcterms:W3CDTF">2022-09-27T03:27:04Z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8E1AED7A8C7349AAB31091500F12E75E</vt:lpwstr>
  </property>
</Properties>
</file>