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5E503" w14:textId="77777777" w:rsidR="00A51136" w:rsidRPr="00A51136" w:rsidRDefault="00A51136" w:rsidP="00A51136">
      <w:pPr>
        <w:keepNext/>
        <w:keepLines/>
        <w:spacing w:before="340" w:after="330" w:line="480" w:lineRule="auto"/>
        <w:outlineLvl w:val="0"/>
        <w:rPr>
          <w:rFonts w:ascii="Times New Roman" w:eastAsia="Times New Roman" w:hAnsi="Times New Roman" w:cs="Times New Roman"/>
          <w:b/>
          <w:bCs/>
          <w:kern w:val="44"/>
          <w:sz w:val="24"/>
          <w:szCs w:val="24"/>
        </w:rPr>
      </w:pPr>
      <w:r w:rsidRPr="00A51136">
        <w:rPr>
          <w:rFonts w:ascii="Times New Roman" w:eastAsia="Times New Roman" w:hAnsi="Times New Roman" w:cs="Times New Roman"/>
          <w:b/>
          <w:bCs/>
          <w:kern w:val="44"/>
          <w:sz w:val="24"/>
          <w:szCs w:val="24"/>
        </w:rPr>
        <w:t>Appendix</w:t>
      </w:r>
    </w:p>
    <w:p w14:paraId="4BEF5F95" w14:textId="77777777" w:rsidR="00A51136" w:rsidRPr="00A51136" w:rsidRDefault="00A51136" w:rsidP="00A51136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51136">
        <w:rPr>
          <w:rFonts w:ascii="Times New Roman" w:hAnsi="Times New Roman" w:cs="Times New Roman"/>
          <w:sz w:val="24"/>
          <w:szCs w:val="24"/>
        </w:rPr>
        <w:t>The appendices were submitted for peer review purposes.</w:t>
      </w:r>
    </w:p>
    <w:p w14:paraId="3932B983" w14:textId="77777777" w:rsidR="00A51136" w:rsidRPr="00A51136" w:rsidRDefault="00A51136" w:rsidP="00A5113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1136">
        <w:rPr>
          <w:rFonts w:ascii="Times New Roman" w:hAnsi="Times New Roman" w:cs="Times New Roman"/>
          <w:b/>
          <w:bCs/>
          <w:sz w:val="24"/>
          <w:szCs w:val="24"/>
        </w:rPr>
        <w:t>Appendix table 1 Target Rare disease types and information about corresponding drugs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2836"/>
        <w:gridCol w:w="2175"/>
        <w:gridCol w:w="4553"/>
      </w:tblGrid>
      <w:tr w:rsidR="00A51136" w:rsidRPr="00A51136" w14:paraId="0959B5F0" w14:textId="77777777" w:rsidTr="00F20D13">
        <w:trPr>
          <w:trHeight w:val="567"/>
          <w:jc w:val="center"/>
        </w:trPr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14:paraId="6A039D05" w14:textId="77777777" w:rsidR="00A51136" w:rsidRPr="00A51136" w:rsidRDefault="00A51136" w:rsidP="00A5113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Rare diseases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27ABBF21" w14:textId="77777777" w:rsidR="00A51136" w:rsidRPr="00A51136" w:rsidRDefault="00A51136" w:rsidP="00A5113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Active substance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vAlign w:val="center"/>
          </w:tcPr>
          <w:p w14:paraId="02D02790" w14:textId="77777777" w:rsidR="00A51136" w:rsidRPr="00A51136" w:rsidRDefault="00A51136" w:rsidP="00A5113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Specification</w:t>
            </w:r>
          </w:p>
        </w:tc>
        <w:tc>
          <w:tcPr>
            <w:tcW w:w="1631" w:type="pct"/>
            <w:tcBorders>
              <w:bottom w:val="single" w:sz="4" w:space="0" w:color="auto"/>
            </w:tcBorders>
            <w:vAlign w:val="center"/>
          </w:tcPr>
          <w:p w14:paraId="068A793C" w14:textId="77777777" w:rsidR="00A51136" w:rsidRPr="00A51136" w:rsidRDefault="00A51136" w:rsidP="00A5113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Dosage</w:t>
            </w:r>
          </w:p>
        </w:tc>
      </w:tr>
      <w:tr w:rsidR="00A51136" w:rsidRPr="00A51136" w14:paraId="605DE3DA" w14:textId="77777777" w:rsidTr="00F20D13">
        <w:trPr>
          <w:trHeight w:val="567"/>
          <w:jc w:val="center"/>
        </w:trPr>
        <w:tc>
          <w:tcPr>
            <w:tcW w:w="1574" w:type="pct"/>
            <w:tcBorders>
              <w:top w:val="single" w:sz="4" w:space="0" w:color="auto"/>
              <w:bottom w:val="nil"/>
            </w:tcBorders>
            <w:vAlign w:val="center"/>
          </w:tcPr>
          <w:p w14:paraId="51A57911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Atypical hemolytic uremic syndrome</w:t>
            </w:r>
          </w:p>
        </w:tc>
        <w:tc>
          <w:tcPr>
            <w:tcW w:w="1016" w:type="pct"/>
            <w:tcBorders>
              <w:top w:val="single" w:sz="4" w:space="0" w:color="auto"/>
              <w:bottom w:val="nil"/>
            </w:tcBorders>
            <w:vAlign w:val="center"/>
          </w:tcPr>
          <w:p w14:paraId="5422574C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Eculizumab </w:t>
            </w:r>
          </w:p>
        </w:tc>
        <w:tc>
          <w:tcPr>
            <w:tcW w:w="779" w:type="pct"/>
            <w:tcBorders>
              <w:top w:val="single" w:sz="4" w:space="0" w:color="auto"/>
              <w:bottom w:val="nil"/>
            </w:tcBorders>
            <w:vAlign w:val="center"/>
          </w:tcPr>
          <w:p w14:paraId="447BD48D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300 mg/bottle</w:t>
            </w:r>
          </w:p>
        </w:tc>
        <w:tc>
          <w:tcPr>
            <w:tcW w:w="1631" w:type="pct"/>
            <w:tcBorders>
              <w:top w:val="single" w:sz="4" w:space="0" w:color="auto"/>
              <w:bottom w:val="nil"/>
            </w:tcBorders>
            <w:vAlign w:val="center"/>
          </w:tcPr>
          <w:p w14:paraId="5D960C2C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Adult: 1200mg/2 weeks; Child: 5~10kg, 300mg/21 days; 10~20kg, 300mg/14 days; 20~30kg, 600mg/14 days; 30~40kg, 900mg/14 days; 40kg~, 1200mg/ 14 days</w:t>
            </w:r>
          </w:p>
        </w:tc>
      </w:tr>
      <w:tr w:rsidR="00A51136" w:rsidRPr="00A51136" w14:paraId="15354BD7" w14:textId="77777777" w:rsidTr="00F20D13">
        <w:trPr>
          <w:trHeight w:val="567"/>
          <w:jc w:val="center"/>
        </w:trPr>
        <w:tc>
          <w:tcPr>
            <w:tcW w:w="1574" w:type="pct"/>
            <w:tcBorders>
              <w:top w:val="nil"/>
            </w:tcBorders>
            <w:vAlign w:val="center"/>
          </w:tcPr>
          <w:p w14:paraId="0CFB034E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Paroxysmal nocturnal hemoglobinuria</w:t>
            </w:r>
          </w:p>
        </w:tc>
        <w:tc>
          <w:tcPr>
            <w:tcW w:w="1016" w:type="pct"/>
            <w:tcBorders>
              <w:top w:val="nil"/>
            </w:tcBorders>
            <w:vAlign w:val="center"/>
          </w:tcPr>
          <w:p w14:paraId="14BA8A66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Eculizumab </w:t>
            </w:r>
          </w:p>
        </w:tc>
        <w:tc>
          <w:tcPr>
            <w:tcW w:w="779" w:type="pct"/>
            <w:tcBorders>
              <w:top w:val="nil"/>
            </w:tcBorders>
            <w:vAlign w:val="center"/>
          </w:tcPr>
          <w:p w14:paraId="535C3455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300 mg/bottle</w:t>
            </w:r>
          </w:p>
        </w:tc>
        <w:tc>
          <w:tcPr>
            <w:tcW w:w="1631" w:type="pct"/>
            <w:tcBorders>
              <w:top w:val="nil"/>
            </w:tcBorders>
            <w:vAlign w:val="center"/>
          </w:tcPr>
          <w:p w14:paraId="1350937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900mg/2 weeks</w:t>
            </w:r>
          </w:p>
        </w:tc>
      </w:tr>
      <w:tr w:rsidR="00A51136" w:rsidRPr="00A51136" w14:paraId="7CBC372F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38AB3F4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Fabry disease</w:t>
            </w:r>
          </w:p>
        </w:tc>
        <w:tc>
          <w:tcPr>
            <w:tcW w:w="1016" w:type="pct"/>
          </w:tcPr>
          <w:p w14:paraId="1CA6C41C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Agalsidase</w:t>
            </w:r>
            <w:proofErr w:type="spellEnd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 β</w:t>
            </w:r>
          </w:p>
        </w:tc>
        <w:tc>
          <w:tcPr>
            <w:tcW w:w="779" w:type="pct"/>
            <w:vAlign w:val="center"/>
          </w:tcPr>
          <w:p w14:paraId="44BE26AF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35 mg/box</w:t>
            </w:r>
          </w:p>
        </w:tc>
        <w:tc>
          <w:tcPr>
            <w:tcW w:w="1631" w:type="pct"/>
            <w:vAlign w:val="center"/>
          </w:tcPr>
          <w:p w14:paraId="4DDEF079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1 mg/kg/2 weeks</w:t>
            </w:r>
          </w:p>
        </w:tc>
      </w:tr>
      <w:tr w:rsidR="00A51136" w:rsidRPr="00A51136" w14:paraId="1BB2AB0D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5B9DEF1F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Gaucher disease</w:t>
            </w:r>
          </w:p>
        </w:tc>
        <w:tc>
          <w:tcPr>
            <w:tcW w:w="1016" w:type="pct"/>
          </w:tcPr>
          <w:p w14:paraId="54EB6B9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Imiglucerase</w:t>
            </w:r>
            <w:proofErr w:type="spellEnd"/>
          </w:p>
        </w:tc>
        <w:tc>
          <w:tcPr>
            <w:tcW w:w="779" w:type="pct"/>
            <w:vAlign w:val="center"/>
          </w:tcPr>
          <w:p w14:paraId="668AD525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400 U/bottle</w:t>
            </w:r>
          </w:p>
        </w:tc>
        <w:tc>
          <w:tcPr>
            <w:tcW w:w="1631" w:type="pct"/>
            <w:vAlign w:val="center"/>
          </w:tcPr>
          <w:p w14:paraId="771FD81C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45 U/kg/2 weeks</w:t>
            </w:r>
          </w:p>
        </w:tc>
      </w:tr>
      <w:tr w:rsidR="00A51136" w:rsidRPr="00A51136" w14:paraId="6FBA8A09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3058D562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Glycogen storage disease</w:t>
            </w:r>
          </w:p>
        </w:tc>
        <w:tc>
          <w:tcPr>
            <w:tcW w:w="1016" w:type="pct"/>
          </w:tcPr>
          <w:p w14:paraId="5AFEEB4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Alglucosidase</w:t>
            </w:r>
            <w:proofErr w:type="spellEnd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 α</w:t>
            </w:r>
          </w:p>
        </w:tc>
        <w:tc>
          <w:tcPr>
            <w:tcW w:w="779" w:type="pct"/>
            <w:vAlign w:val="center"/>
          </w:tcPr>
          <w:p w14:paraId="0094614E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50 mg/bottle</w:t>
            </w:r>
          </w:p>
        </w:tc>
        <w:tc>
          <w:tcPr>
            <w:tcW w:w="1631" w:type="pct"/>
            <w:vAlign w:val="center"/>
          </w:tcPr>
          <w:p w14:paraId="57659965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20 mg/kg/2 weeks</w:t>
            </w:r>
          </w:p>
        </w:tc>
      </w:tr>
      <w:tr w:rsidR="00A51136" w:rsidRPr="00A51136" w14:paraId="73E534AA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624E7879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Hemophilia A with inhibitors</w:t>
            </w:r>
          </w:p>
        </w:tc>
        <w:tc>
          <w:tcPr>
            <w:tcW w:w="1016" w:type="pct"/>
          </w:tcPr>
          <w:p w14:paraId="7770A7E0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Emicizumab</w:t>
            </w:r>
            <w:proofErr w:type="spellEnd"/>
          </w:p>
        </w:tc>
        <w:tc>
          <w:tcPr>
            <w:tcW w:w="779" w:type="pct"/>
            <w:vAlign w:val="center"/>
          </w:tcPr>
          <w:p w14:paraId="37E5281F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30 mg/bottle</w:t>
            </w:r>
          </w:p>
        </w:tc>
        <w:tc>
          <w:tcPr>
            <w:tcW w:w="1631" w:type="pct"/>
            <w:vAlign w:val="center"/>
          </w:tcPr>
          <w:p w14:paraId="6D410EE4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1.5 mg/kg/week</w:t>
            </w:r>
          </w:p>
        </w:tc>
      </w:tr>
      <w:tr w:rsidR="00A51136" w:rsidRPr="00A51136" w14:paraId="266FE8CA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3B225711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Mucopolysaccharidosis </w:t>
            </w:r>
            <w:proofErr w:type="spellStart"/>
            <w:r w:rsidRPr="00A51136">
              <w:rPr>
                <w:rFonts w:ascii="Times New Roman" w:eastAsia="宋体" w:hAnsi="Times New Roman" w:cs="Times New Roman"/>
                <w:sz w:val="24"/>
                <w:szCs w:val="24"/>
              </w:rPr>
              <w:t>Ⅳ</w:t>
            </w: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016" w:type="pct"/>
            <w:vAlign w:val="center"/>
          </w:tcPr>
          <w:p w14:paraId="2F73040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Elosulfase</w:t>
            </w:r>
            <w:proofErr w:type="spellEnd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 α</w:t>
            </w:r>
          </w:p>
        </w:tc>
        <w:tc>
          <w:tcPr>
            <w:tcW w:w="779" w:type="pct"/>
            <w:vAlign w:val="center"/>
          </w:tcPr>
          <w:p w14:paraId="6A6DC2F3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5 mg/bottle</w:t>
            </w:r>
          </w:p>
        </w:tc>
        <w:tc>
          <w:tcPr>
            <w:tcW w:w="1631" w:type="pct"/>
            <w:vAlign w:val="center"/>
          </w:tcPr>
          <w:p w14:paraId="0FDCD8A5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2 mg/kg/week</w:t>
            </w:r>
          </w:p>
        </w:tc>
      </w:tr>
      <w:tr w:rsidR="00A51136" w:rsidRPr="00A51136" w14:paraId="7321AFDA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2E4265BA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Spinal muscular atrophy</w:t>
            </w:r>
          </w:p>
        </w:tc>
        <w:tc>
          <w:tcPr>
            <w:tcW w:w="1016" w:type="pct"/>
          </w:tcPr>
          <w:p w14:paraId="444549F7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Nusinersen</w:t>
            </w:r>
            <w:proofErr w:type="spellEnd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 sodium</w:t>
            </w:r>
          </w:p>
        </w:tc>
        <w:tc>
          <w:tcPr>
            <w:tcW w:w="779" w:type="pct"/>
            <w:vAlign w:val="center"/>
          </w:tcPr>
          <w:p w14:paraId="313367D1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12 mg/piece</w:t>
            </w:r>
          </w:p>
        </w:tc>
        <w:tc>
          <w:tcPr>
            <w:tcW w:w="1631" w:type="pct"/>
            <w:vAlign w:val="center"/>
          </w:tcPr>
          <w:p w14:paraId="1C2283A9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12 mg/4 months</w:t>
            </w:r>
          </w:p>
        </w:tc>
      </w:tr>
      <w:tr w:rsidR="00A51136" w:rsidRPr="00A51136" w14:paraId="64BAA44B" w14:textId="77777777" w:rsidTr="00F20D13">
        <w:trPr>
          <w:trHeight w:val="567"/>
          <w:jc w:val="center"/>
        </w:trPr>
        <w:tc>
          <w:tcPr>
            <w:tcW w:w="1574" w:type="pct"/>
            <w:vAlign w:val="center"/>
          </w:tcPr>
          <w:p w14:paraId="6E6426A5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Tetrahydrobiopterin deficiency</w:t>
            </w:r>
          </w:p>
        </w:tc>
        <w:tc>
          <w:tcPr>
            <w:tcW w:w="1016" w:type="pct"/>
          </w:tcPr>
          <w:p w14:paraId="132B69E0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Saproterin</w:t>
            </w:r>
            <w:proofErr w:type="spellEnd"/>
            <w:r w:rsidRPr="00A51136">
              <w:rPr>
                <w:rFonts w:ascii="Times New Roman" w:hAnsi="Times New Roman" w:cs="Times New Roman"/>
                <w:sz w:val="24"/>
                <w:szCs w:val="24"/>
              </w:rPr>
              <w:t xml:space="preserve"> dihydrochloride</w:t>
            </w:r>
          </w:p>
        </w:tc>
        <w:tc>
          <w:tcPr>
            <w:tcW w:w="779" w:type="pct"/>
            <w:vAlign w:val="center"/>
          </w:tcPr>
          <w:p w14:paraId="03897971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100 mg/tablet</w:t>
            </w:r>
          </w:p>
        </w:tc>
        <w:tc>
          <w:tcPr>
            <w:tcW w:w="1631" w:type="pct"/>
            <w:vAlign w:val="center"/>
          </w:tcPr>
          <w:p w14:paraId="4C0486F8" w14:textId="77777777" w:rsidR="00A51136" w:rsidRPr="00A51136" w:rsidRDefault="00A51136" w:rsidP="00A511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136">
              <w:rPr>
                <w:rFonts w:ascii="Times New Roman" w:hAnsi="Times New Roman" w:cs="Times New Roman"/>
                <w:sz w:val="24"/>
                <w:szCs w:val="24"/>
              </w:rPr>
              <w:t>2 mg/kg/day</w:t>
            </w:r>
          </w:p>
        </w:tc>
      </w:tr>
    </w:tbl>
    <w:p w14:paraId="673DC708" w14:textId="77777777" w:rsidR="00A51136" w:rsidRPr="00A51136" w:rsidRDefault="00A51136" w:rsidP="00A511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1136">
        <w:rPr>
          <w:rFonts w:ascii="Times New Roman" w:hAnsi="Times New Roman" w:cs="Times New Roman"/>
          <w:sz w:val="24"/>
          <w:szCs w:val="24"/>
        </w:rPr>
        <w:t>Note: Drug-related information was obtained from the database of the National Medical Products Administration.</w:t>
      </w:r>
    </w:p>
    <w:p w14:paraId="786C46B4" w14:textId="77777777" w:rsidR="00F378E3" w:rsidRPr="00A51136" w:rsidRDefault="00F378E3"/>
    <w:sectPr w:rsidR="00F378E3" w:rsidRPr="00A51136" w:rsidSect="00A511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992F7" w14:textId="77777777" w:rsidR="0022100A" w:rsidRDefault="0022100A" w:rsidP="00A51136">
      <w:r>
        <w:separator/>
      </w:r>
    </w:p>
  </w:endnote>
  <w:endnote w:type="continuationSeparator" w:id="0">
    <w:p w14:paraId="409E7D95" w14:textId="77777777" w:rsidR="0022100A" w:rsidRDefault="0022100A" w:rsidP="00A51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5C983" w14:textId="77777777" w:rsidR="0022100A" w:rsidRDefault="0022100A" w:rsidP="00A51136">
      <w:r>
        <w:separator/>
      </w:r>
    </w:p>
  </w:footnote>
  <w:footnote w:type="continuationSeparator" w:id="0">
    <w:p w14:paraId="23ED48EC" w14:textId="77777777" w:rsidR="0022100A" w:rsidRDefault="0022100A" w:rsidP="00A511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BC"/>
    <w:rsid w:val="00006024"/>
    <w:rsid w:val="0003090D"/>
    <w:rsid w:val="00054682"/>
    <w:rsid w:val="00054E54"/>
    <w:rsid w:val="000727DF"/>
    <w:rsid w:val="00093B4C"/>
    <w:rsid w:val="000A5A79"/>
    <w:rsid w:val="00111C66"/>
    <w:rsid w:val="001234F6"/>
    <w:rsid w:val="00150FDD"/>
    <w:rsid w:val="00161746"/>
    <w:rsid w:val="001724C1"/>
    <w:rsid w:val="00183D27"/>
    <w:rsid w:val="001B0B60"/>
    <w:rsid w:val="001C1D00"/>
    <w:rsid w:val="001E7B7B"/>
    <w:rsid w:val="00205100"/>
    <w:rsid w:val="0022100A"/>
    <w:rsid w:val="0024000E"/>
    <w:rsid w:val="002556CF"/>
    <w:rsid w:val="00294C6C"/>
    <w:rsid w:val="002A464D"/>
    <w:rsid w:val="002B3A54"/>
    <w:rsid w:val="002C1826"/>
    <w:rsid w:val="002D4CC0"/>
    <w:rsid w:val="002D60B1"/>
    <w:rsid w:val="002F05E1"/>
    <w:rsid w:val="00344013"/>
    <w:rsid w:val="003D133A"/>
    <w:rsid w:val="003D1C71"/>
    <w:rsid w:val="003E4076"/>
    <w:rsid w:val="00412B6A"/>
    <w:rsid w:val="0043602D"/>
    <w:rsid w:val="00443D83"/>
    <w:rsid w:val="00584BEB"/>
    <w:rsid w:val="005A49AC"/>
    <w:rsid w:val="005D0E49"/>
    <w:rsid w:val="00600CED"/>
    <w:rsid w:val="00610104"/>
    <w:rsid w:val="00621428"/>
    <w:rsid w:val="006332D5"/>
    <w:rsid w:val="006377C9"/>
    <w:rsid w:val="00653B9E"/>
    <w:rsid w:val="00660379"/>
    <w:rsid w:val="006F6A41"/>
    <w:rsid w:val="00714362"/>
    <w:rsid w:val="007A56BE"/>
    <w:rsid w:val="007F3528"/>
    <w:rsid w:val="007F45EA"/>
    <w:rsid w:val="007F6F1C"/>
    <w:rsid w:val="00816912"/>
    <w:rsid w:val="00820F4F"/>
    <w:rsid w:val="00845FAA"/>
    <w:rsid w:val="008750FB"/>
    <w:rsid w:val="008A6E85"/>
    <w:rsid w:val="008B7298"/>
    <w:rsid w:val="008C0312"/>
    <w:rsid w:val="00984132"/>
    <w:rsid w:val="009D7490"/>
    <w:rsid w:val="00A028A2"/>
    <w:rsid w:val="00A51136"/>
    <w:rsid w:val="00A86BC6"/>
    <w:rsid w:val="00A9221A"/>
    <w:rsid w:val="00A97CEA"/>
    <w:rsid w:val="00AA7BEB"/>
    <w:rsid w:val="00AC08DA"/>
    <w:rsid w:val="00AF3095"/>
    <w:rsid w:val="00B25A13"/>
    <w:rsid w:val="00BB2AE8"/>
    <w:rsid w:val="00BC49B6"/>
    <w:rsid w:val="00BF29B5"/>
    <w:rsid w:val="00BF4A9D"/>
    <w:rsid w:val="00BF7EC9"/>
    <w:rsid w:val="00C05928"/>
    <w:rsid w:val="00C40C89"/>
    <w:rsid w:val="00C53DFB"/>
    <w:rsid w:val="00C62193"/>
    <w:rsid w:val="00C70409"/>
    <w:rsid w:val="00C83F03"/>
    <w:rsid w:val="00C9245F"/>
    <w:rsid w:val="00CC1919"/>
    <w:rsid w:val="00D15964"/>
    <w:rsid w:val="00D30E57"/>
    <w:rsid w:val="00D364C2"/>
    <w:rsid w:val="00D42AFB"/>
    <w:rsid w:val="00D466AF"/>
    <w:rsid w:val="00D7519F"/>
    <w:rsid w:val="00D75A81"/>
    <w:rsid w:val="00D9162E"/>
    <w:rsid w:val="00DA5D7C"/>
    <w:rsid w:val="00DE7E14"/>
    <w:rsid w:val="00DF2D42"/>
    <w:rsid w:val="00DF7F3A"/>
    <w:rsid w:val="00E01FBC"/>
    <w:rsid w:val="00E15FB1"/>
    <w:rsid w:val="00E22C65"/>
    <w:rsid w:val="00E74605"/>
    <w:rsid w:val="00E81F6B"/>
    <w:rsid w:val="00E8574A"/>
    <w:rsid w:val="00EC3D74"/>
    <w:rsid w:val="00ED2E63"/>
    <w:rsid w:val="00EF1D29"/>
    <w:rsid w:val="00F128AD"/>
    <w:rsid w:val="00F2245A"/>
    <w:rsid w:val="00F378E3"/>
    <w:rsid w:val="00F56FCD"/>
    <w:rsid w:val="00F61A17"/>
    <w:rsid w:val="00F676C9"/>
    <w:rsid w:val="00F83735"/>
    <w:rsid w:val="00FB3EBA"/>
    <w:rsid w:val="00FC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3E3A13D-EFF6-43EF-AA2C-6DEEE163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11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1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1136"/>
    <w:rPr>
      <w:sz w:val="18"/>
      <w:szCs w:val="18"/>
    </w:rPr>
  </w:style>
  <w:style w:type="table" w:styleId="a7">
    <w:name w:val="Table Grid"/>
    <w:basedOn w:val="a1"/>
    <w:uiPriority w:val="39"/>
    <w:rsid w:val="00A51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晓星</dc:creator>
  <cp:keywords/>
  <dc:description/>
  <cp:lastModifiedBy>张 晓星</cp:lastModifiedBy>
  <cp:revision>2</cp:revision>
  <dcterms:created xsi:type="dcterms:W3CDTF">2022-04-21T13:58:00Z</dcterms:created>
  <dcterms:modified xsi:type="dcterms:W3CDTF">2022-04-21T13:59:00Z</dcterms:modified>
</cp:coreProperties>
</file>